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7030D">
      <w:pPr>
        <w:pStyle w:val="2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Dynamic Context Feasibility Test</w:t>
      </w:r>
    </w:p>
    <w:p w14:paraId="0EBA54E9">
      <w:pPr>
        <w:pStyle w:val="3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1. 实验目的</w:t>
      </w:r>
    </w:p>
    <w:p w14:paraId="5AC3BEB4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比较不同 Context 策略对 RAG 系统的影响，重点观察 Input Token 数量、Response Time（Latency）以及回答质量（人工 0–3 分评分）。</w:t>
      </w:r>
    </w:p>
    <w:p w14:paraId="78E31892">
      <w:pPr>
        <w:pStyle w:val="3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2. 实验环境与模型配置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5975"/>
      </w:tblGrid>
      <w:tr w14:paraId="553CFB6B">
        <w:trPr>
          <w:trHeight w:val="454" w:hRule="atLeast"/>
        </w:trPr>
        <w:tc>
          <w:tcPr>
            <w:tcW w:w="2665" w:type="dxa"/>
            <w:shd w:val="clear" w:color="auto" w:fill="DCE6F2" w:themeFill="accent1" w:themeFillTint="32"/>
          </w:tcPr>
          <w:p w14:paraId="06A866FA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bCs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5975" w:type="dxa"/>
            <w:shd w:val="clear" w:color="auto" w:fill="DCE6F2" w:themeFill="accent1" w:themeFillTint="32"/>
          </w:tcPr>
          <w:p w14:paraId="5ECDC80F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bCs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配置</w:t>
            </w:r>
          </w:p>
        </w:tc>
      </w:tr>
      <w:tr w14:paraId="1264FCCE">
        <w:tc>
          <w:tcPr>
            <w:tcW w:w="2665" w:type="dxa"/>
          </w:tcPr>
          <w:p w14:paraId="3A9584C9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tcPr>
            <w:tcW w:w="5975" w:type="dxa"/>
          </w:tcPr>
          <w:p w14:paraId="1AF9CF4E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MacBook Air M2, 16 GB</w:t>
            </w:r>
          </w:p>
        </w:tc>
      </w:tr>
      <w:tr w14:paraId="3C59DEE7">
        <w:tc>
          <w:tcPr>
            <w:tcW w:w="2665" w:type="dxa"/>
          </w:tcPr>
          <w:p w14:paraId="5CC598C1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5975" w:type="dxa"/>
          </w:tcPr>
          <w:p w14:paraId="50953125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3.11</w:t>
            </w:r>
          </w:p>
        </w:tc>
      </w:tr>
      <w:tr w14:paraId="51B91812">
        <w:tc>
          <w:tcPr>
            <w:tcW w:w="2665" w:type="dxa"/>
          </w:tcPr>
          <w:p w14:paraId="69709F7D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LLM</w:t>
            </w:r>
          </w:p>
        </w:tc>
        <w:tc>
          <w:tcPr>
            <w:tcW w:w="5975" w:type="dxa"/>
          </w:tcPr>
          <w:p w14:paraId="31D464EB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Qwen2.5-3B-Instruct-4bit</w:t>
            </w:r>
          </w:p>
        </w:tc>
      </w:tr>
      <w:tr w14:paraId="5091CC93">
        <w:tc>
          <w:tcPr>
            <w:tcW w:w="2665" w:type="dxa"/>
          </w:tcPr>
          <w:p w14:paraId="6559DC25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5975" w:type="dxa"/>
          </w:tcPr>
          <w:p w14:paraId="26DB8644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BAAI/bge-small-zh-v1.5</w:t>
            </w:r>
          </w:p>
        </w:tc>
      </w:tr>
      <w:tr w14:paraId="696F635D">
        <w:tc>
          <w:tcPr>
            <w:tcW w:w="2665" w:type="dxa"/>
          </w:tcPr>
          <w:p w14:paraId="17E9E44A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Vector Store</w:t>
            </w:r>
          </w:p>
        </w:tc>
        <w:tc>
          <w:tcPr>
            <w:tcW w:w="5975" w:type="dxa"/>
          </w:tcPr>
          <w:p w14:paraId="3A32C1BC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Qdrant Local</w:t>
            </w:r>
          </w:p>
        </w:tc>
      </w:tr>
      <w:tr w14:paraId="5921D0CF">
        <w:tc>
          <w:tcPr>
            <w:tcW w:w="2665" w:type="dxa"/>
          </w:tcPr>
          <w:p w14:paraId="3167009F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PDF Parser</w:t>
            </w:r>
          </w:p>
        </w:tc>
        <w:tc>
          <w:tcPr>
            <w:tcW w:w="5975" w:type="dxa"/>
          </w:tcPr>
          <w:p w14:paraId="6E1488C2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PyMuPDF</w:t>
            </w:r>
          </w:p>
        </w:tc>
      </w:tr>
      <w:tr w14:paraId="6EBAFB6B">
        <w:tc>
          <w:tcPr>
            <w:tcW w:w="2665" w:type="dxa"/>
          </w:tcPr>
          <w:p w14:paraId="7D39ABAE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Chunk Strategy</w:t>
            </w:r>
          </w:p>
        </w:tc>
        <w:tc>
          <w:tcPr>
            <w:tcW w:w="5975" w:type="dxa"/>
          </w:tcPr>
          <w:p w14:paraId="5F6BC813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450 字符，Overlap 80 字符</w:t>
            </w:r>
          </w:p>
        </w:tc>
      </w:tr>
      <w:tr w14:paraId="29833F53">
        <w:tc>
          <w:tcPr>
            <w:tcW w:w="2665" w:type="dxa"/>
          </w:tcPr>
          <w:p w14:paraId="79EB3DA6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Generation</w:t>
            </w:r>
          </w:p>
        </w:tc>
        <w:tc>
          <w:tcPr>
            <w:tcW w:w="5975" w:type="dxa"/>
          </w:tcPr>
          <w:p w14:paraId="24DBAA9C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temperature=0, max_new_tokens=200, seed=16</w:t>
            </w:r>
          </w:p>
        </w:tc>
      </w:tr>
    </w:tbl>
    <w:p w14:paraId="6F21F54A">
      <w:pPr>
        <w:pStyle w:val="3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3. 数据准备</w:t>
      </w:r>
    </w:p>
    <w:p w14:paraId="0ED19DC1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实验知识库采用东野圭吾《解忧杂货店》PDF（277 页）。文本通过 PyMuPDF 提取，并采用字符级切块（450 字符，80 字符重叠）建立向量索引。实验共包含 20 个问题，其中 Book 10 题、General 5 题、Rewrite 5 题。</w:t>
      </w:r>
    </w:p>
    <w:p w14:paraId="23E8DDF6">
      <w:pPr>
        <w:pStyle w:val="3"/>
        <w:numPr>
          <w:ilvl w:val="0"/>
          <w:numId w:val="7"/>
        </w:num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实验内容</w:t>
      </w:r>
    </w:p>
    <w:tbl>
      <w:tblPr>
        <w:tblStyle w:val="35"/>
        <w:tblW w:w="84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6"/>
        <w:gridCol w:w="6016"/>
      </w:tblGrid>
      <w:tr w14:paraId="36E91B3E">
        <w:trPr>
          <w:cantSplit/>
          <w:tblHeader/>
          <w:jc w:val="center"/>
        </w:trPr>
        <w:tc>
          <w:tcPr>
            <w:tcW w:w="2476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530AC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b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</w:tc>
        <w:tc>
          <w:tcPr>
            <w:tcW w:w="6016" w:type="dxa"/>
            <w:shd w:val="clear" w:color="auto" w:fill="DCE6F2" w:themeFill="accent1" w:themeFillTint="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42AA4">
            <w:pPr>
              <w:spacing w:before="0" w:after="0" w:line="240" w:lineRule="auto"/>
              <w:jc w:val="center"/>
              <w:rPr>
                <w:rFonts w:hint="default" w:eastAsia="Noto Sans SC Thin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Theme="minorAscii" w:hAnsiTheme="minorAscii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7A67EFBA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1F43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Baseline (Top‑8)</w:t>
            </w:r>
          </w:p>
        </w:tc>
        <w:tc>
          <w:tcPr>
            <w:tcW w:w="6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7A94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所有问题均执行 Retrieval，检索 Top-8 Chunk，将全部 Context 放入 Prompt，再调用 LLM 回答。</w:t>
            </w:r>
          </w:p>
        </w:tc>
      </w:tr>
      <w:tr w14:paraId="596FB942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26823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Standard RAG (Top‑4)</w:t>
            </w:r>
          </w:p>
        </w:tc>
        <w:tc>
          <w:tcPr>
            <w:tcW w:w="6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7B26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流程与实验1完全相同，仅将 Retrieval 数量改为 Top-4。</w:t>
            </w:r>
          </w:p>
        </w:tc>
      </w:tr>
      <w:tr w14:paraId="4CB19EED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6725C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Minimal RAG (Top‑2)</w:t>
            </w:r>
          </w:p>
        </w:tc>
        <w:tc>
          <w:tcPr>
            <w:tcW w:w="6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F85B6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流程与实验1完全相同，仅将 Retrieval 数量改为 Top-</w:t>
            </w:r>
            <w:r>
              <w:rPr>
                <w:rFonts w:hint="default" w:asciiTheme="minorAscii" w:hAnsiTheme="minorAscii"/>
                <w:b w:val="0"/>
                <w:i w:val="0"/>
                <w:color w:val="000000" w:themeColor="text1"/>
                <w:sz w:val="20"/>
                <w:szCs w:val="2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</w:tr>
      <w:tr w14:paraId="551DA8B9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DA236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No RAG</w:t>
            </w:r>
          </w:p>
        </w:tc>
        <w:tc>
          <w:tcPr>
            <w:tcW w:w="6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AC208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所有问题均不进行 Retrieval，仅将问题直接发送给 LLM。</w:t>
            </w:r>
          </w:p>
        </w:tc>
      </w:tr>
      <w:tr w14:paraId="79EFF570">
        <w:trPr>
          <w:cantSplit/>
          <w:jc w:val="center"/>
        </w:trPr>
        <w:tc>
          <w:tcPr>
            <w:tcW w:w="24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AF7A8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Query‑Aware</w:t>
            </w:r>
          </w:p>
        </w:tc>
        <w:tc>
          <w:tcPr>
            <w:tcW w:w="6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8065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根据问题类型决定是否 Retrieval：</w:t>
            </w:r>
          </w:p>
          <w:p w14:paraId="015F9933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Book QA → Top-4 Retrieval</w:t>
            </w:r>
          </w:p>
          <w:p w14:paraId="684D3E5C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General → No Retrieval</w:t>
            </w:r>
          </w:p>
          <w:p w14:paraId="565A807F">
            <w:pPr>
              <w:spacing w:before="0" w:after="0" w:line="240" w:lineRule="auto"/>
              <w:jc w:val="left"/>
              <w:rPr>
                <w:rFonts w:hint="default" w:asciiTheme="minorAscii" w:hAnsiTheme="minorAscii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Rewrite → No Retrieval</w:t>
            </w:r>
          </w:p>
        </w:tc>
      </w:tr>
      <w:tr w14:paraId="26DDEF2D">
        <w:trPr>
          <w:cantSplit/>
          <w:jc w:val="center"/>
        </w:trPr>
        <w:tc>
          <w:tcPr>
            <w:tcW w:w="247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07B8">
            <w:pPr>
              <w:spacing w:before="0" w:after="0" w:line="240" w:lineRule="auto"/>
              <w:jc w:val="left"/>
              <w:rPr>
                <w:rFonts w:hint="default" w:asciiTheme="minorAscii" w:hAnsiTheme="minorAscii"/>
                <w:b w:val="0"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Query‑Aware + Top‑2</w:t>
            </w:r>
          </w:p>
        </w:tc>
        <w:tc>
          <w:tcPr>
            <w:tcW w:w="6016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65002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Book QA → Top-2</w:t>
            </w:r>
          </w:p>
          <w:p w14:paraId="1FCF4D6F">
            <w:pPr>
              <w:spacing w:before="0" w:after="0" w:line="240" w:lineRule="auto"/>
              <w:jc w:val="left"/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General → No Retrieval</w:t>
            </w:r>
          </w:p>
          <w:p w14:paraId="7406FE75">
            <w:pPr>
              <w:spacing w:before="0" w:after="0" w:line="240" w:lineRule="auto"/>
              <w:jc w:val="left"/>
              <w:rPr>
                <w:rFonts w:hint="default" w:asciiTheme="minorAscii" w:hAnsiTheme="minorAscii"/>
                <w:b w:val="0"/>
                <w:bCs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bCs/>
                <w:i w:val="0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Rewrite → No Retrieval</w:t>
            </w:r>
          </w:p>
        </w:tc>
      </w:tr>
    </w:tbl>
    <w:p w14:paraId="07A5C628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eastAsia" w:eastAsia="Noto Sans SC Thin" w:asciiTheme="minorAscii" w:hAnsiTheme="minorAscii"/>
          <w:b w:val="0"/>
          <w:i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评分：</w:t>
      </w: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3 = 完全正确；2 = 基本正确但有遗漏；1 = 部分正确；0 = 错误、拒答</w:t>
      </w:r>
      <w:r>
        <w:rPr>
          <w:rFonts w:hint="eastAsia" w:eastAsia="Noto Sans SC Thin" w:asciiTheme="minorAscii" w:hAnsiTheme="minorAscii"/>
          <w:b w:val="0"/>
          <w:i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不符。</w:t>
      </w:r>
    </w:p>
    <w:p w14:paraId="1ECDFF65">
      <w:pPr>
        <w:pStyle w:val="3"/>
        <w:numPr>
          <w:ilvl w:val="0"/>
          <w:numId w:val="7"/>
        </w:numPr>
        <w:ind w:left="0" w:leftChars="0" w:firstLine="0" w:firstLineChars="0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总体实验结果</w:t>
      </w:r>
    </w:p>
    <w:p w14:paraId="276C7016">
      <w:pPr>
        <w:numPr>
          <w:ilvl w:val="0"/>
          <w:numId w:val="0"/>
        </w:numPr>
        <w:ind w:leftChars="0"/>
        <w:rPr>
          <w:rFonts w:hint="eastAsia" w:eastAsia="SimSun"/>
          <w:lang w:eastAsia="zh-CN"/>
        </w:rPr>
      </w:pPr>
      <w:r>
        <w:rPr>
          <w:rFonts w:hint="eastAsia" w:eastAsia="SimSun"/>
          <w:lang w:eastAsia="zh-CN"/>
        </w:rPr>
        <w:object>
          <v:shape id="_x0000_i1025" o:spt="75" type="#_x0000_t75" style="height:60pt;width:60pt;" o:ole="t" filled="f" o:preferrelative="t" stroked="f" coordsize="21600,21600">
            <v:path/>
            <v:fill on="f" focussize="0,0"/>
            <v:stroke on="f"/>
            <v:imagedata r:id="rId7" o:title="oleimage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79EE7B83">
      <w:pPr>
        <w:pStyle w:val="3"/>
        <w:numPr>
          <w:ilvl w:val="0"/>
          <w:numId w:val="7"/>
        </w:numPr>
        <w:ind w:left="0" w:leftChars="0" w:firstLine="0" w:firstLineChars="0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最终统计结果</w:t>
      </w:r>
    </w:p>
    <w:tbl>
      <w:tblPr>
        <w:tblStyle w:val="35"/>
        <w:tblW w:w="95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1353"/>
        <w:gridCol w:w="1429"/>
        <w:gridCol w:w="1579"/>
        <w:gridCol w:w="1519"/>
        <w:gridCol w:w="1857"/>
      </w:tblGrid>
      <w:tr w14:paraId="6981C145">
        <w:tc>
          <w:tcPr>
            <w:tcW w:w="1857" w:type="dxa"/>
            <w:shd w:val="clear" w:color="auto" w:fill="DCE6F2" w:themeFill="accent1" w:themeFillTint="32"/>
            <w:vAlign w:val="center"/>
          </w:tcPr>
          <w:p w14:paraId="015031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0"/>
                <w:szCs w:val="20"/>
                <w:lang w:val="en-US" w:eastAsia="zh-CN" w:bidi="ar"/>
              </w:rPr>
              <w:t>Method</w:t>
            </w:r>
          </w:p>
        </w:tc>
        <w:tc>
          <w:tcPr>
            <w:tcW w:w="1353" w:type="dxa"/>
            <w:shd w:val="clear" w:color="auto" w:fill="DCE6F2" w:themeFill="accent1" w:themeFillTint="32"/>
            <w:vAlign w:val="center"/>
          </w:tcPr>
          <w:p w14:paraId="7C8966A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0"/>
                <w:szCs w:val="20"/>
                <w:lang w:val="en-US" w:eastAsia="zh-CN" w:bidi="ar"/>
              </w:rPr>
              <w:t>Avg Input Tokens</w:t>
            </w:r>
          </w:p>
        </w:tc>
        <w:tc>
          <w:tcPr>
            <w:tcW w:w="1429" w:type="dxa"/>
            <w:shd w:val="clear" w:color="auto" w:fill="DCE6F2" w:themeFill="accent1" w:themeFillTint="32"/>
            <w:vAlign w:val="center"/>
          </w:tcPr>
          <w:p w14:paraId="3E341E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0"/>
                <w:szCs w:val="20"/>
                <w:lang w:val="en-US" w:eastAsia="zh-CN" w:bidi="ar"/>
              </w:rPr>
              <w:t>Token Reduction</w:t>
            </w:r>
          </w:p>
        </w:tc>
        <w:tc>
          <w:tcPr>
            <w:tcW w:w="1579" w:type="dxa"/>
            <w:shd w:val="clear" w:color="auto" w:fill="DCE6F2" w:themeFill="accent1" w:themeFillTint="32"/>
            <w:vAlign w:val="center"/>
          </w:tcPr>
          <w:p w14:paraId="7086F6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0"/>
                <w:szCs w:val="20"/>
                <w:lang w:val="en-US" w:eastAsia="zh-CN" w:bidi="ar"/>
              </w:rPr>
              <w:t>Avg Total Time (ms)</w:t>
            </w:r>
          </w:p>
        </w:tc>
        <w:tc>
          <w:tcPr>
            <w:tcW w:w="1519" w:type="dxa"/>
            <w:shd w:val="clear" w:color="auto" w:fill="DCE6F2" w:themeFill="accent1" w:themeFillTint="32"/>
            <w:vAlign w:val="center"/>
          </w:tcPr>
          <w:p w14:paraId="04A79B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0"/>
                <w:szCs w:val="20"/>
                <w:lang w:val="en-US" w:eastAsia="zh-CN" w:bidi="ar"/>
              </w:rPr>
              <w:t>Latency Reduction</w:t>
            </w:r>
          </w:p>
        </w:tc>
        <w:tc>
          <w:tcPr>
            <w:tcW w:w="1857" w:type="dxa"/>
            <w:shd w:val="clear" w:color="auto" w:fill="DCE6F2" w:themeFill="accent1" w:themeFillTint="32"/>
            <w:vAlign w:val="center"/>
          </w:tcPr>
          <w:p w14:paraId="2D1654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Noto Sans SC Thin" w:cs="Noto Sans SC Thin" w:asciiTheme="minorAscii" w:hAnsiTheme="minorAscii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0"/>
                <w:szCs w:val="20"/>
                <w:lang w:val="en-US" w:eastAsia="zh-CN" w:bidi="ar"/>
              </w:rPr>
              <w:t>Avg Score</w:t>
            </w:r>
          </w:p>
        </w:tc>
      </w:tr>
      <w:tr w14:paraId="73DF0EFB">
        <w:trPr>
          <w:trHeight w:val="533" w:hRule="atLeast"/>
        </w:trPr>
        <w:tc>
          <w:tcPr>
            <w:tcW w:w="1857" w:type="dxa"/>
            <w:vAlign w:val="center"/>
          </w:tcPr>
          <w:p w14:paraId="31E060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Baseline (Top-8)</w:t>
            </w:r>
          </w:p>
        </w:tc>
        <w:tc>
          <w:tcPr>
            <w:tcW w:w="1353" w:type="dxa"/>
            <w:vAlign w:val="center"/>
          </w:tcPr>
          <w:p w14:paraId="07F0CE3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2297.10</w:t>
            </w:r>
          </w:p>
        </w:tc>
        <w:tc>
          <w:tcPr>
            <w:tcW w:w="1429" w:type="dxa"/>
            <w:vAlign w:val="center"/>
          </w:tcPr>
          <w:p w14:paraId="3C24A65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—</w:t>
            </w:r>
          </w:p>
        </w:tc>
        <w:tc>
          <w:tcPr>
            <w:tcW w:w="1579" w:type="dxa"/>
            <w:vAlign w:val="center"/>
          </w:tcPr>
          <w:p w14:paraId="650F446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8549.98</w:t>
            </w:r>
          </w:p>
        </w:tc>
        <w:tc>
          <w:tcPr>
            <w:tcW w:w="1519" w:type="dxa"/>
            <w:vAlign w:val="center"/>
          </w:tcPr>
          <w:p w14:paraId="15C1197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—</w:t>
            </w:r>
          </w:p>
        </w:tc>
        <w:tc>
          <w:tcPr>
            <w:tcW w:w="1857" w:type="dxa"/>
            <w:vAlign w:val="center"/>
          </w:tcPr>
          <w:p w14:paraId="2BFA941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1.35</w:t>
            </w:r>
          </w:p>
        </w:tc>
      </w:tr>
      <w:tr w14:paraId="36EC484A">
        <w:tc>
          <w:tcPr>
            <w:tcW w:w="1857" w:type="dxa"/>
            <w:vAlign w:val="center"/>
          </w:tcPr>
          <w:p w14:paraId="4F4E9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Standard RAG (Top-4)</w:t>
            </w:r>
          </w:p>
        </w:tc>
        <w:tc>
          <w:tcPr>
            <w:tcW w:w="1353" w:type="dxa"/>
            <w:vAlign w:val="center"/>
          </w:tcPr>
          <w:p w14:paraId="1617333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1141.60</w:t>
            </w:r>
          </w:p>
        </w:tc>
        <w:tc>
          <w:tcPr>
            <w:tcW w:w="1429" w:type="dxa"/>
            <w:vAlign w:val="center"/>
          </w:tcPr>
          <w:p w14:paraId="13156D8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50.30%</w:t>
            </w:r>
          </w:p>
        </w:tc>
        <w:tc>
          <w:tcPr>
            <w:tcW w:w="1579" w:type="dxa"/>
            <w:vAlign w:val="center"/>
          </w:tcPr>
          <w:p w14:paraId="38186B2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4707.53</w:t>
            </w:r>
          </w:p>
        </w:tc>
        <w:tc>
          <w:tcPr>
            <w:tcW w:w="1519" w:type="dxa"/>
            <w:vAlign w:val="center"/>
          </w:tcPr>
          <w:p w14:paraId="1BD3821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44.94%</w:t>
            </w:r>
          </w:p>
        </w:tc>
        <w:tc>
          <w:tcPr>
            <w:tcW w:w="1857" w:type="dxa"/>
            <w:vAlign w:val="center"/>
          </w:tcPr>
          <w:p w14:paraId="1C32C52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0.95</w:t>
            </w:r>
          </w:p>
        </w:tc>
      </w:tr>
      <w:tr w14:paraId="6EE9D880">
        <w:tc>
          <w:tcPr>
            <w:tcW w:w="1857" w:type="dxa"/>
            <w:vAlign w:val="center"/>
          </w:tcPr>
          <w:p w14:paraId="219E14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Minimal RAG (Top-2)</w:t>
            </w:r>
          </w:p>
        </w:tc>
        <w:tc>
          <w:tcPr>
            <w:tcW w:w="1353" w:type="dxa"/>
            <w:vAlign w:val="center"/>
          </w:tcPr>
          <w:p w14:paraId="4894A97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629.00</w:t>
            </w:r>
          </w:p>
        </w:tc>
        <w:tc>
          <w:tcPr>
            <w:tcW w:w="1429" w:type="dxa"/>
            <w:vAlign w:val="center"/>
          </w:tcPr>
          <w:p w14:paraId="0A3672B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72.62%</w:t>
            </w:r>
          </w:p>
        </w:tc>
        <w:tc>
          <w:tcPr>
            <w:tcW w:w="1579" w:type="dxa"/>
            <w:vAlign w:val="center"/>
          </w:tcPr>
          <w:p w14:paraId="65DB44D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3117.66</w:t>
            </w:r>
          </w:p>
        </w:tc>
        <w:tc>
          <w:tcPr>
            <w:tcW w:w="1519" w:type="dxa"/>
            <w:vAlign w:val="center"/>
          </w:tcPr>
          <w:p w14:paraId="27EE04EA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63.54%</w:t>
            </w:r>
          </w:p>
        </w:tc>
        <w:tc>
          <w:tcPr>
            <w:tcW w:w="1857" w:type="dxa"/>
            <w:vAlign w:val="center"/>
          </w:tcPr>
          <w:p w14:paraId="713F600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1.15</w:t>
            </w:r>
          </w:p>
        </w:tc>
      </w:tr>
      <w:tr w14:paraId="59B6BCF0">
        <w:trPr>
          <w:trHeight w:val="586" w:hRule="atLeast"/>
        </w:trPr>
        <w:tc>
          <w:tcPr>
            <w:tcW w:w="1857" w:type="dxa"/>
            <w:vAlign w:val="center"/>
          </w:tcPr>
          <w:p w14:paraId="1C23A1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No RAG</w:t>
            </w:r>
          </w:p>
        </w:tc>
        <w:tc>
          <w:tcPr>
            <w:tcW w:w="1353" w:type="dxa"/>
            <w:vAlign w:val="center"/>
          </w:tcPr>
          <w:p w14:paraId="1DE782C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85.75</w:t>
            </w:r>
          </w:p>
        </w:tc>
        <w:tc>
          <w:tcPr>
            <w:tcW w:w="1429" w:type="dxa"/>
            <w:vAlign w:val="center"/>
          </w:tcPr>
          <w:p w14:paraId="55904E6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96.27%</w:t>
            </w:r>
          </w:p>
        </w:tc>
        <w:tc>
          <w:tcPr>
            <w:tcW w:w="1579" w:type="dxa"/>
            <w:vAlign w:val="center"/>
          </w:tcPr>
          <w:p w14:paraId="1C1C9D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1560.04</w:t>
            </w:r>
          </w:p>
        </w:tc>
        <w:tc>
          <w:tcPr>
            <w:tcW w:w="1519" w:type="dxa"/>
            <w:vAlign w:val="center"/>
          </w:tcPr>
          <w:p w14:paraId="10E2BAF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81.75%</w:t>
            </w:r>
          </w:p>
        </w:tc>
        <w:tc>
          <w:tcPr>
            <w:tcW w:w="1857" w:type="dxa"/>
            <w:vAlign w:val="center"/>
          </w:tcPr>
          <w:p w14:paraId="652BDFA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0.75</w:t>
            </w:r>
          </w:p>
        </w:tc>
      </w:tr>
      <w:tr w14:paraId="471BC4E8">
        <w:trPr>
          <w:trHeight w:val="837" w:hRule="atLeast"/>
        </w:trPr>
        <w:tc>
          <w:tcPr>
            <w:tcW w:w="1857" w:type="dxa"/>
            <w:vAlign w:val="center"/>
          </w:tcPr>
          <w:p w14:paraId="527B2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Query-Aware</w:t>
            </w:r>
          </w:p>
        </w:tc>
        <w:tc>
          <w:tcPr>
            <w:tcW w:w="1353" w:type="dxa"/>
            <w:vAlign w:val="center"/>
          </w:tcPr>
          <w:p w14:paraId="59D8B2E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697.20</w:t>
            </w:r>
          </w:p>
        </w:tc>
        <w:tc>
          <w:tcPr>
            <w:tcW w:w="1429" w:type="dxa"/>
            <w:vAlign w:val="center"/>
          </w:tcPr>
          <w:p w14:paraId="6954733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69.65%</w:t>
            </w:r>
          </w:p>
        </w:tc>
        <w:tc>
          <w:tcPr>
            <w:tcW w:w="1579" w:type="dxa"/>
            <w:vAlign w:val="center"/>
          </w:tcPr>
          <w:p w14:paraId="67D4749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3590.45</w:t>
            </w:r>
          </w:p>
        </w:tc>
        <w:tc>
          <w:tcPr>
            <w:tcW w:w="1519" w:type="dxa"/>
            <w:vAlign w:val="center"/>
          </w:tcPr>
          <w:p w14:paraId="5C88E75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58.01%</w:t>
            </w:r>
          </w:p>
        </w:tc>
        <w:tc>
          <w:tcPr>
            <w:tcW w:w="1857" w:type="dxa"/>
            <w:vAlign w:val="center"/>
          </w:tcPr>
          <w:p w14:paraId="0B2000C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1.50</w:t>
            </w:r>
          </w:p>
        </w:tc>
      </w:tr>
      <w:tr w14:paraId="161ED1B9">
        <w:tc>
          <w:tcPr>
            <w:tcW w:w="1857" w:type="dxa"/>
            <w:vAlign w:val="center"/>
          </w:tcPr>
          <w:p w14:paraId="0F5DD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Query-Aware + Top-2</w:t>
            </w:r>
          </w:p>
        </w:tc>
        <w:tc>
          <w:tcPr>
            <w:tcW w:w="1353" w:type="dxa"/>
            <w:vAlign w:val="center"/>
          </w:tcPr>
          <w:p w14:paraId="1ED10FB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406.35</w:t>
            </w:r>
          </w:p>
        </w:tc>
        <w:tc>
          <w:tcPr>
            <w:tcW w:w="1429" w:type="dxa"/>
            <w:vAlign w:val="center"/>
          </w:tcPr>
          <w:p w14:paraId="55556DA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82.31%</w:t>
            </w:r>
          </w:p>
        </w:tc>
        <w:tc>
          <w:tcPr>
            <w:tcW w:w="1579" w:type="dxa"/>
            <w:vAlign w:val="center"/>
          </w:tcPr>
          <w:p w14:paraId="495D392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2834.52</w:t>
            </w:r>
          </w:p>
        </w:tc>
        <w:tc>
          <w:tcPr>
            <w:tcW w:w="1519" w:type="dxa"/>
            <w:vAlign w:val="center"/>
          </w:tcPr>
          <w:p w14:paraId="1867371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66.85%</w:t>
            </w:r>
          </w:p>
        </w:tc>
        <w:tc>
          <w:tcPr>
            <w:tcW w:w="1857" w:type="dxa"/>
            <w:vAlign w:val="center"/>
          </w:tcPr>
          <w:p w14:paraId="4AB9024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eastAsia="Noto Sans SC Thin" w:cs="Noto Sans SC Thin" w:asciiTheme="minorAscii" w:hAnsiTheme="minorAscii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Style w:val="33"/>
                <w:rFonts w:hint="default" w:eastAsia="SimSun" w:cs="SimSun" w:asciiTheme="minorAscii" w:hAnsiTheme="minorAscii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1.55</w:t>
            </w:r>
          </w:p>
        </w:tc>
      </w:tr>
    </w:tbl>
    <w:p w14:paraId="61B65499">
      <w:pPr>
        <w:spacing w:after="40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7C2C1186">
      <w:pPr>
        <w:spacing w:after="40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22449DA">
      <w:pPr>
        <w:spacing w:after="40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64BCA614">
      <w:pPr>
        <w:spacing w:after="40"/>
        <w:rPr>
          <w:rFonts w:hint="eastAsia" w:asciiTheme="minorAscii" w:hAnsiTheme="minorAscii"/>
          <w:b w:val="0"/>
          <w:i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/>
          <w:b w:val="0"/>
          <w:i w:val="0"/>
          <w:color w:val="000000" w:themeColor="text1"/>
          <w:sz w:val="21"/>
          <w:lang w:val="en-US" w:eastAsia="zh-CN"/>
          <w14:textFill>
            <w14:solidFill>
              <w14:schemeClr w14:val="tx1"/>
            </w14:solidFill>
          </w14:textFill>
        </w:rPr>
        <w:t>各类型题目得分如下：</w:t>
      </w:r>
    </w:p>
    <w:tbl>
      <w:tblPr>
        <w:tblStyle w:val="35"/>
        <w:tblW w:w="95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1998"/>
        <w:gridCol w:w="2599"/>
        <w:gridCol w:w="2626"/>
      </w:tblGrid>
      <w:tr w14:paraId="2F842B4F">
        <w:trPr>
          <w:trHeight w:val="583" w:hRule="atLeast"/>
        </w:trPr>
        <w:tc>
          <w:tcPr>
            <w:tcW w:w="2353" w:type="dxa"/>
            <w:shd w:val="clear" w:color="auto" w:fill="DCE6F2" w:themeFill="accent1" w:themeFillTint="32"/>
            <w:vAlign w:val="center"/>
          </w:tcPr>
          <w:p w14:paraId="28DF60D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Method</w:t>
            </w:r>
          </w:p>
        </w:tc>
        <w:tc>
          <w:tcPr>
            <w:tcW w:w="1998" w:type="dxa"/>
            <w:shd w:val="clear" w:color="auto" w:fill="DCE6F2" w:themeFill="accent1" w:themeFillTint="32"/>
            <w:vAlign w:val="center"/>
          </w:tcPr>
          <w:p w14:paraId="5A129D7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Book</w:t>
            </w:r>
          </w:p>
        </w:tc>
        <w:tc>
          <w:tcPr>
            <w:tcW w:w="2599" w:type="dxa"/>
            <w:shd w:val="clear" w:color="auto" w:fill="DCE6F2" w:themeFill="accent1" w:themeFillTint="32"/>
            <w:vAlign w:val="center"/>
          </w:tcPr>
          <w:p w14:paraId="37F9E85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General</w:t>
            </w:r>
          </w:p>
        </w:tc>
        <w:tc>
          <w:tcPr>
            <w:tcW w:w="2626" w:type="dxa"/>
            <w:shd w:val="clear" w:color="auto" w:fill="DCE6F2" w:themeFill="accent1" w:themeFillTint="32"/>
            <w:vAlign w:val="center"/>
          </w:tcPr>
          <w:p w14:paraId="6CC4245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ajorEastAsia" w:hAnsiTheme="majorEastAsia" w:eastAsiaTheme="majorEastAsia" w:cstheme="majorEastAsia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kern w:val="0"/>
                <w:sz w:val="20"/>
                <w:szCs w:val="20"/>
                <w:lang w:val="en-US" w:eastAsia="zh-CN" w:bidi="ar"/>
              </w:rPr>
              <w:t>Rewrite</w:t>
            </w:r>
          </w:p>
        </w:tc>
      </w:tr>
      <w:tr w14:paraId="073BA1D8">
        <w:tc>
          <w:tcPr>
            <w:tcW w:w="2353" w:type="dxa"/>
            <w:vAlign w:val="center"/>
          </w:tcPr>
          <w:p w14:paraId="2BD2B2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Baseline</w:t>
            </w:r>
          </w:p>
        </w:tc>
        <w:tc>
          <w:tcPr>
            <w:tcW w:w="1998" w:type="dxa"/>
            <w:vAlign w:val="bottom"/>
          </w:tcPr>
          <w:p w14:paraId="3A5ADBF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2.2</w:t>
            </w:r>
          </w:p>
        </w:tc>
        <w:tc>
          <w:tcPr>
            <w:tcW w:w="2599" w:type="dxa"/>
            <w:vAlign w:val="bottom"/>
          </w:tcPr>
          <w:p w14:paraId="497C793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626" w:type="dxa"/>
            <w:vAlign w:val="bottom"/>
          </w:tcPr>
          <w:p w14:paraId="0762391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</w:tr>
      <w:tr w14:paraId="6F4687B2">
        <w:tc>
          <w:tcPr>
            <w:tcW w:w="2353" w:type="dxa"/>
            <w:vAlign w:val="center"/>
          </w:tcPr>
          <w:p w14:paraId="0249278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Standard</w:t>
            </w:r>
          </w:p>
        </w:tc>
        <w:tc>
          <w:tcPr>
            <w:tcW w:w="1998" w:type="dxa"/>
            <w:vAlign w:val="bottom"/>
          </w:tcPr>
          <w:p w14:paraId="23D634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1.6</w:t>
            </w:r>
          </w:p>
        </w:tc>
        <w:tc>
          <w:tcPr>
            <w:tcW w:w="2599" w:type="dxa"/>
            <w:vAlign w:val="bottom"/>
          </w:tcPr>
          <w:p w14:paraId="2326D17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626" w:type="dxa"/>
            <w:vAlign w:val="bottom"/>
          </w:tcPr>
          <w:p w14:paraId="13E16B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0.6</w:t>
            </w:r>
          </w:p>
        </w:tc>
      </w:tr>
      <w:tr w14:paraId="0A41D34D">
        <w:tc>
          <w:tcPr>
            <w:tcW w:w="2353" w:type="dxa"/>
            <w:vAlign w:val="center"/>
          </w:tcPr>
          <w:p w14:paraId="3A24377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Minimal</w:t>
            </w:r>
          </w:p>
        </w:tc>
        <w:tc>
          <w:tcPr>
            <w:tcW w:w="1998" w:type="dxa"/>
            <w:vAlign w:val="bottom"/>
          </w:tcPr>
          <w:p w14:paraId="16FD5FD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</w:t>
            </w:r>
          </w:p>
        </w:tc>
        <w:tc>
          <w:tcPr>
            <w:tcW w:w="2599" w:type="dxa"/>
            <w:vAlign w:val="bottom"/>
          </w:tcPr>
          <w:p w14:paraId="45732D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  <w:tc>
          <w:tcPr>
            <w:tcW w:w="2626" w:type="dxa"/>
            <w:vAlign w:val="bottom"/>
          </w:tcPr>
          <w:p w14:paraId="437EDD0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1.2</w:t>
            </w:r>
          </w:p>
        </w:tc>
      </w:tr>
      <w:tr w14:paraId="02AE0C53">
        <w:tc>
          <w:tcPr>
            <w:tcW w:w="2353" w:type="dxa"/>
            <w:vAlign w:val="center"/>
          </w:tcPr>
          <w:p w14:paraId="70F434B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No RAG</w:t>
            </w:r>
          </w:p>
        </w:tc>
        <w:tc>
          <w:tcPr>
            <w:tcW w:w="1998" w:type="dxa"/>
            <w:vAlign w:val="bottom"/>
          </w:tcPr>
          <w:p w14:paraId="5439B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0.1</w:t>
            </w:r>
          </w:p>
        </w:tc>
        <w:tc>
          <w:tcPr>
            <w:tcW w:w="2599" w:type="dxa"/>
            <w:vAlign w:val="bottom"/>
          </w:tcPr>
          <w:p w14:paraId="29A6057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</w:t>
            </w:r>
          </w:p>
        </w:tc>
        <w:tc>
          <w:tcPr>
            <w:tcW w:w="2626" w:type="dxa"/>
            <w:vAlign w:val="bottom"/>
          </w:tcPr>
          <w:p w14:paraId="4AC9AF9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1355015D">
        <w:tc>
          <w:tcPr>
            <w:tcW w:w="2353" w:type="dxa"/>
            <w:vAlign w:val="center"/>
          </w:tcPr>
          <w:p w14:paraId="310B52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Query-Aware</w:t>
            </w:r>
          </w:p>
        </w:tc>
        <w:tc>
          <w:tcPr>
            <w:tcW w:w="1998" w:type="dxa"/>
            <w:vAlign w:val="bottom"/>
          </w:tcPr>
          <w:p w14:paraId="08395EE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1.6</w:t>
            </w:r>
          </w:p>
        </w:tc>
        <w:tc>
          <w:tcPr>
            <w:tcW w:w="2599" w:type="dxa"/>
            <w:vAlign w:val="bottom"/>
          </w:tcPr>
          <w:p w14:paraId="5B83D22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</w:t>
            </w:r>
          </w:p>
        </w:tc>
        <w:tc>
          <w:tcPr>
            <w:tcW w:w="2626" w:type="dxa"/>
            <w:vAlign w:val="bottom"/>
          </w:tcPr>
          <w:p w14:paraId="710EF59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  <w:tr w14:paraId="227FEEFD">
        <w:trPr>
          <w:trHeight w:val="469" w:hRule="atLeast"/>
        </w:trPr>
        <w:tc>
          <w:tcPr>
            <w:tcW w:w="2353" w:type="dxa"/>
            <w:vAlign w:val="center"/>
          </w:tcPr>
          <w:p w14:paraId="0D0EF3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Query-Aware + Top-2</w:t>
            </w:r>
          </w:p>
        </w:tc>
        <w:tc>
          <w:tcPr>
            <w:tcW w:w="1998" w:type="dxa"/>
            <w:vAlign w:val="bottom"/>
          </w:tcPr>
          <w:p w14:paraId="6949D4B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1.7</w:t>
            </w:r>
          </w:p>
        </w:tc>
        <w:tc>
          <w:tcPr>
            <w:tcW w:w="2599" w:type="dxa"/>
            <w:vAlign w:val="bottom"/>
          </w:tcPr>
          <w:p w14:paraId="5A0F188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2.8</w:t>
            </w:r>
          </w:p>
        </w:tc>
        <w:tc>
          <w:tcPr>
            <w:tcW w:w="2626" w:type="dxa"/>
            <w:vAlign w:val="bottom"/>
          </w:tcPr>
          <w:p w14:paraId="628045A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</w:tbl>
    <w:p w14:paraId="61876297">
      <w:pPr>
        <w:pStyle w:val="3"/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Theme="minorAscii" w:hAnsiTheme="minorAscii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. GitHub</w:t>
      </w:r>
    </w:p>
    <w:p w14:paraId="1763FECB">
      <w:pP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Theme="minorAscii" w:hAnsiTheme="minorAscii"/>
          <w:color w:val="000000" w:themeColor="text1"/>
          <w14:textFill>
            <w14:solidFill>
              <w14:schemeClr w14:val="tx1"/>
            </w14:solidFill>
          </w14:textFill>
        </w:rPr>
        <w:t>https://github.com/pansai-77/dynamic-context-experiment.git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Noto Sans SC Th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DA24E2"/>
    <w:multiLevelType w:val="singleLevel"/>
    <w:tmpl w:val="DFDA24E2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AF12EF"/>
    <w:rsid w:val="1DFF37F2"/>
    <w:rsid w:val="6F7ED8AD"/>
    <w:rsid w:val="7BFDEFDA"/>
    <w:rsid w:val="BB7386A1"/>
    <w:rsid w:val="BBF4C82F"/>
    <w:rsid w:val="C7CF9789"/>
    <w:rsid w:val="F2EF39A6"/>
    <w:rsid w:val="FEE3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Never say die</cp:lastModifiedBy>
  <dcterms:modified xsi:type="dcterms:W3CDTF">2026-07-30T21:29:15Z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4F93933F2A63A885ED0D6B6A1A62B357_42</vt:lpwstr>
  </property>
</Properties>
</file>