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C5E"/>
          <w:sz w:val="40"/>
        </w:rPr>
        <w:t>Expense Reimbursement Policy</w:t>
      </w:r>
    </w:p>
    <w:p>
      <w:r>
        <w:rPr>
          <w:i/>
          <w:sz w:val="26"/>
        </w:rPr>
        <w:t>Atlas Fluid Systems B.V. — Finance</w:t>
      </w:r>
    </w:p>
    <w:p>
      <w:r>
        <w:rPr>
          <w:color w:val="666666"/>
          <w:sz w:val="18"/>
        </w:rPr>
        <w:t>Document No: FIN-POL-011-REV-2  |  Effective: January 2026  |  Applies to: All employees</w:t>
      </w:r>
    </w:p>
    <w:p/>
    <w:p>
      <w:r>
        <w:rPr>
          <w:b/>
          <w:color w:val="1A3C5E"/>
          <w:sz w:val="28"/>
        </w:rPr>
        <w:t>Purpose</w:t>
      </w:r>
    </w:p>
    <w:p>
      <w:r>
        <w:rPr>
          <w:sz w:val="21"/>
        </w:rPr>
        <w:t>This policy defines which business expenses are reimbursable, submission deadlines, and the approval process for the Atlas Expense Portal.</w:t>
      </w:r>
    </w:p>
    <w:p>
      <w:r>
        <w:rPr>
          <w:b/>
          <w:color w:val="1A3C5E"/>
          <w:sz w:val="28"/>
        </w:rPr>
        <w:t>Eligible Expenses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Reimbursement Basis</w:t>
            </w:r>
          </w:p>
        </w:tc>
      </w:tr>
      <w:tr>
        <w:tc>
          <w:tcPr>
            <w:tcW w:type="dxa" w:w="4320"/>
          </w:tcPr>
          <w:p>
            <w:r>
              <w:t>Business travel (flights, rail)</w:t>
            </w:r>
          </w:p>
        </w:tc>
        <w:tc>
          <w:tcPr>
            <w:tcW w:type="dxa" w:w="4320"/>
          </w:tcPr>
          <w:p>
            <w:r>
              <w:t>Actual cost; economy class for trips under 6 hours</w:t>
            </w:r>
          </w:p>
        </w:tc>
      </w:tr>
      <w:tr>
        <w:tc>
          <w:tcPr>
            <w:tcW w:type="dxa" w:w="4320"/>
          </w:tcPr>
          <w:p>
            <w:r>
              <w:t>Accommodation</w:t>
            </w:r>
          </w:p>
        </w:tc>
        <w:tc>
          <w:tcPr>
            <w:tcW w:type="dxa" w:w="4320"/>
          </w:tcPr>
          <w:p>
            <w:r>
              <w:t>Actual cost, up to regional nightly caps</w:t>
            </w:r>
          </w:p>
        </w:tc>
      </w:tr>
      <w:tr>
        <w:tc>
          <w:tcPr>
            <w:tcW w:type="dxa" w:w="4320"/>
          </w:tcPr>
          <w:p>
            <w:r>
              <w:t>Meals while traveling</w:t>
            </w:r>
          </w:p>
        </w:tc>
        <w:tc>
          <w:tcPr>
            <w:tcW w:type="dxa" w:w="4320"/>
          </w:tcPr>
          <w:p>
            <w:r>
              <w:t>Per diem of €45/day (or local currency equivalent)</w:t>
            </w:r>
          </w:p>
        </w:tc>
      </w:tr>
      <w:tr>
        <w:tc>
          <w:tcPr>
            <w:tcW w:type="dxa" w:w="4320"/>
          </w:tcPr>
          <w:p>
            <w:r>
              <w:t>Mileage — personal vehicle</w:t>
            </w:r>
          </w:p>
        </w:tc>
        <w:tc>
          <w:tcPr>
            <w:tcW w:type="dxa" w:w="4320"/>
          </w:tcPr>
          <w:p>
            <w:r>
              <w:t>€0.23/km</w:t>
            </w:r>
          </w:p>
        </w:tc>
      </w:tr>
      <w:tr>
        <w:tc>
          <w:tcPr>
            <w:tcW w:type="dxa" w:w="4320"/>
          </w:tcPr>
          <w:p>
            <w:r>
              <w:t>Client entertainment</w:t>
            </w:r>
          </w:p>
        </w:tc>
        <w:tc>
          <w:tcPr>
            <w:tcW w:type="dxa" w:w="4320"/>
          </w:tcPr>
          <w:p>
            <w:r>
              <w:t>Actual cost, with prior manager approval and attendee list</w:t>
            </w:r>
          </w:p>
        </w:tc>
      </w:tr>
    </w:tbl>
    <w:p/>
    <w:p>
      <w:r>
        <w:rPr>
          <w:b/>
          <w:color w:val="1A3C5E"/>
          <w:sz w:val="28"/>
        </w:rPr>
        <w:t>Non-Reimbursable Items</w:t>
      </w:r>
    </w:p>
    <w:p>
      <w:pPr>
        <w:pStyle w:val="ListBullet"/>
      </w:pPr>
      <w:r>
        <w:rPr>
          <w:sz w:val="21"/>
        </w:rPr>
        <w:t>Personal entertainment, minibar charges, and in-flight upgrades.</w:t>
      </w:r>
    </w:p>
    <w:p>
      <w:pPr>
        <w:pStyle w:val="ListBullet"/>
      </w:pPr>
      <w:r>
        <w:rPr>
          <w:sz w:val="21"/>
        </w:rPr>
        <w:t>Traffic and parking fines.</w:t>
      </w:r>
    </w:p>
    <w:p>
      <w:pPr>
        <w:pStyle w:val="ListBullet"/>
      </w:pPr>
      <w:r>
        <w:rPr>
          <w:sz w:val="21"/>
        </w:rPr>
        <w:t>Expenses without an itemized receipt (credit card statements alone are not accepted).</w:t>
      </w:r>
    </w:p>
    <w:p>
      <w:pPr>
        <w:pStyle w:val="ListBullet"/>
      </w:pPr>
      <w:r>
        <w:rPr>
          <w:sz w:val="21"/>
        </w:rPr>
        <w:t>Alcohol, except where part of approved client entertainment.</w:t>
      </w:r>
    </w:p>
    <w:p>
      <w:r>
        <w:rPr>
          <w:b/>
          <w:color w:val="1A3C5E"/>
          <w:sz w:val="28"/>
        </w:rPr>
        <w:t>Submission Process &amp; Deadlines</w:t>
      </w:r>
    </w:p>
    <w:p>
      <w:r>
        <w:rPr>
          <w:sz w:val="21"/>
        </w:rPr>
        <w:t>Expenses must be submitted through the Atlas Expense Portal within 30 days of being incurred. Each line item requires an itemized receipt and a business justification. Expenses submitted after 60 days require Finance Director approval.</w:t>
      </w:r>
    </w:p>
    <w:p>
      <w:r>
        <w:rPr>
          <w:b/>
          <w:color w:val="1A3C5E"/>
          <w:sz w:val="28"/>
        </w:rPr>
        <w:t>Approval Workflow</w:t>
      </w:r>
    </w:p>
    <w:p>
      <w:r>
        <w:rPr>
          <w:sz w:val="21"/>
        </w:rPr>
        <w:t>Direct manager approval is required for all claims. Claims exceeding €1,000 require additional approval from the relevant department head. Approved claims are reimbursed within the next two payroll cycles.</w:t>
      </w:r>
    </w:p>
    <w:p>
      <w:r>
        <w:rPr>
          <w:b/>
          <w:color w:val="1A3C5E"/>
          <w:sz w:val="28"/>
        </w:rPr>
        <w:t>Corporate Card Policy</w:t>
      </w:r>
    </w:p>
    <w:p>
      <w:r>
        <w:rPr>
          <w:sz w:val="21"/>
        </w:rPr>
        <w:t>Employees who travel more than 4 times per year are eligible for an Atlas corporate card. Corporate card transactions must still be reconciled in the Expense Portal within 30 days; unreconciled balances may result in card suspension.</w:t>
      </w:r>
    </w:p>
    <w:p/>
    <w:p>
      <w:r>
        <w:rPr>
          <w:i/>
          <w:color w:val="8A1F1F"/>
          <w:sz w:val="16"/>
        </w:rPr>
        <w:t>SYNTHETIC DOCUMENT — created for a portfolio project simulation.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