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BAA1" w14:textId="77777777" w:rsidR="00515BBE" w:rsidRPr="00991257" w:rsidRDefault="00515BBE" w:rsidP="00515BBE">
      <w:pPr>
        <w:rPr>
          <w:rFonts w:cs="Times New Roman"/>
        </w:rPr>
      </w:pPr>
      <w:r w:rsidRPr="00991257">
        <w:rPr>
          <w:rFonts w:cs="Times New Roman"/>
        </w:rPr>
        <w:t>System-level resilience may mask substantial differences in the timing and location of service restoration. Building on the simulator outputs used in previous works, this task introduces equity-oriented measures and a Community Resilience Index (CRI) to quantify not only aggregate recovery, but also the distribution of recovery outcomes across the study area.</w:t>
      </w:r>
    </w:p>
    <w:p w14:paraId="7860B7EF" w14:textId="77777777" w:rsidR="00515BBE" w:rsidRPr="00991257" w:rsidRDefault="00515BBE" w:rsidP="00515BBE">
      <w:pPr>
        <w:rPr>
          <w:rFonts w:cs="Times New Roman"/>
        </w:rPr>
      </w:pPr>
      <w:r w:rsidRPr="00991257">
        <w:rPr>
          <w:rFonts w:cs="Times New Roman"/>
        </w:rPr>
        <w:t xml:space="preserve">To make distributional outcomes explicit, the study area will be partitioned into analysis zones consistent with the demand and load mappings. For each zone </w:t>
      </w:r>
      <m:oMath>
        <m:r>
          <w:rPr>
            <w:rFonts w:ascii="Cambria Math" w:hAnsi="Cambria Math" w:cs="Times New Roman"/>
          </w:rPr>
          <m:t>z</m:t>
        </m:r>
      </m:oMath>
      <w:r w:rsidRPr="00991257">
        <w:rPr>
          <w:rFonts w:cs="Times New Roman"/>
        </w:rPr>
        <w:t xml:space="preserve"> and time </w:t>
      </w:r>
      <m:oMath>
        <m:r>
          <w:rPr>
            <w:rFonts w:ascii="Cambria Math" w:hAnsi="Cambria Math" w:cs="Times New Roman"/>
          </w:rPr>
          <m:t>t</m:t>
        </m:r>
      </m:oMath>
      <w:r w:rsidRPr="00991257">
        <w:rPr>
          <w:rFonts w:cs="Times New Roman"/>
        </w:rPr>
        <w:t xml:space="preserve">, zone-level quantities will be tracked, including (i) electric service </w:t>
      </w:r>
      <w:proofErr w:type="gramStart"/>
      <w:r w:rsidRPr="00991257">
        <w:rPr>
          <w:rFonts w:cs="Times New Roman"/>
        </w:rPr>
        <w:t>availability  and</w:t>
      </w:r>
      <w:proofErr w:type="gramEnd"/>
      <w:r w:rsidRPr="00991257">
        <w:rPr>
          <w:rFonts w:cs="Times New Roman"/>
        </w:rPr>
        <w:t xml:space="preserve"> (ii) a transportation accessibility indicator aligned with the recovery setting (e.g., zone access to specified essential destinations under prevailing road and power states).</w:t>
      </w:r>
    </w:p>
    <w:p w14:paraId="317D38FF" w14:textId="77777777" w:rsidR="00515BBE" w:rsidRPr="00991257" w:rsidRDefault="00515BBE" w:rsidP="00515BBE">
      <w:pPr>
        <w:rPr>
          <w:rFonts w:cs="Times New Roman"/>
        </w:rPr>
      </w:pPr>
      <w:r w:rsidRPr="00991257">
        <w:rPr>
          <w:rFonts w:cs="Times New Roman"/>
        </w:rPr>
        <w:t xml:space="preserve">These zone-level quantities will be combined into a zone-level CRI, denoted </w:t>
      </w:r>
      <m:oMath>
        <m:sSub>
          <m:sSubPr>
            <m:ctrlPr>
              <w:rPr>
                <w:rFonts w:ascii="Cambria Math" w:hAnsi="Cambria Math" w:cs="Times New Roman"/>
              </w:rPr>
            </m:ctrlPr>
          </m:sSubPr>
          <m:e>
            <m:r>
              <m:rPr>
                <m:sty m:val="p"/>
              </m:rPr>
              <w:rPr>
                <w:rFonts w:ascii="Cambria Math" w:hAnsi="Cambria Math" w:cs="Times New Roman"/>
              </w:rPr>
              <m:t>CRI</m:t>
            </m:r>
          </m:e>
          <m:sub>
            <m:r>
              <w:rPr>
                <w:rFonts w:ascii="Cambria Math" w:hAnsi="Cambria Math" w:cs="Times New Roman"/>
              </w:rPr>
              <m:t>z</m:t>
            </m:r>
          </m:sub>
        </m:sSub>
        <m:r>
          <w:rPr>
            <w:rFonts w:ascii="Cambria Math" w:hAnsi="Cambria Math" w:cs="Times New Roman"/>
          </w:rPr>
          <m:t>(t)</m:t>
        </m:r>
      </m:oMath>
      <w:r w:rsidRPr="00991257">
        <w:rPr>
          <w:rFonts w:cs="Times New Roman"/>
        </w:rPr>
        <w:t xml:space="preserve">, using clearly defined normalization and weights. In this construction, the zone-level indicators are the CRI components, and equity is evaluated through how </w:t>
      </w:r>
      <m:oMath>
        <m:sSub>
          <m:sSubPr>
            <m:ctrlPr>
              <w:rPr>
                <w:rFonts w:ascii="Cambria Math" w:hAnsi="Cambria Math" w:cs="Times New Roman"/>
              </w:rPr>
            </m:ctrlPr>
          </m:sSubPr>
          <m:e>
            <m:r>
              <m:rPr>
                <m:sty m:val="p"/>
              </m:rPr>
              <w:rPr>
                <w:rFonts w:ascii="Cambria Math" w:hAnsi="Cambria Math" w:cs="Times New Roman"/>
              </w:rPr>
              <m:t>CRI</m:t>
            </m:r>
          </m:e>
          <m:sub>
            <m:r>
              <w:rPr>
                <w:rFonts w:ascii="Cambria Math" w:hAnsi="Cambria Math" w:cs="Times New Roman"/>
              </w:rPr>
              <m:t>z</m:t>
            </m:r>
          </m:sub>
        </m:sSub>
        <m:r>
          <w:rPr>
            <w:rFonts w:ascii="Cambria Math" w:hAnsi="Cambria Math" w:cs="Times New Roman"/>
          </w:rPr>
          <m:t>(t)</m:t>
        </m:r>
      </m:oMath>
      <w:r w:rsidRPr="00991257">
        <w:rPr>
          <w:rFonts w:cs="Times New Roman"/>
        </w:rPr>
        <w:t xml:space="preserve">(and associated restoration-time summaries) varies across zones. </w:t>
      </w:r>
      <w:r>
        <w:rPr>
          <w:rFonts w:cs="Times New Roman" w:hint="eastAsia"/>
        </w:rPr>
        <w:t>Some</w:t>
      </w:r>
      <w:r w:rsidRPr="00991257">
        <w:rPr>
          <w:rFonts w:cs="Times New Roman"/>
        </w:rPr>
        <w:t xml:space="preserve"> alternative weight/threshold choices may be examined through sensitivity analysis to avoid over-interpreting any single specification.</w:t>
      </w:r>
    </w:p>
    <w:p w14:paraId="2C005B24" w14:textId="77777777" w:rsidR="00515BBE" w:rsidRPr="00991257" w:rsidRDefault="00515BBE" w:rsidP="00515BBE">
      <w:pPr>
        <w:rPr>
          <w:rFonts w:cs="Times New Roman"/>
        </w:rPr>
      </w:pPr>
      <w:r w:rsidRPr="00991257">
        <w:rPr>
          <w:rFonts w:cs="Times New Roman"/>
        </w:rPr>
        <w:t xml:space="preserve">Based on </w:t>
      </w:r>
      <m:oMath>
        <m:sSub>
          <m:sSubPr>
            <m:ctrlPr>
              <w:rPr>
                <w:rFonts w:ascii="Cambria Math" w:hAnsi="Cambria Math" w:cs="Times New Roman"/>
              </w:rPr>
            </m:ctrlPr>
          </m:sSubPr>
          <m:e>
            <m:r>
              <m:rPr>
                <m:sty m:val="p"/>
              </m:rPr>
              <w:rPr>
                <w:rFonts w:ascii="Cambria Math" w:hAnsi="Cambria Math" w:cs="Times New Roman"/>
              </w:rPr>
              <m:t>CRI</m:t>
            </m:r>
          </m:e>
          <m:sub>
            <m:r>
              <w:rPr>
                <w:rFonts w:ascii="Cambria Math" w:hAnsi="Cambria Math" w:cs="Times New Roman"/>
              </w:rPr>
              <m:t>z</m:t>
            </m:r>
          </m:sub>
        </m:sSub>
        <m:r>
          <w:rPr>
            <w:rFonts w:ascii="Cambria Math" w:hAnsi="Cambria Math" w:cs="Times New Roman"/>
          </w:rPr>
          <m:t>(t)</m:t>
        </m:r>
      </m:oMath>
      <w:r w:rsidRPr="00991257">
        <w:rPr>
          <w:rFonts w:cs="Times New Roman"/>
        </w:rPr>
        <w:t xml:space="preserve">, Task B will define equity measures that reflect the distribution of recovery outcomes. Candidate measures include dispersion-type metrics across zones (e.g., variance- or Gini-like indices of restoration duration), percentile-based targets (e.g., time by which a large share of zones or customers reach an adequate service level), and </w:t>
      </w:r>
      <w:proofErr w:type="gramStart"/>
      <w:r w:rsidRPr="00991257">
        <w:rPr>
          <w:rFonts w:cs="Times New Roman"/>
        </w:rPr>
        <w:t>critical access</w:t>
      </w:r>
      <w:proofErr w:type="gramEnd"/>
      <w:r w:rsidRPr="00991257">
        <w:rPr>
          <w:rFonts w:cs="Times New Roman"/>
        </w:rPr>
        <w:t xml:space="preserve"> status measures when essential facilities are included in the accessibility component. These measures are intended to support both reporting and the design of equity-oriented restoration rules.</w:t>
      </w:r>
    </w:p>
    <w:p w14:paraId="24B53904" w14:textId="77777777" w:rsidR="00515BBE" w:rsidRPr="00991257" w:rsidRDefault="00515BBE" w:rsidP="00515BBE">
      <w:pPr>
        <w:rPr>
          <w:rFonts w:cs="Times New Roman"/>
        </w:rPr>
      </w:pPr>
      <w:r w:rsidRPr="00991257">
        <w:rPr>
          <w:rFonts w:cs="Times New Roman"/>
        </w:rPr>
        <w:t>Task B will then examine efficiency–equity trade-offs without assuming that a single “optimal” formulation is available or necessary. The approach will generate a set of feasible repair sequences by systematically varying how equity is incorporated into decision rules as well as arbitrary tuning</w:t>
      </w:r>
      <w:r>
        <w:rPr>
          <w:rFonts w:cs="Times New Roman" w:hint="eastAsia"/>
        </w:rPr>
        <w:t xml:space="preserve"> weights/parameters</w:t>
      </w:r>
      <w:r w:rsidRPr="00991257">
        <w:rPr>
          <w:rFonts w:cs="Times New Roman"/>
        </w:rPr>
        <w:t>, while evaluating every sequence on both (</w:t>
      </w:r>
      <w:proofErr w:type="spellStart"/>
      <w:r w:rsidRPr="00991257">
        <w:rPr>
          <w:rFonts w:cs="Times New Roman"/>
        </w:rPr>
        <w:t>i</w:t>
      </w:r>
      <w:proofErr w:type="spellEnd"/>
      <w:r w:rsidRPr="00991257">
        <w:rPr>
          <w:rFonts w:cs="Times New Roman"/>
        </w:rPr>
        <w:t xml:space="preserve">) resilience-triangle performance and (ii) equity/CRI outcomes. For example, equity can be introduced </w:t>
      </w:r>
      <w:r>
        <w:rPr>
          <w:rFonts w:cs="Times New Roman"/>
        </w:rPr>
        <w:t xml:space="preserve">by </w:t>
      </w:r>
      <w:r w:rsidRPr="00991257">
        <w:rPr>
          <w:rFonts w:cs="Times New Roman"/>
        </w:rPr>
        <w:t>reweighting toward lower-service zones, or simple guardrail constraints that limit excessive disparities. The analysis can then produce an empirical trade-off curve and identify sequences that are non-dominated with respect to the two objectives.</w:t>
      </w:r>
    </w:p>
    <w:p w14:paraId="57590620" w14:textId="77777777" w:rsidR="00515BBE" w:rsidRPr="00991257" w:rsidRDefault="00515BBE" w:rsidP="00515BBE">
      <w:pPr>
        <w:rPr>
          <w:rFonts w:cs="Times New Roman"/>
        </w:rPr>
      </w:pPr>
      <w:r w:rsidRPr="00991257">
        <w:rPr>
          <w:rFonts w:cs="Times New Roman"/>
        </w:rPr>
        <w:t>Trade-offs will be summarized by comparing changes in resilience-triangle loss against changes in equity indicators across this parameterized set of sequences. This task supports RQ2 by quantifying how prioritization choices influence both overall recovery efficiency and the distribution of recovery benefits, within the same interdependent recovery setting and scenario specifications used before.</w:t>
      </w:r>
    </w:p>
    <w:p w14:paraId="32503E0C" w14:textId="77777777" w:rsidR="00D7717A" w:rsidRDefault="00D7717A"/>
    <w:sectPr w:rsidR="00D77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BE"/>
    <w:rsid w:val="00515BBE"/>
    <w:rsid w:val="00593F0C"/>
    <w:rsid w:val="006C78BA"/>
    <w:rsid w:val="00C16443"/>
    <w:rsid w:val="00C97106"/>
    <w:rsid w:val="00D7717A"/>
    <w:rsid w:val="00F6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D658"/>
  <w15:chartTrackingRefBased/>
  <w15:docId w15:val="{DAD16640-3D0B-4330-8480-AF7F609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BE"/>
    <w:pPr>
      <w:spacing w:after="0"/>
      <w:jc w:val="both"/>
    </w:pPr>
    <w:rPr>
      <w:rFonts w:ascii="Times New Roman" w:hAnsi="Times New Roman"/>
    </w:rPr>
  </w:style>
  <w:style w:type="paragraph" w:styleId="Heading1">
    <w:name w:val="heading 1"/>
    <w:basedOn w:val="Normal"/>
    <w:next w:val="Normal"/>
    <w:link w:val="Heading1Char"/>
    <w:uiPriority w:val="9"/>
    <w:qFormat/>
    <w:rsid w:val="00515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F0C"/>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593F0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515B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5B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5BB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BB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BB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BB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F0C"/>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593F0C"/>
    <w:rPr>
      <w:rFonts w:ascii="Times New Roman" w:eastAsiaTheme="majorEastAsia" w:hAnsi="Times New Roman" w:cstheme="majorBidi"/>
      <w:b/>
      <w:color w:val="000000" w:themeColor="text1"/>
      <w:sz w:val="28"/>
      <w:szCs w:val="28"/>
    </w:rPr>
  </w:style>
  <w:style w:type="character" w:customStyle="1" w:styleId="Heading1Char">
    <w:name w:val="Heading 1 Char"/>
    <w:basedOn w:val="DefaultParagraphFont"/>
    <w:link w:val="Heading1"/>
    <w:uiPriority w:val="9"/>
    <w:rsid w:val="00515BBE"/>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515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BE"/>
    <w:rPr>
      <w:rFonts w:eastAsiaTheme="majorEastAsia" w:cstheme="majorBidi"/>
      <w:color w:val="272727" w:themeColor="text1" w:themeTint="D8"/>
    </w:rPr>
  </w:style>
  <w:style w:type="paragraph" w:styleId="Title">
    <w:name w:val="Title"/>
    <w:basedOn w:val="Normal"/>
    <w:next w:val="Normal"/>
    <w:link w:val="TitleChar"/>
    <w:uiPriority w:val="10"/>
    <w:qFormat/>
    <w:rsid w:val="00515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BBE"/>
    <w:rPr>
      <w:rFonts w:ascii="Times New Roman" w:hAnsi="Times New Roman"/>
      <w:i/>
      <w:iCs/>
      <w:color w:val="404040" w:themeColor="text1" w:themeTint="BF"/>
    </w:rPr>
  </w:style>
  <w:style w:type="paragraph" w:styleId="ListParagraph">
    <w:name w:val="List Paragraph"/>
    <w:basedOn w:val="Normal"/>
    <w:uiPriority w:val="34"/>
    <w:qFormat/>
    <w:rsid w:val="00515BBE"/>
    <w:pPr>
      <w:spacing w:after="160"/>
      <w:ind w:left="720"/>
      <w:contextualSpacing/>
    </w:pPr>
  </w:style>
  <w:style w:type="character" w:styleId="IntenseEmphasis">
    <w:name w:val="Intense Emphasis"/>
    <w:basedOn w:val="DefaultParagraphFont"/>
    <w:uiPriority w:val="21"/>
    <w:qFormat/>
    <w:rsid w:val="00515BBE"/>
    <w:rPr>
      <w:i/>
      <w:iCs/>
      <w:color w:val="0F4761" w:themeColor="accent1" w:themeShade="BF"/>
    </w:rPr>
  </w:style>
  <w:style w:type="paragraph" w:styleId="IntenseQuote">
    <w:name w:val="Intense Quote"/>
    <w:basedOn w:val="Normal"/>
    <w:next w:val="Normal"/>
    <w:link w:val="IntenseQuoteChar"/>
    <w:uiPriority w:val="30"/>
    <w:qFormat/>
    <w:rsid w:val="00515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BBE"/>
    <w:rPr>
      <w:rFonts w:ascii="Times New Roman" w:hAnsi="Times New Roman"/>
      <w:i/>
      <w:iCs/>
      <w:color w:val="0F4761" w:themeColor="accent1" w:themeShade="BF"/>
    </w:rPr>
  </w:style>
  <w:style w:type="character" w:styleId="IntenseReference">
    <w:name w:val="Intense Reference"/>
    <w:basedOn w:val="DefaultParagraphFont"/>
    <w:uiPriority w:val="32"/>
    <w:qFormat/>
    <w:rsid w:val="00515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2557</Characters>
  <Application>Microsoft Office Word</Application>
  <DocSecurity>0</DocSecurity>
  <Lines>41</Lines>
  <Paragraphs>12</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Shidong Pan</dc:creator>
  <cp:keywords/>
  <dc:description/>
  <cp:lastModifiedBy>Shidong Pan</cp:lastModifiedBy>
  <cp:revision>1</cp:revision>
  <dcterms:created xsi:type="dcterms:W3CDTF">2026-03-21T18:45:00Z</dcterms:created>
  <dcterms:modified xsi:type="dcterms:W3CDTF">2026-03-21T18:45:00Z</dcterms:modified>
</cp:coreProperties>
</file>