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3"/>
        <w:pBdr/>
        <w:spacing/>
        <w:ind/>
        <w:rPr>
          <w14:ligatures w14:val="none"/>
        </w:rPr>
      </w:pPr>
      <w:r>
        <w:t xml:space="preserve">Risk Assessments</w:t>
      </w:r>
      <w:r/>
    </w:p>
    <w:p>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highlight w:val="none"/>
        </w:rPr>
      </w:pPr>
      <w:r>
        <w:rPr>
          <w:rFonts w:ascii="Arial" w:hAnsi="Arial" w:eastAsia="Arial" w:cs="Arial"/>
          <w:b/>
          <w:color w:val="000000"/>
          <w:sz w:val="24"/>
        </w:rPr>
        <w:t xml:space="preserve">Project Title</w:t>
        <w:br/>
      </w:r>
      <w:r>
        <w:rPr>
          <w:rFonts w:ascii="Arial" w:hAnsi="Arial" w:eastAsia="Arial" w:cs="Arial"/>
          <w:i/>
          <w:color w:val="000000"/>
          <w:sz w:val="24"/>
        </w:rPr>
        <w:t xml:space="preserve">Enter the title of your risk assessment document.</w:t>
      </w:r>
      <w:r>
        <w:rPr>
          <w:rFonts w:ascii="Arial" w:hAnsi="Arial" w:eastAsia="Arial" w:cs="Arial"/>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Cs/>
          <w:i/>
          <w:color w:val="ff0000"/>
          <w:sz w:val="24"/>
          <w:szCs w:val="24"/>
          <w:highlight w:val="none"/>
        </w:rPr>
      </w:pPr>
      <w:r>
        <w:rPr>
          <w:rFonts w:ascii="Arial" w:hAnsi="Arial" w:eastAsia="Arial" w:cs="Arial"/>
          <w:i/>
          <w:iCs/>
          <w:color w:val="ff0000"/>
          <w:highlight w:val="none"/>
        </w:rPr>
        <w:t xml:space="preserve">You should complete two of these one before you have secured the infrastructure and one after. As your treatment plans will be based on the residual risk after you have completed securing the infrastructure.</w:t>
      </w:r>
      <w:r>
        <w:rPr>
          <w:rFonts w:ascii="Arial" w:hAnsi="Arial" w:cs="Arial"/>
          <w:bCs/>
          <w:i/>
          <w:color w:val="ff0000"/>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bCs/>
          <w:i/>
          <w:color w:val="ff0000"/>
          <w:sz w:val="22"/>
          <w:szCs w:val="22"/>
        </w:rPr>
      </w:pPr>
      <w:r>
        <w:rPr>
          <w:rFonts w:ascii="Arial" w:hAnsi="Arial" w:cs="Arial"/>
          <w:bCs/>
          <w:i/>
          <w:color w:val="ff0000"/>
          <w:sz w:val="22"/>
          <w:szCs w:val="22"/>
          <w:highlight w:val="none"/>
        </w:rPr>
        <w:t xml:space="preserve">Please note only risk assess your cloud infrastructure and people and assets related to it not the wider organization. </w:t>
      </w:r>
      <w:r>
        <w:rPr>
          <w:rFonts w:ascii="Arial" w:hAnsi="Arial" w:cs="Arial"/>
          <w:bCs/>
          <w:i/>
          <w:color w:val="ff0000"/>
          <w:sz w:val="22"/>
          <w:szCs w:val="22"/>
          <w:highlight w:val="none"/>
        </w:rPr>
      </w:r>
    </w:p>
    <w:p>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1. Introduction</w:t>
      </w:r>
      <w:r>
        <w:rPr>
          <w:rFonts w:ascii="Arial" w:hAnsi="Arial" w:eastAsia="Arial" w:cs="Arial"/>
        </w:rPr>
      </w:r>
    </w:p>
    <w:p>
      <w:pPr>
        <w:pStyle w:val="895"/>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Purpose:</w:t>
        <w:br/>
      </w:r>
      <w:r>
        <w:rPr>
          <w:rFonts w:ascii="Arial" w:hAnsi="Arial" w:eastAsia="Arial" w:cs="Arial"/>
          <w:i/>
          <w:color w:val="000000"/>
          <w:sz w:val="24"/>
        </w:rPr>
        <w:t xml:space="preserve">Explain the purpose of the risk assessment.</w:t>
      </w:r>
      <w:r>
        <w:rPr>
          <w:rFonts w:ascii="Arial" w:hAnsi="Arial" w:eastAsia="Arial" w:cs="Arial"/>
        </w:rPr>
      </w:r>
    </w:p>
    <w:p>
      <w:pPr>
        <w:pStyle w:val="895"/>
        <w:numPr>
          <w:ilvl w:val="0"/>
          <w:numId w:val="12"/>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Scope:</w:t>
        <w:br/>
      </w:r>
      <w:r>
        <w:rPr>
          <w:rFonts w:ascii="Arial" w:hAnsi="Arial" w:eastAsia="Arial" w:cs="Arial"/>
          <w:i/>
          <w:color w:val="000000"/>
          <w:sz w:val="24"/>
        </w:rPr>
        <w:t xml:space="preserve">Define the scope, including systems, processes, and departments covered.</w:t>
      </w:r>
      <w:r>
        <w:rPr>
          <w:rFonts w:ascii="Arial" w:hAnsi="Arial" w:eastAsia="Arial" w:cs="Arial"/>
        </w:rPr>
      </w:r>
    </w:p>
    <w:p>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2. Risk Identification</w:t>
      </w:r>
      <w:r>
        <w:rPr>
          <w:rFonts w:ascii="Arial" w:hAnsi="Arial" w:eastAsia="Arial" w:cs="Arial"/>
        </w:rPr>
      </w:r>
    </w:p>
    <w:p>
      <w:pPr>
        <w:pStyle w:val="895"/>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Identified Risks:</w:t>
        <w:br/>
      </w:r>
      <w:r>
        <w:rPr>
          <w:rFonts w:ascii="Arial" w:hAnsi="Arial" w:eastAsia="Arial" w:cs="Arial"/>
          <w:i/>
          <w:color w:val="000000"/>
          <w:sz w:val="24"/>
        </w:rPr>
        <w:t xml:space="preserve">List and describe each identified risk.</w:t>
      </w:r>
      <w:r>
        <w:rPr>
          <w:rFonts w:ascii="Arial" w:hAnsi="Arial" w:eastAsia="Arial" w:cs="Arial"/>
        </w:rPr>
      </w:r>
    </w:p>
    <w:p>
      <w:pPr>
        <w:pStyle w:val="895"/>
        <w:numPr>
          <w:ilvl w:val="0"/>
          <w:numId w:val="13"/>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Risk Sources:</w:t>
        <w:br/>
      </w:r>
      <w:r>
        <w:rPr>
          <w:rFonts w:ascii="Arial" w:hAnsi="Arial" w:eastAsia="Arial" w:cs="Arial"/>
          <w:i/>
          <w:color w:val="000000"/>
          <w:sz w:val="24"/>
        </w:rPr>
        <w:t xml:space="preserve">Identify the sources of each risk.</w:t>
      </w:r>
      <w:r>
        <w:rPr>
          <w:rFonts w:ascii="Arial" w:hAnsi="Arial" w:eastAsia="Arial" w:cs="Arial"/>
        </w:rPr>
      </w:r>
    </w:p>
    <w:p>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3. Threat Identification</w:t>
      </w:r>
      <w:r>
        <w:rPr>
          <w:rFonts w:ascii="Arial" w:hAnsi="Arial" w:eastAsia="Arial" w:cs="Arial"/>
        </w:rPr>
      </w:r>
    </w:p>
    <w:p>
      <w:pPr>
        <w:pStyle w:val="895"/>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Potential Threats:</w:t>
        <w:br/>
      </w:r>
      <w:r>
        <w:rPr>
          <w:rFonts w:ascii="Arial" w:hAnsi="Arial" w:eastAsia="Arial" w:cs="Arial"/>
          <w:i/>
          <w:color w:val="000000"/>
          <w:sz w:val="24"/>
        </w:rPr>
        <w:t xml:space="preserve">Identify and describe potential threats associated with each risk.</w:t>
      </w:r>
      <w:r>
        <w:rPr>
          <w:rFonts w:ascii="Arial" w:hAnsi="Arial" w:eastAsia="Arial" w:cs="Arial"/>
        </w:rPr>
      </w:r>
    </w:p>
    <w:p>
      <w:pPr>
        <w:pStyle w:val="895"/>
        <w:numPr>
          <w:ilvl w:val="0"/>
          <w:numId w:val="14"/>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Threat Sources:</w:t>
        <w:br/>
      </w:r>
      <w:r>
        <w:rPr>
          <w:rFonts w:ascii="Arial" w:hAnsi="Arial" w:eastAsia="Arial" w:cs="Arial"/>
          <w:i/>
          <w:color w:val="000000"/>
          <w:sz w:val="24"/>
        </w:rPr>
        <w:t xml:space="preserve">Detail the sources of these threats (e.g., cybercriminals, insiders, natural disasters).</w:t>
      </w:r>
      <w:r>
        <w:rPr>
          <w:rFonts w:ascii="Arial" w:hAnsi="Arial" w:eastAsia="Arial" w:cs="Arial"/>
        </w:rPr>
      </w:r>
    </w:p>
    <w:p>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4. Risk Analysis</w:t>
      </w:r>
      <w:r>
        <w:rPr>
          <w:rFonts w:ascii="Arial" w:hAnsi="Arial" w:eastAsia="Arial" w:cs="Arial"/>
        </w:rPr>
      </w:r>
    </w:p>
    <w:p>
      <w:pPr>
        <w:pBdr/>
        <w:spacing/>
        <w:ind/>
        <w:rPr>
          <w:bCs/>
          <w:i/>
          <w:highlight w:val="none"/>
        </w:rPr>
      </w:pPr>
      <w:r>
        <w:rPr>
          <w:i/>
          <w:iCs/>
        </w:rPr>
        <w:t xml:space="preserve">Try to break this down by asset, then threats for each asset and then the vulnerabilities for them</w:t>
      </w:r>
      <w:r>
        <w:rPr>
          <w:bCs/>
          <w:i/>
        </w:rPr>
        <w:t xml:space="preserve"> so e.g. Risk 1 could be Asset (Virtual Private Cloud) – Threat (Port Flooding) – Vulnerabilities (Open ACL and SGs)</w:t>
      </w:r>
      <w:r>
        <w:rPr>
          <w:bCs/>
          <w:i/>
        </w:rPr>
        <w:t xml:space="preserve"> </w:t>
      </w:r>
      <w:r>
        <w:rPr>
          <w:bCs/>
          <w:i/>
          <w:highlight w:val="none"/>
        </w:rPr>
        <w:t xml:space="preserve">you would then score the likelihood and impact of the three combined.</w:t>
      </w:r>
      <w:r>
        <w:rPr>
          <w:bCs/>
          <w:i/>
        </w:rPr>
        <w:t xml:space="preserve"> Risk 2 could then just vary the threat and vulnerabilities so the asset would stay the same but it could be Asset (Virtual Private Cloud) – Threat (</w:t>
      </w:r>
      <w:r>
        <w:rPr>
          <w:bCs/>
          <w:i/>
        </w:rPr>
        <w:t xml:space="preserve">Unauthorized Access</w:t>
      </w:r>
      <w:r/>
      <w:r>
        <w:rPr>
          <w:bCs/>
          <w:i/>
        </w:rPr>
        <w:t xml:space="preserve">) – Vulnerabilities (, </w:t>
      </w:r>
      <w:r>
        <w:rPr>
          <w:bCs/>
          <w:i/>
        </w:rPr>
        <w:t xml:space="preserve">Public DNS and IPv4 Resources)</w:t>
      </w:r>
      <w:r>
        <w:rPr>
          <w:bCs/>
          <w:i/>
        </w:rPr>
        <w:t xml:space="preserve"> </w:t>
      </w:r>
      <w:r>
        <w:rPr>
          <w:bCs/>
          <w:i/>
        </w:rPr>
      </w:r>
    </w:p>
    <w:p>
      <w:pPr>
        <w:pBdr/>
        <w:spacing/>
        <w:ind/>
        <w:rPr>
          <w:bCs/>
          <w:i/>
          <w:highlight w:val="none"/>
        </w:rPr>
      </w:pPr>
      <w:r>
        <w:rPr>
          <w:bCs/>
          <w:i/>
          <w:highlight w:val="none"/>
        </w:rPr>
        <w:t xml:space="preserve">You can create a separate excel sheet for this and tell the reader to refer to the file name here. Based of the above example it could look like the following</w:t>
      </w:r>
      <w:r>
        <w:rPr>
          <w:bCs/>
          <w:i/>
          <w:highlight w:val="none"/>
        </w:rPr>
      </w:r>
    </w:p>
    <w:tbl>
      <w:tblPr>
        <w:tblStyle w:val="707"/>
        <w:tblW w:w="0" w:type="auto"/>
        <w:tblBorders/>
        <w:tblLayout w:type="fixed"/>
        <w:tblLook w:val="04A0" w:firstRow="1" w:lastRow="0" w:firstColumn="1" w:lastColumn="0" w:noHBand="0" w:noVBand="1"/>
      </w:tblPr>
      <w:tblGrid>
        <w:gridCol w:w="1466"/>
        <w:gridCol w:w="921"/>
        <w:gridCol w:w="1417"/>
        <w:gridCol w:w="1559"/>
        <w:gridCol w:w="1843"/>
        <w:gridCol w:w="2154"/>
      </w:tblGrid>
      <w:tr>
        <w:trPr/>
        <w:tc>
          <w:tcPr>
            <w:tcBorders/>
            <w:tcW w:w="1466" w:type="dxa"/>
            <w:textDirection w:val="lrTb"/>
            <w:noWrap w:val="false"/>
          </w:tcPr>
          <w:p>
            <w:pPr>
              <w:pBdr/>
              <w:spacing/>
              <w:ind/>
              <w:rPr>
                <w:bCs/>
                <w:i/>
                <w:highlight w:val="none"/>
              </w:rPr>
            </w:pPr>
            <w:r>
              <w:rPr>
                <w:i/>
                <w:iCs/>
                <w:highlight w:val="none"/>
              </w:rPr>
              <w:t xml:space="preserve">RiskID</w:t>
            </w:r>
            <w:r>
              <w:rPr>
                <w:i/>
                <w:iCs/>
                <w:highlight w:val="none"/>
              </w:rPr>
            </w:r>
          </w:p>
        </w:tc>
        <w:tc>
          <w:tcPr>
            <w:tcBorders/>
            <w:tcW w:w="921" w:type="dxa"/>
            <w:textDirection w:val="lrTb"/>
            <w:noWrap w:val="false"/>
          </w:tcPr>
          <w:p>
            <w:pPr>
              <w:pBdr/>
              <w:spacing/>
              <w:ind/>
              <w:rPr>
                <w:bCs/>
                <w:i/>
                <w:highlight w:val="none"/>
              </w:rPr>
            </w:pPr>
            <w:r>
              <w:rPr>
                <w:i/>
                <w:iCs/>
                <w:highlight w:val="none"/>
              </w:rPr>
              <w:t xml:space="preserve">Asset </w:t>
            </w:r>
            <w:r>
              <w:rPr>
                <w:i/>
                <w:iCs/>
                <w:highlight w:val="none"/>
              </w:rPr>
            </w:r>
          </w:p>
        </w:tc>
        <w:tc>
          <w:tcPr>
            <w:tcBorders/>
            <w:tcW w:w="1417" w:type="dxa"/>
            <w:textDirection w:val="lrTb"/>
            <w:noWrap w:val="false"/>
          </w:tcPr>
          <w:p>
            <w:pPr>
              <w:pBdr/>
              <w:spacing/>
              <w:ind/>
              <w:rPr>
                <w:bCs/>
                <w:i/>
                <w:highlight w:val="none"/>
              </w:rPr>
            </w:pPr>
            <w:r>
              <w:rPr>
                <w:i/>
                <w:iCs/>
                <w:highlight w:val="none"/>
              </w:rPr>
              <w:t xml:space="preserve">Threat</w:t>
            </w:r>
            <w:r>
              <w:rPr>
                <w:i/>
                <w:iCs/>
                <w:highlight w:val="none"/>
              </w:rPr>
            </w:r>
          </w:p>
        </w:tc>
        <w:tc>
          <w:tcPr>
            <w:tcBorders/>
            <w:tcW w:w="1559" w:type="dxa"/>
            <w:textDirection w:val="lrTb"/>
            <w:noWrap w:val="false"/>
          </w:tcPr>
          <w:p>
            <w:pPr>
              <w:pBdr/>
              <w:spacing/>
              <w:ind/>
              <w:rPr>
                <w:bCs/>
                <w:i/>
                <w:highlight w:val="none"/>
              </w:rPr>
            </w:pPr>
            <w:r>
              <w:rPr>
                <w:i/>
                <w:iCs/>
                <w:highlight w:val="none"/>
              </w:rPr>
              <w:t xml:space="preserve">Vulnerability</w:t>
            </w:r>
            <w:r>
              <w:rPr>
                <w:i/>
                <w:iCs/>
                <w:highlight w:val="none"/>
              </w:rPr>
            </w:r>
          </w:p>
        </w:tc>
        <w:tc>
          <w:tcPr>
            <w:tcBorders/>
            <w:tcW w:w="1843" w:type="dxa"/>
            <w:textDirection w:val="lrTb"/>
            <w:noWrap w:val="false"/>
          </w:tcPr>
          <w:p>
            <w:pPr>
              <w:pBdr/>
              <w:spacing/>
              <w:ind/>
              <w:rPr>
                <w:bCs/>
                <w:i/>
                <w:highlight w:val="none"/>
              </w:rPr>
            </w:pPr>
            <w:r>
              <w:rPr>
                <w:i/>
                <w:iCs/>
                <w:highlight w:val="none"/>
              </w:rPr>
              <w:t xml:space="preserve">Impact</w:t>
            </w:r>
            <w:r>
              <w:rPr>
                <w:i/>
                <w:iCs/>
                <w:highlight w:val="none"/>
              </w:rPr>
            </w:r>
          </w:p>
        </w:tc>
        <w:tc>
          <w:tcPr>
            <w:tcBorders/>
            <w:tcW w:w="2154" w:type="dxa"/>
            <w:textDirection w:val="lrTb"/>
            <w:noWrap w:val="false"/>
          </w:tcPr>
          <w:p>
            <w:pPr>
              <w:pBdr/>
              <w:spacing/>
              <w:ind/>
              <w:rPr>
                <w:bCs/>
                <w:i/>
                <w:highlight w:val="none"/>
              </w:rPr>
            </w:pPr>
            <w:r>
              <w:rPr>
                <w:i/>
                <w:iCs/>
                <w:highlight w:val="none"/>
              </w:rPr>
              <w:t xml:space="preserve">Likelihood</w:t>
            </w:r>
            <w:r>
              <w:rPr>
                <w:i/>
                <w:iCs/>
                <w:highlight w:val="none"/>
              </w:rPr>
            </w:r>
          </w:p>
        </w:tc>
      </w:tr>
      <w:tr>
        <w:trPr/>
        <w:tc>
          <w:tcPr>
            <w:tcBorders/>
            <w:tcW w:w="1466" w:type="dxa"/>
            <w:textDirection w:val="lrTb"/>
            <w:noWrap w:val="false"/>
          </w:tcPr>
          <w:p>
            <w:pPr>
              <w:pBdr/>
              <w:spacing/>
              <w:ind/>
              <w:rPr>
                <w:bCs/>
                <w:i/>
                <w:highlight w:val="none"/>
              </w:rPr>
            </w:pPr>
            <w:r>
              <w:rPr>
                <w:i/>
                <w:iCs/>
                <w:highlight w:val="none"/>
              </w:rPr>
              <w:t xml:space="preserve">A1T1V1</w:t>
            </w:r>
            <w:r>
              <w:rPr>
                <w:i/>
                <w:iCs/>
                <w:highlight w:val="none"/>
              </w:rPr>
            </w:r>
          </w:p>
        </w:tc>
        <w:tc>
          <w:tcPr>
            <w:tcBorders/>
            <w:tcW w:w="921" w:type="dxa"/>
            <w:vMerge w:val="restart"/>
            <w:textDirection w:val="lrTb"/>
            <w:noWrap w:val="false"/>
          </w:tcPr>
          <w:p>
            <w:pPr>
              <w:pBdr/>
              <w:spacing/>
              <w:ind/>
              <w:rPr>
                <w:bCs/>
                <w:i/>
                <w:highlight w:val="none"/>
              </w:rPr>
            </w:pPr>
            <w:r>
              <w:rPr>
                <w:i/>
                <w:iCs/>
                <w:highlight w:val="none"/>
              </w:rPr>
              <w:t xml:space="preserve">VPC</w:t>
            </w:r>
            <w:r>
              <w:rPr>
                <w:i/>
                <w:iCs/>
                <w:highlight w:val="none"/>
              </w:rPr>
            </w:r>
          </w:p>
          <w:p>
            <w:pPr>
              <w:pBdr/>
              <w:spacing/>
              <w:ind/>
              <w:rPr>
                <w:bCs/>
                <w:i/>
                <w:highlight w:val="none"/>
              </w:rPr>
            </w:pPr>
            <w:r>
              <w:rPr>
                <w:i/>
                <w:iCs/>
                <w:highlight w:val="none"/>
              </w:rPr>
            </w:r>
            <w:r>
              <w:rPr>
                <w:i/>
                <w:iCs/>
                <w:highlight w:val="none"/>
              </w:rPr>
            </w:r>
          </w:p>
        </w:tc>
        <w:tc>
          <w:tcPr>
            <w:tcBorders/>
            <w:tcW w:w="1417" w:type="dxa"/>
            <w:textDirection w:val="lrTb"/>
            <w:noWrap w:val="false"/>
          </w:tcPr>
          <w:p>
            <w:pPr>
              <w:pBdr/>
              <w:spacing/>
              <w:ind/>
              <w:rPr>
                <w:bCs/>
                <w:i/>
                <w:highlight w:val="none"/>
              </w:rPr>
            </w:pPr>
            <w:r>
              <w:rPr>
                <w:i/>
                <w:iCs/>
                <w:highlight w:val="none"/>
              </w:rPr>
              <w:t xml:space="preserve">Port Flooding</w:t>
            </w:r>
            <w:r>
              <w:rPr>
                <w:i/>
                <w:iCs/>
                <w:highlight w:val="none"/>
              </w:rPr>
            </w:r>
          </w:p>
        </w:tc>
        <w:tc>
          <w:tcPr>
            <w:tcBorders/>
            <w:tcW w:w="1559" w:type="dxa"/>
            <w:textDirection w:val="lrTb"/>
            <w:noWrap w:val="false"/>
          </w:tcPr>
          <w:p>
            <w:pPr>
              <w:pBdr/>
              <w:spacing/>
              <w:ind/>
              <w:rPr>
                <w:bCs/>
                <w:i/>
                <w:highlight w:val="none"/>
              </w:rPr>
            </w:pPr>
            <w:r>
              <w:rPr>
                <w:i/>
                <w:iCs/>
                <w:highlight w:val="none"/>
              </w:rPr>
            </w:r>
            <w:r>
              <w:rPr>
                <w:bCs/>
                <w:i/>
              </w:rPr>
              <w:t xml:space="preserve">Open ACL and SGs</w:t>
            </w:r>
            <w:r/>
            <w:r>
              <w:rPr>
                <w:i/>
                <w:iCs/>
                <w:highlight w:val="none"/>
              </w:rPr>
            </w:r>
            <w:r>
              <w:rPr>
                <w:i/>
                <w:iCs/>
                <w:highlight w:val="none"/>
              </w:rPr>
            </w:r>
          </w:p>
        </w:tc>
        <w:tc>
          <w:tcPr>
            <w:tcBorders/>
            <w:tcW w:w="1843" w:type="dxa"/>
            <w:textDirection w:val="lrTb"/>
            <w:noWrap w:val="false"/>
          </w:tcPr>
          <w:p>
            <w:pPr>
              <w:pBdr/>
              <w:spacing/>
              <w:ind/>
              <w:rPr>
                <w:bCs/>
                <w:i/>
                <w:highlight w:val="none"/>
              </w:rPr>
            </w:pPr>
            <w:r>
              <w:rPr>
                <w:i/>
                <w:iCs/>
                <w:highlight w:val="none"/>
              </w:rPr>
            </w:r>
            <w:r>
              <w:rPr>
                <w:i/>
                <w:iCs/>
                <w:highlight w:val="none"/>
              </w:rPr>
              <w:t xml:space="preserve">Assess the likelihood of each risk occurring (e.g., Low, Medium, High).</w:t>
            </w:r>
            <w:r>
              <w:rPr>
                <w:i/>
                <w:iCs/>
                <w:highlight w:val="none"/>
              </w:rPr>
            </w:r>
            <w:r>
              <w:rPr>
                <w:i/>
                <w:iCs/>
                <w:highlight w:val="none"/>
              </w:rPr>
            </w:r>
          </w:p>
        </w:tc>
        <w:tc>
          <w:tcPr>
            <w:tcBorders/>
            <w:tcW w:w="2154" w:type="dxa"/>
            <w:textDirection w:val="lrTb"/>
            <w:noWrap w:val="false"/>
          </w:tcPr>
          <w:p>
            <w:pPr>
              <w:pBdr/>
              <w:spacing/>
              <w:ind/>
              <w:rPr>
                <w:bCs/>
                <w:i/>
                <w:highlight w:val="none"/>
              </w:rPr>
            </w:pPr>
            <w:r>
              <w:rPr>
                <w:i/>
                <w:iCs/>
                <w:highlight w:val="none"/>
              </w:rPr>
            </w:r>
            <w:r>
              <w:rPr>
                <w:i/>
                <w:iCs/>
                <w:highlight w:val="none"/>
              </w:rPr>
              <w:t xml:space="preserve">Evaluate the potential impact of each risk on the organization (e.g., Low, Medium, High).</w:t>
            </w:r>
            <w:r>
              <w:rPr>
                <w:i/>
                <w:iCs/>
                <w:highlight w:val="none"/>
              </w:rPr>
            </w:r>
            <w:r>
              <w:rPr>
                <w:i/>
                <w:iCs/>
                <w:highlight w:val="none"/>
              </w:rPr>
            </w:r>
          </w:p>
        </w:tc>
      </w:tr>
      <w:tr>
        <w:trPr/>
        <w:tc>
          <w:tcPr>
            <w:tcBorders/>
            <w:tcW w:w="1466" w:type="dxa"/>
            <w:textDirection w:val="lrTb"/>
            <w:noWrap w:val="false"/>
          </w:tcPr>
          <w:p>
            <w:pPr>
              <w:pBdr/>
              <w:spacing/>
              <w:ind/>
              <w:rPr>
                <w:bCs/>
                <w:i/>
                <w:highlight w:val="none"/>
              </w:rPr>
            </w:pPr>
            <w:r>
              <w:rPr>
                <w:i/>
                <w:iCs/>
                <w:highlight w:val="none"/>
              </w:rPr>
              <w:t xml:space="preserve">A1T2V2</w:t>
            </w:r>
            <w:r>
              <w:rPr>
                <w:i/>
                <w:iCs/>
                <w:highlight w:val="none"/>
              </w:rPr>
            </w:r>
          </w:p>
        </w:tc>
        <w:tc>
          <w:tcPr>
            <w:tcBorders/>
            <w:tcW w:w="921" w:type="dxa"/>
            <w:vMerge w:val="continue"/>
            <w:textDirection w:val="lrTb"/>
            <w:noWrap w:val="false"/>
          </w:tcPr>
          <w:p>
            <w:pPr>
              <w:pBdr/>
              <w:spacing/>
              <w:ind/>
              <w:rPr/>
            </w:pPr>
            <w:r/>
          </w:p>
        </w:tc>
        <w:tc>
          <w:tcPr>
            <w:tcBorders/>
            <w:tcW w:w="1417" w:type="dxa"/>
            <w:textDirection w:val="lrTb"/>
            <w:noWrap w:val="false"/>
          </w:tcPr>
          <w:p>
            <w:pPr>
              <w:pBdr/>
              <w:spacing/>
              <w:ind/>
              <w:rPr>
                <w:bCs/>
                <w:i/>
                <w:highlight w:val="none"/>
              </w:rPr>
            </w:pPr>
            <w:r>
              <w:rPr>
                <w:i/>
                <w:iCs/>
                <w:highlight w:val="none"/>
              </w:rPr>
              <w:t xml:space="preserve">Unauthorized Access</w:t>
            </w:r>
            <w:r>
              <w:rPr>
                <w:i/>
                <w:iCs/>
                <w:highlight w:val="none"/>
              </w:rPr>
            </w:r>
          </w:p>
        </w:tc>
        <w:tc>
          <w:tcPr>
            <w:tcBorders/>
            <w:tcW w:w="1559" w:type="dxa"/>
            <w:textDirection w:val="lrTb"/>
            <w:noWrap w:val="false"/>
          </w:tcPr>
          <w:p>
            <w:pPr>
              <w:pBdr/>
              <w:spacing/>
              <w:ind/>
              <w:rPr>
                <w:bCs/>
                <w:i/>
                <w:highlight w:val="none"/>
              </w:rPr>
            </w:pPr>
            <w:r>
              <w:rPr>
                <w:i/>
                <w:iCs/>
                <w:highlight w:val="none"/>
              </w:rPr>
            </w:r>
            <w:r>
              <w:rPr>
                <w:bCs/>
                <w:i/>
              </w:rPr>
              <w:t xml:space="preserve">Public DNS and IPv4 Resources</w:t>
            </w:r>
            <w:r/>
            <w:r>
              <w:rPr>
                <w:i/>
                <w:iCs/>
                <w:highlight w:val="none"/>
              </w:rPr>
            </w:r>
            <w:r>
              <w:rPr>
                <w:i/>
                <w:iCs/>
                <w:highlight w:val="none"/>
              </w:rPr>
            </w:r>
          </w:p>
        </w:tc>
        <w:tc>
          <w:tcPr>
            <w:tcBorders/>
            <w:tcW w:w="1843" w:type="dxa"/>
            <w:textDirection w:val="lrTb"/>
            <w:noWrap w:val="false"/>
          </w:tcPr>
          <w:p>
            <w:pPr>
              <w:pBdr/>
              <w:spacing/>
              <w:ind/>
              <w:rPr>
                <w:bCs/>
                <w:i/>
                <w:highlight w:val="none"/>
              </w:rPr>
            </w:pPr>
            <w:r>
              <w:rPr>
                <w:i/>
                <w:iCs/>
                <w:highlight w:val="none"/>
              </w:rPr>
            </w:r>
            <w:r>
              <w:rPr>
                <w:i/>
                <w:iCs/>
                <w:highlight w:val="none"/>
              </w:rPr>
            </w:r>
          </w:p>
        </w:tc>
        <w:tc>
          <w:tcPr>
            <w:tcBorders/>
            <w:tcW w:w="2154" w:type="dxa"/>
            <w:textDirection w:val="lrTb"/>
            <w:noWrap w:val="false"/>
          </w:tcPr>
          <w:p>
            <w:pPr>
              <w:pBdr/>
              <w:spacing/>
              <w:ind/>
              <w:rPr>
                <w:bCs/>
                <w:i/>
                <w:highlight w:val="none"/>
              </w:rPr>
            </w:pPr>
            <w:r>
              <w:rPr>
                <w:i/>
                <w:iCs/>
                <w:highlight w:val="none"/>
              </w:rPr>
            </w:r>
            <w:r>
              <w:rPr>
                <w:i/>
                <w:iCs/>
                <w:highlight w:val="none"/>
              </w:rPr>
            </w:r>
          </w:p>
        </w:tc>
      </w:tr>
    </w:tbl>
    <w:p>
      <w:pPr>
        <w:pBdr/>
        <w:spacing/>
        <w:ind/>
        <w:rPr>
          <w:bCs/>
          <w:i/>
        </w:rPr>
      </w:pPr>
      <w:r>
        <w:rPr>
          <w:bCs/>
          <w:i/>
          <w:highlight w:val="none"/>
        </w:rPr>
      </w:r>
      <w:r>
        <w:rPr>
          <w:bCs/>
          <w:i/>
          <w:highlight w:val="none"/>
        </w:rPr>
      </w:r>
    </w:p>
    <w:p>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5. Risk Evaluation</w:t>
      </w:r>
      <w:r>
        <w:rPr>
          <w:rFonts w:ascii="Arial" w:hAnsi="Arial" w:eastAsia="Arial" w:cs="Arial"/>
        </w:rPr>
      </w:r>
    </w:p>
    <w:p>
      <w:pPr>
        <w:pStyle w:val="895"/>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Risk Rating:</w:t>
        <w:br/>
      </w:r>
      <w:r>
        <w:rPr>
          <w:rFonts w:ascii="Arial" w:hAnsi="Arial" w:eastAsia="Arial" w:cs="Arial"/>
          <w:i/>
          <w:color w:val="000000"/>
          <w:sz w:val="24"/>
        </w:rPr>
        <w:t xml:space="preserve">Combine likelihood and impact to assign a risk rating (e.g., Low, Medium, High).</w:t>
      </w:r>
      <w:r>
        <w:rPr>
          <w:rFonts w:ascii="Arial" w:hAnsi="Arial" w:eastAsia="Arial" w:cs="Arial"/>
        </w:rPr>
      </w:r>
    </w:p>
    <w:p>
      <w:pPr>
        <w:pStyle w:val="895"/>
        <w:numPr>
          <w:ilvl w:val="0"/>
          <w:numId w:val="16"/>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Risk Prioritization:</w:t>
        <w:br/>
      </w:r>
      <w:r>
        <w:rPr>
          <w:rFonts w:ascii="Arial" w:hAnsi="Arial" w:eastAsia="Arial" w:cs="Arial"/>
          <w:i/>
          <w:color w:val="000000"/>
          <w:sz w:val="24"/>
        </w:rPr>
        <w:t xml:space="preserve">Prioritize risks based on their ratings.</w:t>
      </w:r>
      <w:r>
        <w:rPr>
          <w:rFonts w:ascii="Arial" w:hAnsi="Arial" w:eastAsia="Arial" w:cs="Arial"/>
        </w:rPr>
      </w:r>
    </w:p>
    <w:p>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6. ISO27001 Control Mapping</w:t>
      </w:r>
      <w:r>
        <w:rPr>
          <w:rFonts w:ascii="Arial" w:hAnsi="Arial" w:eastAsia="Arial" w:cs="Arial"/>
        </w:rPr>
      </w:r>
    </w:p>
    <w:p>
      <w:pPr>
        <w:pStyle w:val="895"/>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Applicable ISO27001 Controls:</w:t>
        <w:br/>
      </w:r>
      <w:r>
        <w:rPr>
          <w:rFonts w:ascii="Arial" w:hAnsi="Arial" w:eastAsia="Arial" w:cs="Arial"/>
          <w:i/>
          <w:color w:val="000000"/>
          <w:sz w:val="24"/>
        </w:rPr>
        <w:t xml:space="preserve">Identify ISO27001 controls relevant to each risk.</w:t>
      </w:r>
      <w:r>
        <w:rPr>
          <w:rFonts w:ascii="Arial" w:hAnsi="Arial" w:eastAsia="Arial" w:cs="Arial"/>
        </w:rPr>
      </w:r>
    </w:p>
    <w:p>
      <w:pPr>
        <w:pStyle w:val="895"/>
        <w:numPr>
          <w:ilvl w:val="0"/>
          <w:numId w:val="17"/>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Control Implementation Status:</w:t>
        <w:br/>
      </w:r>
      <w:r>
        <w:rPr>
          <w:rFonts w:ascii="Arial" w:hAnsi="Arial" w:eastAsia="Arial" w:cs="Arial"/>
          <w:i/>
          <w:color w:val="000000"/>
          <w:sz w:val="24"/>
        </w:rPr>
        <w:t xml:space="preserve">Indicate whether each control is implemented, planned, or not applicable.</w:t>
      </w:r>
      <w:r>
        <w:rPr>
          <w:rFonts w:ascii="Arial" w:hAnsi="Arial" w:eastAsia="Arial" w:cs="Arial"/>
        </w:rPr>
      </w:r>
    </w:p>
    <w:p>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7. Risk Treatment</w:t>
      </w:r>
      <w:r>
        <w:rPr>
          <w:rFonts w:ascii="Arial" w:hAnsi="Arial" w:eastAsia="Arial" w:cs="Arial"/>
        </w:rPr>
      </w:r>
    </w:p>
    <w:p>
      <w:pPr>
        <w:pBdr/>
        <w:spacing/>
        <w:ind/>
        <w:rPr>
          <w:bCs/>
          <w:i/>
          <w:color w:val="ff0000"/>
        </w:rPr>
      </w:pPr>
      <w:r>
        <w:rPr>
          <w:i/>
          <w:iCs/>
          <w:color w:val="ff0000"/>
        </w:rPr>
        <w:t xml:space="preserve">Delete this heading for the first risk analysis, to make it more manageable you need to only complete this for the second risk assessment.</w:t>
      </w:r>
      <w:r>
        <w:rPr>
          <w:bCs/>
          <w:i/>
          <w:color w:val="ff0000"/>
        </w:rPr>
      </w:r>
    </w:p>
    <w:p>
      <w:pPr>
        <w:pStyle w:val="895"/>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Mitigation Strategies:</w:t>
        <w:br/>
      </w:r>
      <w:r>
        <w:rPr>
          <w:rFonts w:ascii="Arial" w:hAnsi="Arial" w:eastAsia="Arial" w:cs="Arial"/>
          <w:i/>
          <w:color w:val="000000"/>
          <w:sz w:val="24"/>
        </w:rPr>
        <w:t xml:space="preserve">Describe strategies to mitigate each high-priority risk, referencing ISO27001 and ISO31000 controls.</w:t>
      </w:r>
      <w:r>
        <w:rPr>
          <w:rFonts w:ascii="Arial" w:hAnsi="Arial" w:eastAsia="Arial" w:cs="Arial"/>
        </w:rPr>
      </w:r>
    </w:p>
    <w:p>
      <w:pPr>
        <w:pStyle w:val="895"/>
        <w:numPr>
          <w:ilvl w:val="0"/>
          <w:numId w:val="18"/>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Treatment Plans</w:t>
        <w:br/>
      </w:r>
      <w:r>
        <w:rPr>
          <w:rFonts w:ascii="Arial" w:hAnsi="Arial" w:eastAsia="Arial" w:cs="Arial"/>
          <w:i/>
          <w:color w:val="000000"/>
          <w:sz w:val="24"/>
        </w:rPr>
        <w:t xml:space="preserve">Explain that the reader should find you treatment plans</w:t>
      </w:r>
      <w:r>
        <w:rPr>
          <w:rFonts w:ascii="Arial" w:hAnsi="Arial" w:eastAsia="Arial" w:cs="Arial"/>
        </w:rPr>
      </w:r>
    </w:p>
    <w:p>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8. Risk Monitoring and Review</w:t>
      </w:r>
      <w:r>
        <w:rPr>
          <w:rFonts w:ascii="Arial" w:hAnsi="Arial" w:eastAsia="Arial" w:cs="Arial"/>
        </w:rPr>
      </w:r>
    </w:p>
    <w:p>
      <w:pPr>
        <w:pStyle w:val="895"/>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Monitoring Plan:</w:t>
        <w:br/>
      </w:r>
      <w:r>
        <w:rPr>
          <w:rFonts w:ascii="Arial" w:hAnsi="Arial" w:eastAsia="Arial" w:cs="Arial"/>
          <w:i/>
          <w:color w:val="000000"/>
          <w:sz w:val="24"/>
        </w:rPr>
        <w:t xml:space="preserve">Outline how risks will be monitored over time, aligned with ISO27001 monitoring processes.</w:t>
      </w:r>
      <w:r>
        <w:rPr>
          <w:rFonts w:ascii="Arial" w:hAnsi="Arial" w:eastAsia="Arial" w:cs="Arial"/>
        </w:rPr>
      </w:r>
    </w:p>
    <w:p>
      <w:pPr>
        <w:pStyle w:val="895"/>
        <w:numPr>
          <w:ilvl w:val="0"/>
          <w:numId w:val="19"/>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Review Schedule:</w:t>
        <w:br/>
      </w:r>
      <w:r>
        <w:rPr>
          <w:rFonts w:ascii="Arial" w:hAnsi="Arial" w:eastAsia="Arial" w:cs="Arial"/>
          <w:i/>
          <w:color w:val="000000"/>
          <w:sz w:val="24"/>
        </w:rPr>
        <w:t xml:space="preserve">Set a schedule for regular risk assessments and reviews.</w:t>
      </w:r>
      <w:r>
        <w:rPr>
          <w:rFonts w:ascii="Arial" w:hAnsi="Arial" w:eastAsia="Arial" w:cs="Arial"/>
        </w:rPr>
      </w:r>
      <w:r>
        <w:rPr>
          <w:rFonts w:ascii="Arial" w:hAnsi="Arial" w:eastAsia="Arial" w:cs="Arial"/>
          <w:b/>
          <w:color w:val="000000"/>
          <w:sz w:val="28"/>
        </w:rPr>
      </w:r>
      <w:r>
        <w:rPr>
          <w:rFonts w:ascii="Arial" w:hAnsi="Arial" w:eastAsia="Arial" w:cs="Arial"/>
        </w:rPr>
      </w:r>
      <w:r>
        <w:rPr>
          <w:rFonts w:ascii="Arial" w:hAnsi="Arial" w:cs="Arial"/>
          <w:sz w:val="24"/>
        </w:rPr>
      </w:r>
    </w:p>
    <w:p>
      <w:pPr>
        <w:pStyle w:val="835"/>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b/>
          <w:color w:val="000000"/>
          <w:sz w:val="28"/>
        </w:rPr>
        <w:t xml:space="preserve">10. Conclusion</w:t>
      </w:r>
      <w:r>
        <w:rPr>
          <w:rFonts w:ascii="Arial" w:hAnsi="Arial" w:eastAsia="Arial" w:cs="Arial"/>
        </w:rPr>
      </w:r>
    </w:p>
    <w:p>
      <w:pPr>
        <w:pStyle w:val="895"/>
        <w:numPr>
          <w:ilvl w:val="0"/>
          <w:numId w:val="21"/>
        </w:numPr>
        <w:pBdr>
          <w:top w:val="none" w:color="000000" w:sz="4" w:space="0"/>
          <w:left w:val="none" w:color="000000" w:sz="4" w:space="0"/>
          <w:bottom w:val="none" w:color="000000" w:sz="4" w:space="0"/>
          <w:right w:val="none" w:color="000000" w:sz="4" w:space="0"/>
        </w:pBdr>
        <w:spacing/>
        <w:ind w:right="0"/>
        <w:rPr>
          <w:rFonts w:ascii="Arial" w:hAnsi="Arial" w:cs="Arial"/>
        </w:rPr>
      </w:pPr>
      <w:r>
        <w:rPr>
          <w:rFonts w:ascii="Arial" w:hAnsi="Arial" w:eastAsia="Arial" w:cs="Arial"/>
          <w:b/>
          <w:color w:val="000000"/>
          <w:sz w:val="24"/>
        </w:rPr>
        <w:t xml:space="preserve">Summary of Risks:</w:t>
        <w:br/>
      </w:r>
      <w:r>
        <w:rPr>
          <w:rFonts w:ascii="Arial" w:hAnsi="Arial" w:eastAsia="Arial" w:cs="Arial"/>
          <w:i/>
          <w:color w:val="000000"/>
          <w:sz w:val="24"/>
        </w:rPr>
        <w:t xml:space="preserve">Summarize the key risks identified and their potential impact.</w:t>
      </w:r>
      <w:r>
        <w:rPr>
          <w:rFonts w:ascii="Arial" w:hAnsi="Arial" w:eastAsia="Arial" w:cs="Arial"/>
        </w:rPr>
      </w:r>
    </w:p>
    <w:p>
      <w:pPr>
        <w:pBdr/>
        <w:spacing/>
        <w:ind/>
        <w:rPr>
          <w:rFonts w:ascii="Arial" w:hAnsi="Arial" w:cs="Arial"/>
        </w:rPr>
      </w:pPr>
      <w:r>
        <w:rPr>
          <w:rFonts w:ascii="Arial" w:hAnsi="Arial" w:eastAsia="Arial" w:cs="Arial"/>
          <w:b/>
          <w:color w:val="000000"/>
          <w:sz w:val="24"/>
        </w:rPr>
      </w:r>
      <w:r>
        <w:rPr>
          <w:rFonts w:ascii="Arial" w:hAnsi="Arial" w:eastAsia="Arial" w:cs="Arial"/>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67"/>
      <w:pBdr/>
      <w:spacing/>
      <w:ind/>
      <w:rPr/>
    </w:pPr>
    <w:r>
      <w:t xml:space="preserve">[Student ID]</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3">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6">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7">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19">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abstractNum w:abstractNumId="20">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
      <w:numFmt w:val="bullet"/>
      <w:pPr>
        <w:pBdr/>
        <w:spacing/>
        <w:ind w:hanging="360" w:left="1429"/>
      </w:pPr>
      <w:rPr>
        <w:rFonts w:hint="default" w:ascii="Symbol" w:hAnsi="Symbol" w:eastAsia="Symbol" w:cs="Symbol"/>
        <w:color w:val="000000"/>
        <w:sz w:val="24"/>
      </w:rPr>
      <w:start w:val="1"/>
      <w:suff w:val="tab"/>
    </w:lvl>
    <w:lvl w:ilvl="2">
      <w:isLgl w:val="false"/>
      <w:lvlJc w:val="left"/>
      <w:lvlText w:val="·"/>
      <w:numFmt w:val="bullet"/>
      <w:pPr>
        <w:pBdr/>
        <w:spacing/>
        <w:ind w:hanging="360" w:left="2149"/>
      </w:pPr>
      <w:rPr>
        <w:rFonts w:hint="default" w:ascii="Symbol" w:hAnsi="Symbol" w:eastAsia="Symbol" w:cs="Symbol"/>
        <w:color w:val="000000"/>
        <w:sz w:val="24"/>
      </w:rPr>
      <w:start w:val="1"/>
      <w:suff w:val="tab"/>
    </w:lvl>
    <w:lvl w:ilvl="3">
      <w:isLgl w:val="false"/>
      <w:lvlJc w:val="left"/>
      <w:lvlText w:val="·"/>
      <w:numFmt w:val="bullet"/>
      <w:pPr>
        <w:pBdr/>
        <w:spacing/>
        <w:ind w:hanging="360" w:left="2869"/>
      </w:pPr>
      <w:rPr>
        <w:rFonts w:hint="default" w:ascii="Symbol" w:hAnsi="Symbol" w:eastAsia="Symbol" w:cs="Symbol"/>
        <w:color w:val="000000"/>
        <w:sz w:val="24"/>
      </w:rPr>
      <w:start w:val="1"/>
      <w:suff w:val="tab"/>
    </w:lvl>
    <w:lvl w:ilvl="4">
      <w:isLgl w:val="false"/>
      <w:lvlJc w:val="left"/>
      <w:lvlText w:val="·"/>
      <w:numFmt w:val="bullet"/>
      <w:pPr>
        <w:pBdr/>
        <w:spacing/>
        <w:ind w:hanging="360" w:left="3589"/>
      </w:pPr>
      <w:rPr>
        <w:rFonts w:hint="default" w:ascii="Symbol" w:hAnsi="Symbol" w:eastAsia="Symbol" w:cs="Symbol"/>
        <w:color w:val="000000"/>
        <w:sz w:val="24"/>
      </w:rPr>
      <w:start w:val="1"/>
      <w:suff w:val="tab"/>
    </w:lvl>
    <w:lvl w:ilvl="5">
      <w:isLgl w:val="false"/>
      <w:lvlJc w:val="left"/>
      <w:lvlText w:val="·"/>
      <w:numFmt w:val="bullet"/>
      <w:pPr>
        <w:pBdr/>
        <w:spacing/>
        <w:ind w:hanging="360" w:left="4309"/>
      </w:pPr>
      <w:rPr>
        <w:rFonts w:hint="default" w:ascii="Symbol" w:hAnsi="Symbol" w:eastAsia="Symbol" w:cs="Symbol"/>
        <w:color w:val="000000"/>
        <w:sz w:val="24"/>
      </w:rPr>
      <w:start w:val="1"/>
      <w:suff w:val="tab"/>
    </w:lvl>
    <w:lvl w:ilvl="6">
      <w:isLgl w:val="false"/>
      <w:lvlJc w:val="left"/>
      <w:lvlText w:val="·"/>
      <w:numFmt w:val="bullet"/>
      <w:pPr>
        <w:pBdr/>
        <w:spacing/>
        <w:ind w:hanging="360" w:left="5029"/>
      </w:pPr>
      <w:rPr>
        <w:rFonts w:hint="default" w:ascii="Symbol" w:hAnsi="Symbol" w:eastAsia="Symbol" w:cs="Symbol"/>
        <w:color w:val="000000"/>
        <w:sz w:val="24"/>
      </w:rPr>
      <w:start w:val="1"/>
      <w:suff w:val="tab"/>
    </w:lvl>
    <w:lvl w:ilvl="7">
      <w:isLgl w:val="false"/>
      <w:lvlJc w:val="left"/>
      <w:lvlText w:val="·"/>
      <w:numFmt w:val="bullet"/>
      <w:pPr>
        <w:pBdr/>
        <w:spacing/>
        <w:ind w:hanging="360" w:left="5749"/>
      </w:pPr>
      <w:rPr>
        <w:rFonts w:hint="default" w:ascii="Symbol" w:hAnsi="Symbol" w:eastAsia="Symbol" w:cs="Symbol"/>
        <w:color w:val="000000"/>
        <w:sz w:val="24"/>
      </w:rPr>
      <w:start w:val="1"/>
      <w:suff w:val="tab"/>
    </w:lvl>
    <w:lvl w:ilvl="8">
      <w:isLgl w:val="false"/>
      <w:lvlJc w:val="left"/>
      <w:lvlText w:val="·"/>
      <w:numFmt w:val="bullet"/>
      <w:pPr>
        <w:pBdr/>
        <w:spacing/>
        <w:ind w:hanging="360" w:left="6469"/>
      </w:pPr>
      <w:rPr>
        <w:rFonts w:hint="default" w:ascii="Symbol" w:hAnsi="Symbol" w:eastAsia="Symbol" w:cs="Symbol"/>
        <w:color w:val="000000"/>
        <w:sz w:val="24"/>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name w:val="Table Grid"/>
    <w:basedOn w:val="89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Light"/>
    <w:basedOn w:val="89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1"/>
    <w:basedOn w:val="89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2"/>
    <w:basedOn w:val="89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3"/>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4"/>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5"/>
    <w:basedOn w:val="89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w:basedOn w:val="89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w:basedOn w:val="89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1"/>
    <w:basedOn w:val="89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5"/>
    <w:basedOn w:val="89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6"/>
    <w:basedOn w:val="89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w:basedOn w:val="89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1"/>
    <w:basedOn w:val="89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2"/>
    <w:basedOn w:val="89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3"/>
    <w:basedOn w:val="89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4"/>
    <w:basedOn w:val="89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5"/>
    <w:basedOn w:val="89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6"/>
    <w:basedOn w:val="89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1"/>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2"/>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3"/>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4"/>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5"/>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6"/>
    <w:basedOn w:val="89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0">
    <w:name w:val="Grid Table 6 Colorful - Accent 1"/>
    <w:basedOn w:val="89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1">
    <w:name w:val="Grid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2">
    <w:name w:val="Grid Table 6 Colorful - Accent 3"/>
    <w:basedOn w:val="89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3">
    <w:name w:val="Grid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4">
    <w:name w:val="Grid Table 6 Colorful - Accent 5"/>
    <w:basedOn w:val="89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5">
    <w:name w:val="Grid Table 6 Colorful - Accent 6"/>
    <w:basedOn w:val="89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7 Colorful"/>
    <w:basedOn w:val="89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1"/>
    <w:basedOn w:val="89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2"/>
    <w:basedOn w:val="89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3"/>
    <w:basedOn w:val="89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4"/>
    <w:basedOn w:val="89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5"/>
    <w:basedOn w:val="89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6"/>
    <w:basedOn w:val="89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1"/>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2"/>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3"/>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4"/>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5"/>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6"/>
    <w:basedOn w:val="89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w:basedOn w:val="89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1"/>
    <w:basedOn w:val="89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2"/>
    <w:basedOn w:val="89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3"/>
    <w:basedOn w:val="89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4"/>
    <w:basedOn w:val="89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5"/>
    <w:basedOn w:val="89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6"/>
    <w:basedOn w:val="89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1"/>
    <w:basedOn w:val="89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2"/>
    <w:basedOn w:val="89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3"/>
    <w:basedOn w:val="89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4"/>
    <w:basedOn w:val="89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5"/>
    <w:basedOn w:val="89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6"/>
    <w:basedOn w:val="89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w:basedOn w:val="89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1"/>
    <w:basedOn w:val="89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2"/>
    <w:basedOn w:val="89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3"/>
    <w:basedOn w:val="89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4"/>
    <w:basedOn w:val="89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5"/>
    <w:basedOn w:val="89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6"/>
    <w:basedOn w:val="89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5 Dark"/>
    <w:basedOn w:val="89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1"/>
    <w:basedOn w:val="89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2"/>
    <w:basedOn w:val="89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3"/>
    <w:basedOn w:val="89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4"/>
    <w:basedOn w:val="89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5"/>
    <w:basedOn w:val="89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6"/>
    <w:basedOn w:val="89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6 Colorful"/>
    <w:basedOn w:val="89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1"/>
    <w:basedOn w:val="89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2"/>
    <w:basedOn w:val="89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3"/>
    <w:basedOn w:val="89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4"/>
    <w:basedOn w:val="89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5"/>
    <w:basedOn w:val="89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6"/>
    <w:basedOn w:val="89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7 Colorful"/>
    <w:basedOn w:val="89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6">
    <w:name w:val="List Table 7 Colorful - Accent 1"/>
    <w:basedOn w:val="89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7">
    <w:name w:val="List Table 7 Colorful - Accent 2"/>
    <w:basedOn w:val="89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8">
    <w:name w:val="List Table 7 Colorful - Accent 3"/>
    <w:basedOn w:val="89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9">
    <w:name w:val="List Table 7 Colorful - Accent 4"/>
    <w:basedOn w:val="89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0">
    <w:name w:val="List Table 7 Colorful - Accent 5"/>
    <w:basedOn w:val="89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1">
    <w:name w:val="List Table 7 Colorful - Accent 6"/>
    <w:basedOn w:val="89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2">
    <w:name w:val="Lined - Accent"/>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1"/>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2"/>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3"/>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4"/>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5"/>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6"/>
    <w:basedOn w:val="89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w:basedOn w:val="89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1"/>
    <w:basedOn w:val="89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2"/>
    <w:basedOn w:val="89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3"/>
    <w:basedOn w:val="89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4"/>
    <w:basedOn w:val="89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5"/>
    <w:basedOn w:val="89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6"/>
    <w:basedOn w:val="89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w:basedOn w:val="89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1"/>
    <w:basedOn w:val="89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2"/>
    <w:basedOn w:val="89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3"/>
    <w:basedOn w:val="89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4"/>
    <w:basedOn w:val="89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5"/>
    <w:basedOn w:val="89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6"/>
    <w:basedOn w:val="89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3">
    <w:name w:val="Heading 1"/>
    <w:basedOn w:val="891"/>
    <w:next w:val="891"/>
    <w:link w:val="843"/>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4">
    <w:name w:val="Heading 2"/>
    <w:basedOn w:val="891"/>
    <w:next w:val="891"/>
    <w:link w:val="84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5">
    <w:name w:val="Heading 3"/>
    <w:basedOn w:val="891"/>
    <w:next w:val="891"/>
    <w:link w:val="845"/>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6">
    <w:name w:val="Heading 4"/>
    <w:basedOn w:val="891"/>
    <w:next w:val="891"/>
    <w:link w:val="8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7">
    <w:name w:val="Heading 5"/>
    <w:basedOn w:val="891"/>
    <w:next w:val="891"/>
    <w:link w:val="8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8">
    <w:name w:val="Heading 6"/>
    <w:basedOn w:val="891"/>
    <w:next w:val="891"/>
    <w:link w:val="8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9">
    <w:name w:val="Heading 7"/>
    <w:basedOn w:val="891"/>
    <w:next w:val="891"/>
    <w:link w:val="8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0">
    <w:name w:val="Heading 8"/>
    <w:basedOn w:val="891"/>
    <w:next w:val="891"/>
    <w:link w:val="8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1">
    <w:name w:val="Heading 9"/>
    <w:basedOn w:val="891"/>
    <w:next w:val="891"/>
    <w:link w:val="8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2" w:default="1">
    <w:name w:val="Default Paragraph Font"/>
    <w:uiPriority w:val="1"/>
    <w:semiHidden/>
    <w:unhideWhenUsed/>
    <w:pPr>
      <w:pBdr/>
      <w:spacing/>
      <w:ind/>
    </w:pPr>
  </w:style>
  <w:style w:type="character" w:styleId="843">
    <w:name w:val="Heading 1 Char"/>
    <w:basedOn w:val="842"/>
    <w:link w:val="833"/>
    <w:uiPriority w:val="9"/>
    <w:pPr>
      <w:pBdr/>
      <w:spacing/>
      <w:ind/>
    </w:pPr>
    <w:rPr>
      <w:rFonts w:ascii="Arial" w:hAnsi="Arial" w:eastAsia="Arial" w:cs="Arial"/>
      <w:color w:val="0f4761" w:themeColor="accent1" w:themeShade="BF"/>
      <w:sz w:val="40"/>
      <w:szCs w:val="40"/>
    </w:rPr>
  </w:style>
  <w:style w:type="character" w:styleId="844">
    <w:name w:val="Heading 2 Char"/>
    <w:basedOn w:val="842"/>
    <w:link w:val="834"/>
    <w:uiPriority w:val="9"/>
    <w:pPr>
      <w:pBdr/>
      <w:spacing/>
      <w:ind/>
    </w:pPr>
    <w:rPr>
      <w:rFonts w:ascii="Arial" w:hAnsi="Arial" w:eastAsia="Arial" w:cs="Arial"/>
      <w:color w:val="0f4761" w:themeColor="accent1" w:themeShade="BF"/>
      <w:sz w:val="32"/>
      <w:szCs w:val="32"/>
    </w:rPr>
  </w:style>
  <w:style w:type="character" w:styleId="845">
    <w:name w:val="Heading 3 Char"/>
    <w:basedOn w:val="842"/>
    <w:link w:val="835"/>
    <w:uiPriority w:val="9"/>
    <w:pPr>
      <w:pBdr/>
      <w:spacing/>
      <w:ind/>
    </w:pPr>
    <w:rPr>
      <w:rFonts w:ascii="Arial" w:hAnsi="Arial" w:eastAsia="Arial" w:cs="Arial"/>
      <w:color w:val="0f4761" w:themeColor="accent1" w:themeShade="BF"/>
      <w:sz w:val="28"/>
      <w:szCs w:val="28"/>
    </w:rPr>
  </w:style>
  <w:style w:type="character" w:styleId="846">
    <w:name w:val="Heading 4 Char"/>
    <w:basedOn w:val="842"/>
    <w:link w:val="836"/>
    <w:uiPriority w:val="9"/>
    <w:pPr>
      <w:pBdr/>
      <w:spacing/>
      <w:ind/>
    </w:pPr>
    <w:rPr>
      <w:rFonts w:ascii="Arial" w:hAnsi="Arial" w:eastAsia="Arial" w:cs="Arial"/>
      <w:i/>
      <w:iCs/>
      <w:color w:val="0f4761" w:themeColor="accent1" w:themeShade="BF"/>
    </w:rPr>
  </w:style>
  <w:style w:type="character" w:styleId="847">
    <w:name w:val="Heading 5 Char"/>
    <w:basedOn w:val="842"/>
    <w:link w:val="837"/>
    <w:uiPriority w:val="9"/>
    <w:pPr>
      <w:pBdr/>
      <w:spacing/>
      <w:ind/>
    </w:pPr>
    <w:rPr>
      <w:rFonts w:ascii="Arial" w:hAnsi="Arial" w:eastAsia="Arial" w:cs="Arial"/>
      <w:color w:val="0f4761" w:themeColor="accent1" w:themeShade="BF"/>
    </w:rPr>
  </w:style>
  <w:style w:type="character" w:styleId="848">
    <w:name w:val="Heading 6 Char"/>
    <w:basedOn w:val="842"/>
    <w:link w:val="838"/>
    <w:uiPriority w:val="9"/>
    <w:pPr>
      <w:pBdr/>
      <w:spacing/>
      <w:ind/>
    </w:pPr>
    <w:rPr>
      <w:rFonts w:ascii="Arial" w:hAnsi="Arial" w:eastAsia="Arial" w:cs="Arial"/>
      <w:i/>
      <w:iCs/>
      <w:color w:val="595959" w:themeColor="text1" w:themeTint="A6"/>
    </w:rPr>
  </w:style>
  <w:style w:type="character" w:styleId="849">
    <w:name w:val="Heading 7 Char"/>
    <w:basedOn w:val="842"/>
    <w:link w:val="839"/>
    <w:uiPriority w:val="9"/>
    <w:pPr>
      <w:pBdr/>
      <w:spacing/>
      <w:ind/>
    </w:pPr>
    <w:rPr>
      <w:rFonts w:ascii="Arial" w:hAnsi="Arial" w:eastAsia="Arial" w:cs="Arial"/>
      <w:color w:val="595959" w:themeColor="text1" w:themeTint="A6"/>
    </w:rPr>
  </w:style>
  <w:style w:type="character" w:styleId="850">
    <w:name w:val="Heading 8 Char"/>
    <w:basedOn w:val="842"/>
    <w:link w:val="840"/>
    <w:uiPriority w:val="9"/>
    <w:pPr>
      <w:pBdr/>
      <w:spacing/>
      <w:ind/>
    </w:pPr>
    <w:rPr>
      <w:rFonts w:ascii="Arial" w:hAnsi="Arial" w:eastAsia="Arial" w:cs="Arial"/>
      <w:i/>
      <w:iCs/>
      <w:color w:val="272727" w:themeColor="text1" w:themeTint="D8"/>
    </w:rPr>
  </w:style>
  <w:style w:type="character" w:styleId="851">
    <w:name w:val="Heading 9 Char"/>
    <w:basedOn w:val="842"/>
    <w:link w:val="841"/>
    <w:uiPriority w:val="9"/>
    <w:pPr>
      <w:pBdr/>
      <w:spacing/>
      <w:ind/>
    </w:pPr>
    <w:rPr>
      <w:rFonts w:ascii="Arial" w:hAnsi="Arial" w:eastAsia="Arial" w:cs="Arial"/>
      <w:i/>
      <w:iCs/>
      <w:color w:val="272727" w:themeColor="text1" w:themeTint="D8"/>
    </w:rPr>
  </w:style>
  <w:style w:type="paragraph" w:styleId="852">
    <w:name w:val="Title"/>
    <w:basedOn w:val="891"/>
    <w:next w:val="891"/>
    <w:link w:val="853"/>
    <w:uiPriority w:val="10"/>
    <w:qFormat/>
    <w:pPr>
      <w:pBdr/>
      <w:spacing w:after="80" w:line="240" w:lineRule="auto"/>
      <w:ind/>
      <w:contextualSpacing w:val="true"/>
    </w:pPr>
    <w:rPr>
      <w:rFonts w:ascii="Arial" w:hAnsi="Arial" w:eastAsia="Arial" w:cs="Arial"/>
      <w:spacing w:val="-10"/>
      <w:sz w:val="56"/>
      <w:szCs w:val="56"/>
    </w:rPr>
  </w:style>
  <w:style w:type="character" w:styleId="853">
    <w:name w:val="Title Char"/>
    <w:basedOn w:val="842"/>
    <w:link w:val="852"/>
    <w:uiPriority w:val="10"/>
    <w:pPr>
      <w:pBdr/>
      <w:spacing/>
      <w:ind/>
    </w:pPr>
    <w:rPr>
      <w:rFonts w:ascii="Arial" w:hAnsi="Arial" w:eastAsia="Arial" w:cs="Arial"/>
      <w:spacing w:val="-10"/>
      <w:sz w:val="56"/>
      <w:szCs w:val="56"/>
    </w:rPr>
  </w:style>
  <w:style w:type="paragraph" w:styleId="854">
    <w:name w:val="Subtitle"/>
    <w:basedOn w:val="891"/>
    <w:next w:val="891"/>
    <w:link w:val="855"/>
    <w:uiPriority w:val="11"/>
    <w:qFormat/>
    <w:pPr>
      <w:numPr>
        <w:ilvl w:val="1"/>
      </w:numPr>
      <w:pBdr/>
      <w:spacing/>
      <w:ind/>
    </w:pPr>
    <w:rPr>
      <w:color w:val="595959" w:themeColor="text1" w:themeTint="A6"/>
      <w:spacing w:val="15"/>
      <w:sz w:val="28"/>
      <w:szCs w:val="28"/>
    </w:rPr>
  </w:style>
  <w:style w:type="character" w:styleId="855">
    <w:name w:val="Subtitle Char"/>
    <w:basedOn w:val="842"/>
    <w:link w:val="854"/>
    <w:uiPriority w:val="11"/>
    <w:pPr>
      <w:pBdr/>
      <w:spacing/>
      <w:ind/>
    </w:pPr>
    <w:rPr>
      <w:color w:val="595959" w:themeColor="text1" w:themeTint="A6"/>
      <w:spacing w:val="15"/>
      <w:sz w:val="28"/>
      <w:szCs w:val="28"/>
    </w:rPr>
  </w:style>
  <w:style w:type="paragraph" w:styleId="856">
    <w:name w:val="Quote"/>
    <w:basedOn w:val="891"/>
    <w:next w:val="891"/>
    <w:link w:val="857"/>
    <w:uiPriority w:val="29"/>
    <w:qFormat/>
    <w:pPr>
      <w:pBdr/>
      <w:spacing w:before="160"/>
      <w:ind/>
      <w:jc w:val="center"/>
    </w:pPr>
    <w:rPr>
      <w:i/>
      <w:iCs/>
      <w:color w:val="404040" w:themeColor="text1" w:themeTint="BF"/>
    </w:rPr>
  </w:style>
  <w:style w:type="character" w:styleId="857">
    <w:name w:val="Quote Char"/>
    <w:basedOn w:val="842"/>
    <w:link w:val="856"/>
    <w:uiPriority w:val="29"/>
    <w:pPr>
      <w:pBdr/>
      <w:spacing/>
      <w:ind/>
    </w:pPr>
    <w:rPr>
      <w:i/>
      <w:iCs/>
      <w:color w:val="404040" w:themeColor="text1" w:themeTint="BF"/>
    </w:rPr>
  </w:style>
  <w:style w:type="character" w:styleId="858">
    <w:name w:val="Intense Emphasis"/>
    <w:basedOn w:val="842"/>
    <w:uiPriority w:val="21"/>
    <w:qFormat/>
    <w:pPr>
      <w:pBdr/>
      <w:spacing/>
      <w:ind/>
    </w:pPr>
    <w:rPr>
      <w:i/>
      <w:iCs/>
      <w:color w:val="0f4761" w:themeColor="accent1" w:themeShade="BF"/>
    </w:rPr>
  </w:style>
  <w:style w:type="paragraph" w:styleId="859">
    <w:name w:val="Intense Quote"/>
    <w:basedOn w:val="891"/>
    <w:next w:val="891"/>
    <w:link w:val="86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0">
    <w:name w:val="Intense Quote Char"/>
    <w:basedOn w:val="842"/>
    <w:link w:val="859"/>
    <w:uiPriority w:val="30"/>
    <w:pPr>
      <w:pBdr/>
      <w:spacing/>
      <w:ind/>
    </w:pPr>
    <w:rPr>
      <w:i/>
      <w:iCs/>
      <w:color w:val="0f4761" w:themeColor="accent1" w:themeShade="BF"/>
    </w:rPr>
  </w:style>
  <w:style w:type="character" w:styleId="861">
    <w:name w:val="Intense Reference"/>
    <w:basedOn w:val="842"/>
    <w:uiPriority w:val="32"/>
    <w:qFormat/>
    <w:pPr>
      <w:pBdr/>
      <w:spacing/>
      <w:ind/>
    </w:pPr>
    <w:rPr>
      <w:b/>
      <w:bCs/>
      <w:smallCaps/>
      <w:color w:val="0f4761" w:themeColor="accent1" w:themeShade="BF"/>
      <w:spacing w:val="5"/>
    </w:rPr>
  </w:style>
  <w:style w:type="character" w:styleId="862">
    <w:name w:val="Subtle Emphasis"/>
    <w:basedOn w:val="842"/>
    <w:uiPriority w:val="19"/>
    <w:qFormat/>
    <w:pPr>
      <w:pBdr/>
      <w:spacing/>
      <w:ind/>
    </w:pPr>
    <w:rPr>
      <w:i/>
      <w:iCs/>
      <w:color w:val="404040" w:themeColor="text1" w:themeTint="BF"/>
    </w:rPr>
  </w:style>
  <w:style w:type="character" w:styleId="863">
    <w:name w:val="Emphasis"/>
    <w:basedOn w:val="842"/>
    <w:uiPriority w:val="20"/>
    <w:qFormat/>
    <w:pPr>
      <w:pBdr/>
      <w:spacing/>
      <w:ind/>
    </w:pPr>
    <w:rPr>
      <w:i/>
      <w:iCs/>
    </w:rPr>
  </w:style>
  <w:style w:type="character" w:styleId="864">
    <w:name w:val="Strong"/>
    <w:basedOn w:val="842"/>
    <w:uiPriority w:val="22"/>
    <w:qFormat/>
    <w:pPr>
      <w:pBdr/>
      <w:spacing/>
      <w:ind/>
    </w:pPr>
    <w:rPr>
      <w:b/>
      <w:bCs/>
    </w:rPr>
  </w:style>
  <w:style w:type="character" w:styleId="865">
    <w:name w:val="Subtle Reference"/>
    <w:basedOn w:val="842"/>
    <w:uiPriority w:val="31"/>
    <w:qFormat/>
    <w:pPr>
      <w:pBdr/>
      <w:spacing/>
      <w:ind/>
    </w:pPr>
    <w:rPr>
      <w:smallCaps/>
      <w:color w:val="5a5a5a" w:themeColor="text1" w:themeTint="A5"/>
    </w:rPr>
  </w:style>
  <w:style w:type="character" w:styleId="866">
    <w:name w:val="Book Title"/>
    <w:basedOn w:val="842"/>
    <w:uiPriority w:val="33"/>
    <w:qFormat/>
    <w:pPr>
      <w:pBdr/>
      <w:spacing/>
      <w:ind/>
    </w:pPr>
    <w:rPr>
      <w:b/>
      <w:bCs/>
      <w:i/>
      <w:iCs/>
      <w:spacing w:val="5"/>
    </w:rPr>
  </w:style>
  <w:style w:type="paragraph" w:styleId="867">
    <w:name w:val="Header"/>
    <w:basedOn w:val="891"/>
    <w:link w:val="868"/>
    <w:uiPriority w:val="99"/>
    <w:unhideWhenUsed/>
    <w:pPr>
      <w:pBdr/>
      <w:tabs>
        <w:tab w:val="center" w:leader="none" w:pos="4844"/>
        <w:tab w:val="right" w:leader="none" w:pos="9689"/>
      </w:tabs>
      <w:spacing w:after="0" w:line="240" w:lineRule="auto"/>
      <w:ind/>
    </w:pPr>
  </w:style>
  <w:style w:type="character" w:styleId="868">
    <w:name w:val="Header Char"/>
    <w:basedOn w:val="842"/>
    <w:link w:val="867"/>
    <w:uiPriority w:val="99"/>
    <w:pPr>
      <w:pBdr/>
      <w:spacing/>
      <w:ind/>
    </w:pPr>
  </w:style>
  <w:style w:type="paragraph" w:styleId="869">
    <w:name w:val="Footer"/>
    <w:basedOn w:val="891"/>
    <w:link w:val="870"/>
    <w:uiPriority w:val="99"/>
    <w:unhideWhenUsed/>
    <w:pPr>
      <w:pBdr/>
      <w:tabs>
        <w:tab w:val="center" w:leader="none" w:pos="4844"/>
        <w:tab w:val="right" w:leader="none" w:pos="9689"/>
      </w:tabs>
      <w:spacing w:after="0" w:line="240" w:lineRule="auto"/>
      <w:ind/>
    </w:pPr>
  </w:style>
  <w:style w:type="character" w:styleId="870">
    <w:name w:val="Footer Char"/>
    <w:basedOn w:val="842"/>
    <w:link w:val="869"/>
    <w:uiPriority w:val="99"/>
    <w:pPr>
      <w:pBdr/>
      <w:spacing/>
      <w:ind/>
    </w:pPr>
  </w:style>
  <w:style w:type="paragraph" w:styleId="871">
    <w:name w:val="Caption"/>
    <w:basedOn w:val="891"/>
    <w:next w:val="891"/>
    <w:uiPriority w:val="35"/>
    <w:unhideWhenUsed/>
    <w:qFormat/>
    <w:pPr>
      <w:pBdr/>
      <w:spacing w:after="200" w:line="240" w:lineRule="auto"/>
      <w:ind/>
    </w:pPr>
    <w:rPr>
      <w:i/>
      <w:iCs/>
      <w:color w:val="0e2841" w:themeColor="text2"/>
      <w:sz w:val="18"/>
      <w:szCs w:val="18"/>
    </w:rPr>
  </w:style>
  <w:style w:type="paragraph" w:styleId="872">
    <w:name w:val="footnote text"/>
    <w:basedOn w:val="891"/>
    <w:link w:val="873"/>
    <w:uiPriority w:val="99"/>
    <w:semiHidden/>
    <w:unhideWhenUsed/>
    <w:pPr>
      <w:pBdr/>
      <w:spacing w:after="0" w:line="240" w:lineRule="auto"/>
      <w:ind/>
    </w:pPr>
    <w:rPr>
      <w:sz w:val="20"/>
      <w:szCs w:val="20"/>
    </w:rPr>
  </w:style>
  <w:style w:type="character" w:styleId="873">
    <w:name w:val="Footnote Text Char"/>
    <w:basedOn w:val="842"/>
    <w:link w:val="872"/>
    <w:uiPriority w:val="99"/>
    <w:semiHidden/>
    <w:pPr>
      <w:pBdr/>
      <w:spacing/>
      <w:ind/>
    </w:pPr>
    <w:rPr>
      <w:sz w:val="20"/>
      <w:szCs w:val="20"/>
    </w:rPr>
  </w:style>
  <w:style w:type="character" w:styleId="874">
    <w:name w:val="footnote reference"/>
    <w:basedOn w:val="842"/>
    <w:uiPriority w:val="99"/>
    <w:semiHidden/>
    <w:unhideWhenUsed/>
    <w:pPr>
      <w:pBdr/>
      <w:spacing/>
      <w:ind/>
    </w:pPr>
    <w:rPr>
      <w:vertAlign w:val="superscript"/>
    </w:rPr>
  </w:style>
  <w:style w:type="paragraph" w:styleId="875">
    <w:name w:val="endnote text"/>
    <w:basedOn w:val="891"/>
    <w:link w:val="876"/>
    <w:uiPriority w:val="99"/>
    <w:semiHidden/>
    <w:unhideWhenUsed/>
    <w:pPr>
      <w:pBdr/>
      <w:spacing w:after="0" w:line="240" w:lineRule="auto"/>
      <w:ind/>
    </w:pPr>
    <w:rPr>
      <w:sz w:val="20"/>
      <w:szCs w:val="20"/>
    </w:rPr>
  </w:style>
  <w:style w:type="character" w:styleId="876">
    <w:name w:val="Endnote Text Char"/>
    <w:basedOn w:val="842"/>
    <w:link w:val="875"/>
    <w:uiPriority w:val="99"/>
    <w:semiHidden/>
    <w:pPr>
      <w:pBdr/>
      <w:spacing/>
      <w:ind/>
    </w:pPr>
    <w:rPr>
      <w:sz w:val="20"/>
      <w:szCs w:val="20"/>
    </w:rPr>
  </w:style>
  <w:style w:type="character" w:styleId="877">
    <w:name w:val="endnote reference"/>
    <w:basedOn w:val="842"/>
    <w:uiPriority w:val="99"/>
    <w:semiHidden/>
    <w:unhideWhenUsed/>
    <w:pPr>
      <w:pBdr/>
      <w:spacing/>
      <w:ind/>
    </w:pPr>
    <w:rPr>
      <w:vertAlign w:val="superscript"/>
    </w:rPr>
  </w:style>
  <w:style w:type="character" w:styleId="878">
    <w:name w:val="Hyperlink"/>
    <w:basedOn w:val="842"/>
    <w:uiPriority w:val="99"/>
    <w:unhideWhenUsed/>
    <w:pPr>
      <w:pBdr/>
      <w:spacing/>
      <w:ind/>
    </w:pPr>
    <w:rPr>
      <w:color w:val="0563c1" w:themeColor="hyperlink"/>
      <w:u w:val="single"/>
    </w:rPr>
  </w:style>
  <w:style w:type="character" w:styleId="879">
    <w:name w:val="FollowedHyperlink"/>
    <w:basedOn w:val="842"/>
    <w:uiPriority w:val="99"/>
    <w:semiHidden/>
    <w:unhideWhenUsed/>
    <w:pPr>
      <w:pBdr/>
      <w:spacing/>
      <w:ind/>
    </w:pPr>
    <w:rPr>
      <w:color w:val="954f72" w:themeColor="followedHyperlink"/>
      <w:u w:val="single"/>
    </w:rPr>
  </w:style>
  <w:style w:type="paragraph" w:styleId="880">
    <w:name w:val="toc 1"/>
    <w:basedOn w:val="891"/>
    <w:next w:val="891"/>
    <w:uiPriority w:val="39"/>
    <w:unhideWhenUsed/>
    <w:pPr>
      <w:pBdr/>
      <w:spacing w:after="100"/>
      <w:ind/>
    </w:pPr>
  </w:style>
  <w:style w:type="paragraph" w:styleId="881">
    <w:name w:val="toc 2"/>
    <w:basedOn w:val="891"/>
    <w:next w:val="891"/>
    <w:uiPriority w:val="39"/>
    <w:unhideWhenUsed/>
    <w:pPr>
      <w:pBdr/>
      <w:spacing w:after="100"/>
      <w:ind w:left="220"/>
    </w:pPr>
  </w:style>
  <w:style w:type="paragraph" w:styleId="882">
    <w:name w:val="toc 3"/>
    <w:basedOn w:val="891"/>
    <w:next w:val="891"/>
    <w:uiPriority w:val="39"/>
    <w:unhideWhenUsed/>
    <w:pPr>
      <w:pBdr/>
      <w:spacing w:after="100"/>
      <w:ind w:left="440"/>
    </w:pPr>
  </w:style>
  <w:style w:type="paragraph" w:styleId="883">
    <w:name w:val="toc 4"/>
    <w:basedOn w:val="891"/>
    <w:next w:val="891"/>
    <w:uiPriority w:val="39"/>
    <w:unhideWhenUsed/>
    <w:pPr>
      <w:pBdr/>
      <w:spacing w:after="100"/>
      <w:ind w:left="660"/>
    </w:pPr>
  </w:style>
  <w:style w:type="paragraph" w:styleId="884">
    <w:name w:val="toc 5"/>
    <w:basedOn w:val="891"/>
    <w:next w:val="891"/>
    <w:uiPriority w:val="39"/>
    <w:unhideWhenUsed/>
    <w:pPr>
      <w:pBdr/>
      <w:spacing w:after="100"/>
      <w:ind w:left="880"/>
    </w:pPr>
  </w:style>
  <w:style w:type="paragraph" w:styleId="885">
    <w:name w:val="toc 6"/>
    <w:basedOn w:val="891"/>
    <w:next w:val="891"/>
    <w:uiPriority w:val="39"/>
    <w:unhideWhenUsed/>
    <w:pPr>
      <w:pBdr/>
      <w:spacing w:after="100"/>
      <w:ind w:left="1100"/>
    </w:pPr>
  </w:style>
  <w:style w:type="paragraph" w:styleId="886">
    <w:name w:val="toc 7"/>
    <w:basedOn w:val="891"/>
    <w:next w:val="891"/>
    <w:uiPriority w:val="39"/>
    <w:unhideWhenUsed/>
    <w:pPr>
      <w:pBdr/>
      <w:spacing w:after="100"/>
      <w:ind w:left="1320"/>
    </w:pPr>
  </w:style>
  <w:style w:type="paragraph" w:styleId="887">
    <w:name w:val="toc 8"/>
    <w:basedOn w:val="891"/>
    <w:next w:val="891"/>
    <w:uiPriority w:val="39"/>
    <w:unhideWhenUsed/>
    <w:pPr>
      <w:pBdr/>
      <w:spacing w:after="100"/>
      <w:ind w:left="1540"/>
    </w:pPr>
  </w:style>
  <w:style w:type="paragraph" w:styleId="888">
    <w:name w:val="toc 9"/>
    <w:basedOn w:val="891"/>
    <w:next w:val="891"/>
    <w:uiPriority w:val="39"/>
    <w:unhideWhenUsed/>
    <w:pPr>
      <w:pBdr/>
      <w:spacing w:after="100"/>
      <w:ind w:left="1760"/>
    </w:p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qFormat/>
    <w:pPr>
      <w:pBdr/>
      <w:spacing/>
      <w:ind/>
    </w:pPr>
  </w:style>
  <w:style w:type="table" w:styleId="89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3" w:default="1">
    <w:name w:val="No List"/>
    <w:uiPriority w:val="99"/>
    <w:semiHidden/>
    <w:unhideWhenUsed/>
    <w:pPr>
      <w:pBdr/>
      <w:spacing/>
      <w:ind/>
    </w:pPr>
  </w:style>
  <w:style w:type="paragraph" w:styleId="894">
    <w:name w:val="No Spacing"/>
    <w:basedOn w:val="891"/>
    <w:uiPriority w:val="1"/>
    <w:qFormat/>
    <w:pPr>
      <w:pBdr/>
      <w:spacing w:after="0" w:line="240" w:lineRule="auto"/>
      <w:ind/>
    </w:pPr>
  </w:style>
  <w:style w:type="paragraph" w:styleId="895">
    <w:name w:val="List Paragraph"/>
    <w:basedOn w:val="891"/>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ONLYOFFICE/8.2.2.22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2024-12-17T12:05:48Z</dcterms:modified>
</cp:coreProperties>
</file>