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BD60" w14:textId="77777777" w:rsidR="002E05D3" w:rsidRDefault="002E05D3">
      <w:pPr>
        <w:spacing w:after="80"/>
      </w:pPr>
    </w:p>
    <w:p w14:paraId="0C9EE259" w14:textId="77777777" w:rsidR="002E05D3" w:rsidRDefault="002E05D3">
      <w:pPr>
        <w:spacing w:after="80"/>
      </w:pPr>
    </w:p>
    <w:p w14:paraId="465E14F9" w14:textId="77777777" w:rsidR="002E05D3" w:rsidRDefault="002E05D3">
      <w:pPr>
        <w:spacing w:after="80"/>
      </w:pPr>
    </w:p>
    <w:p w14:paraId="2257677B" w14:textId="77777777" w:rsidR="002E05D3" w:rsidRDefault="00000000">
      <w:pPr>
        <w:spacing w:after="80"/>
        <w:jc w:val="center"/>
      </w:pPr>
      <w:r>
        <w:rPr>
          <w:b/>
          <w:bCs/>
          <w:caps/>
          <w:color w:val="888888"/>
          <w:sz w:val="20"/>
          <w:szCs w:val="20"/>
        </w:rPr>
        <w:t>RESEARCH PAPER</w:t>
      </w:r>
    </w:p>
    <w:p w14:paraId="0E29970E" w14:textId="77777777" w:rsidR="002E05D3" w:rsidRDefault="002E05D3">
      <w:pPr>
        <w:spacing w:after="80"/>
      </w:pPr>
    </w:p>
    <w:p w14:paraId="6C949E7E" w14:textId="77777777" w:rsidR="002E05D3" w:rsidRDefault="00000000">
      <w:pPr>
        <w:spacing w:after="200"/>
        <w:jc w:val="center"/>
      </w:pPr>
      <w:r>
        <w:rPr>
          <w:b/>
          <w:bCs/>
          <w:color w:val="1F3864"/>
          <w:sz w:val="40"/>
          <w:szCs w:val="40"/>
        </w:rPr>
        <w:t>Customer Segmentation &amp; Churn Pattern Analytics in European Banking</w:t>
      </w:r>
    </w:p>
    <w:p w14:paraId="1C9140A3" w14:textId="77777777" w:rsidR="002E05D3" w:rsidRDefault="002E05D3">
      <w:pPr>
        <w:pBdr>
          <w:bottom w:val="single" w:sz="6" w:space="1" w:color="2E5EA3"/>
        </w:pBdr>
        <w:spacing w:after="400"/>
        <w:jc w:val="center"/>
      </w:pPr>
    </w:p>
    <w:p w14:paraId="0B69603F" w14:textId="77777777" w:rsidR="002E05D3" w:rsidRDefault="002E05D3">
      <w:pPr>
        <w:spacing w:after="80"/>
      </w:pPr>
    </w:p>
    <w:p w14:paraId="649DF8BF" w14:textId="77777777" w:rsidR="002E05D3" w:rsidRDefault="00000000">
      <w:pPr>
        <w:spacing w:after="120"/>
        <w:jc w:val="center"/>
      </w:pPr>
      <w:r>
        <w:rPr>
          <w:i/>
          <w:iCs/>
          <w:color w:val="444444"/>
          <w:sz w:val="26"/>
          <w:szCs w:val="26"/>
        </w:rPr>
        <w:t>A Segmentation-Driven Exploratory Data Analysis</w:t>
      </w:r>
    </w:p>
    <w:p w14:paraId="1B5CA981" w14:textId="77777777" w:rsidR="002E05D3" w:rsidRDefault="002E05D3">
      <w:pPr>
        <w:spacing w:after="80"/>
      </w:pPr>
    </w:p>
    <w:p w14:paraId="4CDF85D7" w14:textId="77777777" w:rsidR="002E05D3" w:rsidRDefault="002E05D3">
      <w:pPr>
        <w:spacing w:after="80"/>
      </w:pPr>
    </w:p>
    <w:p w14:paraId="361E69FD" w14:textId="77777777" w:rsidR="002E05D3" w:rsidRDefault="002E05D3">
      <w:pPr>
        <w:spacing w:after="80"/>
      </w:pPr>
    </w:p>
    <w:p w14:paraId="47D4E36E" w14:textId="77777777" w:rsidR="002E05D3" w:rsidRDefault="00000000">
      <w:pPr>
        <w:spacing w:after="80"/>
        <w:jc w:val="center"/>
      </w:pPr>
      <w:r>
        <w:t xml:space="preserve">Dataset: European Bank Customer </w:t>
      </w:r>
      <w:proofErr w:type="gramStart"/>
      <w:r>
        <w:t>Dataset  |</w:t>
      </w:r>
      <w:proofErr w:type="gramEnd"/>
      <w:r>
        <w:t xml:space="preserve">  N = 10,000</w:t>
      </w:r>
    </w:p>
    <w:p w14:paraId="4D25C89A" w14:textId="77777777" w:rsidR="002E05D3" w:rsidRDefault="00000000">
      <w:pPr>
        <w:spacing w:after="80"/>
        <w:jc w:val="center"/>
      </w:pPr>
      <w:r>
        <w:t>Geographies Covered: France • Germany • Spain</w:t>
      </w:r>
    </w:p>
    <w:p w14:paraId="55FF5159" w14:textId="77777777" w:rsidR="0043482B" w:rsidRDefault="0043482B">
      <w:pPr>
        <w:spacing w:after="80"/>
        <w:jc w:val="center"/>
      </w:pPr>
    </w:p>
    <w:p w14:paraId="63247128" w14:textId="717FF710" w:rsidR="0043482B" w:rsidRDefault="0043482B">
      <w:pPr>
        <w:spacing w:after="80"/>
        <w:jc w:val="center"/>
      </w:pPr>
      <w:r>
        <w:t xml:space="preserve">In Association with Unified Mentor </w:t>
      </w:r>
      <w:proofErr w:type="gramStart"/>
      <w:r>
        <w:t>Pvt  Ltd</w:t>
      </w:r>
      <w:proofErr w:type="gramEnd"/>
      <w:r>
        <w:t>,</w:t>
      </w:r>
    </w:p>
    <w:p w14:paraId="18A8E7AF" w14:textId="15087F78" w:rsidR="0043482B" w:rsidRDefault="0043482B">
      <w:pPr>
        <w:spacing w:after="80"/>
        <w:jc w:val="center"/>
      </w:pPr>
      <w:r>
        <w:t xml:space="preserve">Under the Guidance of Mr. Saiprasad </w:t>
      </w:r>
      <w:proofErr w:type="spellStart"/>
      <w:r>
        <w:t>Kagne</w:t>
      </w:r>
      <w:proofErr w:type="spellEnd"/>
    </w:p>
    <w:p w14:paraId="4DAF07FA" w14:textId="77777777" w:rsidR="0043482B" w:rsidRDefault="0043482B">
      <w:pPr>
        <w:spacing w:after="80"/>
        <w:jc w:val="center"/>
      </w:pPr>
    </w:p>
    <w:p w14:paraId="113B6492" w14:textId="393B6A32" w:rsidR="0043482B" w:rsidRDefault="0043482B">
      <w:pPr>
        <w:spacing w:after="80"/>
        <w:jc w:val="center"/>
      </w:pPr>
      <w:r>
        <w:t>Completed by Piyush Pant</w:t>
      </w:r>
    </w:p>
    <w:p w14:paraId="3D8DAD63" w14:textId="77777777" w:rsidR="002E05D3" w:rsidRDefault="00000000">
      <w:pPr>
        <w:spacing w:after="80"/>
        <w:jc w:val="center"/>
      </w:pPr>
      <w:r>
        <w:t>Date: May 2026</w:t>
      </w:r>
    </w:p>
    <w:p w14:paraId="7F4188F3" w14:textId="77777777" w:rsidR="002E05D3" w:rsidRDefault="002E05D3">
      <w:pPr>
        <w:spacing w:after="80"/>
      </w:pPr>
    </w:p>
    <w:p w14:paraId="102FD841" w14:textId="77777777" w:rsidR="002E05D3" w:rsidRDefault="002E05D3">
      <w:pPr>
        <w:spacing w:after="80"/>
      </w:pPr>
    </w:p>
    <w:p w14:paraId="1687E066" w14:textId="77777777" w:rsidR="002E05D3" w:rsidRDefault="00000000">
      <w:pPr>
        <w:jc w:val="center"/>
      </w:pPr>
      <w:r>
        <w:rPr>
          <w:color w:val="888888"/>
          <w:sz w:val="20"/>
          <w:szCs w:val="20"/>
        </w:rPr>
        <w:t>Analytical Domain: Retail Banking • Customer Intelligence • Churn Analytics</w:t>
      </w:r>
    </w:p>
    <w:p w14:paraId="75B87807" w14:textId="77777777" w:rsidR="002E05D3" w:rsidRDefault="00000000">
      <w:r>
        <w:br w:type="page"/>
      </w:r>
    </w:p>
    <w:p w14:paraId="40E18F9E" w14:textId="77777777" w:rsidR="002E05D3" w:rsidRDefault="00000000">
      <w:pPr>
        <w:pStyle w:val="Heading1"/>
      </w:pPr>
      <w:r>
        <w:lastRenderedPageBreak/>
        <w:t>Abstract</w:t>
      </w:r>
    </w:p>
    <w:p w14:paraId="284F699B" w14:textId="77777777" w:rsidR="002E05D3" w:rsidRDefault="00000000">
      <w:pPr>
        <w:spacing w:after="160"/>
        <w:jc w:val="both"/>
      </w:pPr>
      <w:r>
        <w:t>Customer churn is one of the most significant drivers of revenue erosion in European retail banking. Despite rich transactional and demographic data, most banks lack the granular segmentation intelligence needed to design targeted, data-driven retention strategies. This paper presents a comprehensive Exploratory Data Analysis (EDA) of a European banking dataset comprising 10,000 customers across France, Germany, and Spain. Through a systematic multi-dimensional segmentation framework spanning geography, age, credit score, tenure, account balance, gender, and financial stability, this study identifies the precise customer cohorts most susceptible to churn.</w:t>
      </w:r>
    </w:p>
    <w:p w14:paraId="0993248C" w14:textId="77777777" w:rsidR="002E05D3" w:rsidRDefault="002E05D3">
      <w:pPr>
        <w:spacing w:after="80"/>
      </w:pPr>
    </w:p>
    <w:p w14:paraId="6CEDBC0A" w14:textId="77777777" w:rsidR="002E05D3" w:rsidRDefault="00000000">
      <w:pPr>
        <w:spacing w:after="160"/>
        <w:jc w:val="both"/>
      </w:pPr>
      <w:r>
        <w:t>Key findings reveal an overall churn rate of approximately 20.4%. Germany exhibits the highest regional churn rate at 32.4%, over twice that of France (16.2%) and Spain (16.7%). Age-based analysis shows that the 30–45 cohort contributes 65.9% of total churn. Gender analysis confirms female customers churn at a notably higher rate (~25.1%) than male customers (~16.5%). A composite High-Value Customer (HVC) scoring model reveals that Premium segment customers exhibit a 54.3% churn rate — the single largest revenue risk identified. Long-term customers (tenure &gt; 7 years) paradoxically account for 61.4% of all churn.</w:t>
      </w:r>
    </w:p>
    <w:p w14:paraId="7753B9C6" w14:textId="77777777" w:rsidR="002E05D3" w:rsidRDefault="002E05D3">
      <w:pPr>
        <w:spacing w:after="80"/>
      </w:pPr>
    </w:p>
    <w:p w14:paraId="620AE1BB" w14:textId="77777777" w:rsidR="002E05D3" w:rsidRDefault="00000000">
      <w:pPr>
        <w:spacing w:after="160"/>
        <w:jc w:val="both"/>
      </w:pPr>
      <w:r>
        <w:rPr>
          <w:b/>
          <w:bCs/>
        </w:rPr>
        <w:t xml:space="preserve">Keywords: </w:t>
      </w:r>
      <w:r>
        <w:t>Customer Churn, Bank Customer Segmentation, European Banking, Exploratory Data Analysis, High-Value Customer Risk, Retention Strategy, Geographic Churn Analysis</w:t>
      </w:r>
    </w:p>
    <w:p w14:paraId="5682A610" w14:textId="77777777" w:rsidR="002E05D3" w:rsidRDefault="00000000">
      <w:r>
        <w:br w:type="page"/>
      </w:r>
    </w:p>
    <w:p w14:paraId="6D299990" w14:textId="77777777" w:rsidR="002E05D3" w:rsidRDefault="00000000">
      <w:pPr>
        <w:pStyle w:val="Heading1"/>
      </w:pPr>
      <w:r>
        <w:lastRenderedPageBreak/>
        <w:t>1. Introduction</w:t>
      </w:r>
    </w:p>
    <w:p w14:paraId="6FF51CC6" w14:textId="77777777" w:rsidR="002E05D3" w:rsidRDefault="00000000">
      <w:pPr>
        <w:pStyle w:val="Heading2"/>
      </w:pPr>
      <w:r>
        <w:t>1.1 Background</w:t>
      </w:r>
    </w:p>
    <w:p w14:paraId="295DD4B0" w14:textId="77777777" w:rsidR="002E05D3" w:rsidRDefault="00000000">
      <w:pPr>
        <w:spacing w:after="160"/>
        <w:jc w:val="both"/>
      </w:pPr>
      <w:r>
        <w:t>Customer churn — the voluntary termination of a customer’s relationship with a financial institution — represents one of the most economically significant challenges in retail banking. The acquisition cost of a new bank customer is five to seven times higher than the cost of retaining an existing one. European retail banking operates in a uniquely competitive environment shaped by regulatory frameworks (PSD2, GDPR), fintech disruption, and a financially sophisticated customer base across France, Germany, and Spain.</w:t>
      </w:r>
    </w:p>
    <w:p w14:paraId="0FB5280D" w14:textId="77777777" w:rsidR="002E05D3" w:rsidRDefault="00000000">
      <w:pPr>
        <w:pStyle w:val="Heading2"/>
      </w:pPr>
      <w:r>
        <w:t>1.2 Problem Statement</w:t>
      </w:r>
    </w:p>
    <w:p w14:paraId="33CE3278" w14:textId="77777777" w:rsidR="002E05D3" w:rsidRDefault="00000000">
      <w:pPr>
        <w:spacing w:after="160"/>
        <w:jc w:val="both"/>
      </w:pPr>
      <w:r>
        <w:t>Despite accumulating extensive customer-level data, banks commonly resort to aggregate churn tracking rather than granular segmentation analysis, resulting in reactive, generic retention programmes. The critical analytical gaps are:</w:t>
      </w:r>
    </w:p>
    <w:p w14:paraId="087304D5" w14:textId="77777777" w:rsidR="002E05D3" w:rsidRDefault="00000000">
      <w:pPr>
        <w:pStyle w:val="ListParagraph"/>
        <w:numPr>
          <w:ilvl w:val="0"/>
          <w:numId w:val="2"/>
        </w:numPr>
        <w:spacing w:after="80"/>
      </w:pPr>
      <w:r>
        <w:t>Which customer segments exhibit the highest churn probability?</w:t>
      </w:r>
    </w:p>
    <w:p w14:paraId="3F8D0DAF" w14:textId="77777777" w:rsidR="002E05D3" w:rsidRDefault="00000000">
      <w:pPr>
        <w:pStyle w:val="ListParagraph"/>
        <w:numPr>
          <w:ilvl w:val="0"/>
          <w:numId w:val="2"/>
        </w:numPr>
        <w:spacing w:after="80"/>
      </w:pPr>
      <w:r>
        <w:t>How does churn behaviour vary across European geographies?</w:t>
      </w:r>
    </w:p>
    <w:p w14:paraId="2152D628" w14:textId="77777777" w:rsidR="002E05D3" w:rsidRDefault="00000000">
      <w:pPr>
        <w:pStyle w:val="ListParagraph"/>
        <w:numPr>
          <w:ilvl w:val="0"/>
          <w:numId w:val="2"/>
        </w:numPr>
        <w:spacing w:after="80"/>
      </w:pPr>
      <w:r>
        <w:t>Do high-value customers churn at disproportionate rates, and what is the associated revenue risk?</w:t>
      </w:r>
    </w:p>
    <w:p w14:paraId="01EE7F5F" w14:textId="77777777" w:rsidR="002E05D3" w:rsidRDefault="00000000">
      <w:pPr>
        <w:pStyle w:val="ListParagraph"/>
        <w:numPr>
          <w:ilvl w:val="0"/>
          <w:numId w:val="2"/>
        </w:numPr>
        <w:spacing w:after="80"/>
      </w:pPr>
      <w:r>
        <w:t>What financial and engagement characteristics differentiate churned from retained customers?</w:t>
      </w:r>
    </w:p>
    <w:p w14:paraId="359913E3" w14:textId="77777777" w:rsidR="002E05D3" w:rsidRDefault="00000000">
      <w:pPr>
        <w:pStyle w:val="Heading2"/>
      </w:pPr>
      <w:r>
        <w:t>1.3 Objectives</w:t>
      </w:r>
    </w:p>
    <w:p w14:paraId="4C9CC408" w14:textId="77777777" w:rsidR="002E05D3" w:rsidRDefault="00000000">
      <w:pPr>
        <w:pStyle w:val="ListParagraph"/>
        <w:numPr>
          <w:ilvl w:val="0"/>
          <w:numId w:val="3"/>
        </w:numPr>
        <w:spacing w:after="80"/>
      </w:pPr>
      <w:r>
        <w:t>Measure and contextualise the overall churn rate.</w:t>
      </w:r>
    </w:p>
    <w:p w14:paraId="35194C36" w14:textId="77777777" w:rsidR="002E05D3" w:rsidRDefault="00000000">
      <w:pPr>
        <w:pStyle w:val="ListParagraph"/>
        <w:numPr>
          <w:ilvl w:val="0"/>
          <w:numId w:val="3"/>
        </w:numPr>
        <w:spacing w:after="80"/>
      </w:pPr>
      <w:r>
        <w:t>Perform multi-dimensional segmentation and quantify segment-level churn rates.</w:t>
      </w:r>
    </w:p>
    <w:p w14:paraId="268D7D46" w14:textId="77777777" w:rsidR="002E05D3" w:rsidRDefault="00000000">
      <w:pPr>
        <w:pStyle w:val="ListParagraph"/>
        <w:numPr>
          <w:ilvl w:val="0"/>
          <w:numId w:val="3"/>
        </w:numPr>
        <w:spacing w:after="80"/>
      </w:pPr>
      <w:r>
        <w:t>Conduct comparative demographic analysis across geography, age, gender, and financial profile.</w:t>
      </w:r>
    </w:p>
    <w:p w14:paraId="1D0BAF1D" w14:textId="77777777" w:rsidR="002E05D3" w:rsidRDefault="00000000">
      <w:pPr>
        <w:pStyle w:val="ListParagraph"/>
        <w:numPr>
          <w:ilvl w:val="0"/>
          <w:numId w:val="3"/>
        </w:numPr>
        <w:spacing w:after="80"/>
      </w:pPr>
      <w:r>
        <w:t>Identify high-value customer churn risk using a composite scoring model.</w:t>
      </w:r>
    </w:p>
    <w:p w14:paraId="6449A65A" w14:textId="77777777" w:rsidR="002E05D3" w:rsidRDefault="00000000">
      <w:pPr>
        <w:pStyle w:val="ListParagraph"/>
        <w:numPr>
          <w:ilvl w:val="0"/>
          <w:numId w:val="3"/>
        </w:numPr>
        <w:spacing w:after="80"/>
      </w:pPr>
      <w:r>
        <w:t>Derive actionable strategic recommendations for bank retention management.</w:t>
      </w:r>
    </w:p>
    <w:p w14:paraId="5F6ACDF4" w14:textId="099270E5" w:rsidR="00263AAF" w:rsidRDefault="00263AAF" w:rsidP="00263AAF"/>
    <w:p w14:paraId="57392683" w14:textId="55314D2E" w:rsidR="002E05D3" w:rsidRDefault="00000000">
      <w:pPr>
        <w:pStyle w:val="Heading1"/>
      </w:pPr>
      <w:r>
        <w:t>2. Literature Review &amp; Theoretical Framework</w:t>
      </w:r>
    </w:p>
    <w:p w14:paraId="4687629B" w14:textId="77777777" w:rsidR="002E05D3" w:rsidRDefault="00000000">
      <w:pPr>
        <w:spacing w:after="160"/>
        <w:jc w:val="both"/>
      </w:pPr>
      <w:r>
        <w:t>The academic and industry literature on bank customer churn converges around several well-established themes. Customer lifetime value (CLV) models, first formalised by Reichheld and Sasser (1990), demonstrated that a 5% increase in customer retention can produce a 25–95% increase in profits. Subsequent research in European banking (Van den Poel &amp; Lariviere, 2004) established that churn propensity is strongly correlated with product depth, engagement frequency, and relationship tenure.</w:t>
      </w:r>
    </w:p>
    <w:p w14:paraId="52DEA72E" w14:textId="77777777" w:rsidR="002E05D3" w:rsidRDefault="002E05D3">
      <w:pPr>
        <w:spacing w:after="80"/>
      </w:pPr>
    </w:p>
    <w:p w14:paraId="42C06581" w14:textId="77777777" w:rsidR="002E05D3" w:rsidRDefault="00000000">
      <w:pPr>
        <w:spacing w:after="160"/>
        <w:jc w:val="both"/>
      </w:pPr>
      <w:r>
        <w:t xml:space="preserve">Geographic and cultural dimensions of churn in European banking have received growing scholarly attention. Research consistently identifies Germany as a higher-churn market relative to France and Spain, attributable to a historically fragmented banking landscape and stronger consumer willingness to switch providers. Gender-differentiated churn behaviour has been documented in behavioural </w:t>
      </w:r>
      <w:r>
        <w:lastRenderedPageBreak/>
        <w:t>finance literature, with female customers showing higher switching rates in response to perceived service quality mismatches.</w:t>
      </w:r>
    </w:p>
    <w:p w14:paraId="6A02DEE0" w14:textId="77777777" w:rsidR="002E05D3" w:rsidRDefault="002E05D3">
      <w:pPr>
        <w:spacing w:after="80"/>
      </w:pPr>
    </w:p>
    <w:p w14:paraId="0B2D2F7D" w14:textId="77777777" w:rsidR="002E05D3" w:rsidRDefault="00000000">
      <w:pPr>
        <w:spacing w:after="160"/>
        <w:jc w:val="both"/>
      </w:pPr>
      <w:r>
        <w:t>The concept of a Financial Stability Score (FSS) as a composite predictor of churn risk builds on the multi-criteria decision analysis (MCDA) framework applied to banking by Malhotra &amp; Malhotra (2002). This study situates itself within the EDA tradition — leveraging visual and statistical decomposition of customer behaviour data — with predictive modelling forming the logical next research phase.</w:t>
      </w:r>
    </w:p>
    <w:p w14:paraId="71E864BE" w14:textId="3BC37A22" w:rsidR="00263AAF" w:rsidRDefault="00263AAF" w:rsidP="00263AAF"/>
    <w:p w14:paraId="5414C7E2" w14:textId="2649A269" w:rsidR="002E05D3" w:rsidRDefault="00000000">
      <w:pPr>
        <w:pStyle w:val="Heading1"/>
      </w:pPr>
      <w:r>
        <w:t>3. Data Description &amp; Methodology</w:t>
      </w:r>
    </w:p>
    <w:p w14:paraId="3C451B98" w14:textId="77777777" w:rsidR="002E05D3" w:rsidRDefault="00000000">
      <w:pPr>
        <w:pStyle w:val="Heading2"/>
      </w:pPr>
      <w:r>
        <w:t>3.1 Dataset Overview</w:t>
      </w:r>
    </w:p>
    <w:p w14:paraId="42405EAD" w14:textId="77777777" w:rsidR="002E05D3" w:rsidRDefault="00000000">
      <w:pPr>
        <w:spacing w:after="160"/>
        <w:jc w:val="both"/>
      </w:pPr>
      <w:r>
        <w:t>The analysis is conducted on the European Bank Customer Dataset containing 10,000 customer records spanning three European countries.</w:t>
      </w:r>
    </w:p>
    <w:p w14:paraId="3A7CDF20" w14:textId="77777777" w:rsidR="002E05D3" w:rsidRDefault="002E05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4280"/>
      </w:tblGrid>
      <w:tr w:rsidR="002E05D3" w14:paraId="61D4149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88A504" w14:textId="77777777" w:rsidR="002E05D3" w:rsidRDefault="00000000">
            <w:pPr>
              <w:jc w:val="center"/>
            </w:pPr>
            <w:r>
              <w:rPr>
                <w:b/>
                <w:bCs/>
                <w:color w:val="FFFFFF"/>
                <w:sz w:val="20"/>
                <w:szCs w:val="20"/>
              </w:rPr>
              <w:t>Column</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2F74DB" w14:textId="77777777" w:rsidR="002E05D3" w:rsidRDefault="00000000">
            <w:pPr>
              <w:jc w:val="center"/>
            </w:pPr>
            <w:r>
              <w:rPr>
                <w:b/>
                <w:bCs/>
                <w:color w:val="FFFFFF"/>
                <w:sz w:val="20"/>
                <w:szCs w:val="20"/>
              </w:rPr>
              <w:t>Type</w:t>
            </w:r>
          </w:p>
        </w:tc>
        <w:tc>
          <w:tcPr>
            <w:tcW w:w="4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A2A657" w14:textId="77777777" w:rsidR="002E05D3" w:rsidRDefault="00000000">
            <w:pPr>
              <w:jc w:val="center"/>
            </w:pPr>
            <w:r>
              <w:rPr>
                <w:b/>
                <w:bCs/>
                <w:color w:val="FFFFFF"/>
                <w:sz w:val="20"/>
                <w:szCs w:val="20"/>
              </w:rPr>
              <w:t>Description</w:t>
            </w:r>
          </w:p>
        </w:tc>
      </w:tr>
      <w:tr w:rsidR="002E05D3" w14:paraId="7DD1A5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02705E1" w14:textId="77777777" w:rsidR="002E05D3" w:rsidRDefault="00000000">
            <w:pPr>
              <w:jc w:val="center"/>
            </w:pPr>
            <w:proofErr w:type="spellStart"/>
            <w:r>
              <w:rPr>
                <w:sz w:val="20"/>
                <w:szCs w:val="20"/>
              </w:rPr>
              <w:t>CustomerId</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1419497B" w14:textId="77777777" w:rsidR="002E05D3" w:rsidRDefault="00000000">
            <w:pPr>
              <w:jc w:val="center"/>
            </w:pPr>
            <w:r>
              <w:rPr>
                <w:sz w:val="20"/>
                <w:szCs w:val="20"/>
              </w:rPr>
              <w:t>Integer</w:t>
            </w:r>
          </w:p>
        </w:tc>
        <w:tc>
          <w:tcPr>
            <w:tcW w:w="4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924A4C3" w14:textId="77777777" w:rsidR="002E05D3" w:rsidRDefault="00000000">
            <w:pPr>
              <w:jc w:val="center"/>
            </w:pPr>
            <w:r>
              <w:rPr>
                <w:sz w:val="20"/>
                <w:szCs w:val="20"/>
              </w:rPr>
              <w:t>Unique customer identifier</w:t>
            </w:r>
          </w:p>
        </w:tc>
      </w:tr>
      <w:tr w:rsidR="002E05D3" w14:paraId="476BBE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CED490" w14:textId="77777777" w:rsidR="002E05D3" w:rsidRDefault="00000000">
            <w:pPr>
              <w:jc w:val="center"/>
            </w:pPr>
            <w:proofErr w:type="spellStart"/>
            <w:r>
              <w:rPr>
                <w:sz w:val="20"/>
                <w:szCs w:val="20"/>
              </w:rPr>
              <w:t>CreditScore</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D80FE" w14:textId="77777777" w:rsidR="002E05D3" w:rsidRDefault="00000000">
            <w:pPr>
              <w:jc w:val="center"/>
            </w:pPr>
            <w:r>
              <w:rPr>
                <w:sz w:val="20"/>
                <w:szCs w:val="20"/>
              </w:rPr>
              <w:t>Integer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A3A4E" w14:textId="77777777" w:rsidR="002E05D3" w:rsidRDefault="00000000">
            <w:pPr>
              <w:jc w:val="center"/>
            </w:pPr>
            <w:r>
              <w:rPr>
                <w:sz w:val="20"/>
                <w:szCs w:val="20"/>
              </w:rPr>
              <w:t>Credit score (350–850)</w:t>
            </w:r>
          </w:p>
        </w:tc>
      </w:tr>
      <w:tr w:rsidR="002E05D3" w14:paraId="7EC8BF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0B806067" w14:textId="77777777" w:rsidR="002E05D3" w:rsidRDefault="00000000">
            <w:pPr>
              <w:jc w:val="center"/>
            </w:pPr>
            <w:r>
              <w:rPr>
                <w:sz w:val="20"/>
                <w:szCs w:val="20"/>
              </w:rPr>
              <w:t>Geography</w:t>
            </w:r>
          </w:p>
        </w:tc>
        <w:tc>
          <w:tcPr>
            <w:tcW w:w="2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56FF14CD" w14:textId="77777777" w:rsidR="002E05D3" w:rsidRDefault="00000000">
            <w:pPr>
              <w:jc w:val="center"/>
            </w:pPr>
            <w:r>
              <w:rPr>
                <w:sz w:val="20"/>
                <w:szCs w:val="20"/>
              </w:rPr>
              <w:t>Categorical</w:t>
            </w:r>
          </w:p>
        </w:tc>
        <w:tc>
          <w:tcPr>
            <w:tcW w:w="4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12CDDDF5" w14:textId="77777777" w:rsidR="002E05D3" w:rsidRDefault="00000000">
            <w:pPr>
              <w:jc w:val="center"/>
            </w:pPr>
            <w:r>
              <w:rPr>
                <w:sz w:val="20"/>
                <w:szCs w:val="20"/>
              </w:rPr>
              <w:t>France, Spain, Germany</w:t>
            </w:r>
          </w:p>
        </w:tc>
      </w:tr>
      <w:tr w:rsidR="002E05D3" w14:paraId="30B60F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91288" w14:textId="77777777" w:rsidR="002E05D3" w:rsidRDefault="00000000">
            <w:pPr>
              <w:jc w:val="center"/>
            </w:pPr>
            <w:r>
              <w:rPr>
                <w:sz w:val="20"/>
                <w:szCs w:val="20"/>
              </w:rPr>
              <w:t>Gender</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8DFEC" w14:textId="77777777" w:rsidR="002E05D3" w:rsidRDefault="00000000">
            <w:pPr>
              <w:jc w:val="center"/>
            </w:pPr>
            <w:r>
              <w:rPr>
                <w:sz w:val="20"/>
                <w:szCs w:val="20"/>
              </w:rPr>
              <w:t>Categorical</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32597" w14:textId="77777777" w:rsidR="002E05D3" w:rsidRDefault="00000000">
            <w:pPr>
              <w:jc w:val="center"/>
            </w:pPr>
            <w:r>
              <w:rPr>
                <w:sz w:val="20"/>
                <w:szCs w:val="20"/>
              </w:rPr>
              <w:t>Male / Female</w:t>
            </w:r>
          </w:p>
        </w:tc>
      </w:tr>
      <w:tr w:rsidR="002E05D3" w14:paraId="625DF5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53753FE8" w14:textId="77777777" w:rsidR="002E05D3" w:rsidRDefault="00000000">
            <w:pPr>
              <w:jc w:val="center"/>
            </w:pPr>
            <w:r>
              <w:rPr>
                <w:sz w:val="20"/>
                <w:szCs w:val="20"/>
              </w:rPr>
              <w:t>Age</w:t>
            </w:r>
          </w:p>
        </w:tc>
        <w:tc>
          <w:tcPr>
            <w:tcW w:w="2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54217FB2" w14:textId="77777777" w:rsidR="002E05D3" w:rsidRDefault="00000000">
            <w:pPr>
              <w:jc w:val="center"/>
            </w:pPr>
            <w:r>
              <w:rPr>
                <w:sz w:val="20"/>
                <w:szCs w:val="20"/>
              </w:rPr>
              <w:t>Integer</w:t>
            </w:r>
          </w:p>
        </w:tc>
        <w:tc>
          <w:tcPr>
            <w:tcW w:w="4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42CB665" w14:textId="77777777" w:rsidR="002E05D3" w:rsidRDefault="00000000">
            <w:pPr>
              <w:jc w:val="center"/>
            </w:pPr>
            <w:r>
              <w:rPr>
                <w:sz w:val="20"/>
                <w:szCs w:val="20"/>
              </w:rPr>
              <w:t>Customer age in years</w:t>
            </w:r>
          </w:p>
        </w:tc>
      </w:tr>
      <w:tr w:rsidR="002E05D3" w14:paraId="429291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8055A" w14:textId="77777777" w:rsidR="002E05D3" w:rsidRDefault="00000000">
            <w:pPr>
              <w:jc w:val="center"/>
            </w:pPr>
            <w:r>
              <w:rPr>
                <w:sz w:val="20"/>
                <w:szCs w:val="20"/>
              </w:rPr>
              <w:t>Tenure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235FE" w14:textId="77777777" w:rsidR="002E05D3" w:rsidRDefault="00000000">
            <w:pPr>
              <w:jc w:val="center"/>
            </w:pPr>
            <w:r>
              <w:rPr>
                <w:sz w:val="20"/>
                <w:szCs w:val="20"/>
              </w:rPr>
              <w:t>Integer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E4B7C" w14:textId="77777777" w:rsidR="002E05D3" w:rsidRDefault="00000000">
            <w:pPr>
              <w:jc w:val="center"/>
            </w:pPr>
            <w:r>
              <w:rPr>
                <w:sz w:val="20"/>
                <w:szCs w:val="20"/>
              </w:rPr>
              <w:t>Years as customer (0–10)</w:t>
            </w:r>
          </w:p>
        </w:tc>
      </w:tr>
      <w:tr w:rsidR="002E05D3" w14:paraId="168A12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0BDE806A" w14:textId="77777777" w:rsidR="002E05D3" w:rsidRDefault="00000000">
            <w:pPr>
              <w:jc w:val="center"/>
            </w:pPr>
            <w:r>
              <w:rPr>
                <w:sz w:val="20"/>
                <w:szCs w:val="20"/>
              </w:rPr>
              <w:t>Balance</w:t>
            </w:r>
          </w:p>
        </w:tc>
        <w:tc>
          <w:tcPr>
            <w:tcW w:w="2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71F112C2" w14:textId="77777777" w:rsidR="002E05D3" w:rsidRDefault="00000000">
            <w:pPr>
              <w:jc w:val="center"/>
            </w:pPr>
            <w:r>
              <w:rPr>
                <w:sz w:val="20"/>
                <w:szCs w:val="20"/>
              </w:rPr>
              <w:t>Float</w:t>
            </w:r>
          </w:p>
        </w:tc>
        <w:tc>
          <w:tcPr>
            <w:tcW w:w="4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48699BC8" w14:textId="77777777" w:rsidR="002E05D3" w:rsidRDefault="00000000">
            <w:pPr>
              <w:jc w:val="center"/>
            </w:pPr>
            <w:r>
              <w:rPr>
                <w:sz w:val="20"/>
                <w:szCs w:val="20"/>
              </w:rPr>
              <w:t>Account balance (EUR)</w:t>
            </w:r>
          </w:p>
        </w:tc>
      </w:tr>
      <w:tr w:rsidR="002E05D3" w14:paraId="444B7E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4F0AC" w14:textId="77777777" w:rsidR="002E05D3" w:rsidRDefault="00000000">
            <w:pPr>
              <w:jc w:val="center"/>
            </w:pPr>
            <w:proofErr w:type="spellStart"/>
            <w:r>
              <w:rPr>
                <w:sz w:val="20"/>
                <w:szCs w:val="20"/>
              </w:rPr>
              <w:t>NumOfProducts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1E275" w14:textId="77777777" w:rsidR="002E05D3" w:rsidRDefault="00000000">
            <w:pPr>
              <w:jc w:val="center"/>
            </w:pPr>
            <w:r>
              <w:rPr>
                <w:sz w:val="20"/>
                <w:szCs w:val="20"/>
              </w:rPr>
              <w:t>Integer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97287" w14:textId="77777777" w:rsidR="002E05D3" w:rsidRDefault="00000000">
            <w:pPr>
              <w:jc w:val="center"/>
            </w:pPr>
            <w:r>
              <w:rPr>
                <w:sz w:val="20"/>
                <w:szCs w:val="20"/>
              </w:rPr>
              <w:t>Number of bank products held</w:t>
            </w:r>
          </w:p>
        </w:tc>
      </w:tr>
      <w:tr w:rsidR="002E05D3" w14:paraId="24C075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1F43F64B" w14:textId="77777777" w:rsidR="002E05D3" w:rsidRDefault="00000000">
            <w:pPr>
              <w:jc w:val="center"/>
            </w:pPr>
            <w:proofErr w:type="spellStart"/>
            <w:r>
              <w:rPr>
                <w:sz w:val="20"/>
                <w:szCs w:val="20"/>
              </w:rPr>
              <w:t>HasCrCard</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0D4C5EC3" w14:textId="77777777" w:rsidR="002E05D3" w:rsidRDefault="00000000">
            <w:pPr>
              <w:jc w:val="center"/>
            </w:pPr>
            <w:r>
              <w:rPr>
                <w:sz w:val="20"/>
                <w:szCs w:val="20"/>
              </w:rPr>
              <w:t>Binary</w:t>
            </w:r>
          </w:p>
        </w:tc>
        <w:tc>
          <w:tcPr>
            <w:tcW w:w="4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45DC0534" w14:textId="77777777" w:rsidR="002E05D3" w:rsidRDefault="00000000">
            <w:pPr>
              <w:jc w:val="center"/>
            </w:pPr>
            <w:r>
              <w:rPr>
                <w:sz w:val="20"/>
                <w:szCs w:val="20"/>
              </w:rPr>
              <w:t>Credit card ownership (1=Yes)</w:t>
            </w:r>
          </w:p>
        </w:tc>
      </w:tr>
      <w:tr w:rsidR="002E05D3" w14:paraId="2DB2A9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1589C" w14:textId="77777777" w:rsidR="002E05D3" w:rsidRDefault="00000000">
            <w:pPr>
              <w:jc w:val="center"/>
            </w:pPr>
            <w:proofErr w:type="spellStart"/>
            <w:r>
              <w:rPr>
                <w:sz w:val="20"/>
                <w:szCs w:val="20"/>
              </w:rPr>
              <w:t>IsActiveMember</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10BB3" w14:textId="77777777" w:rsidR="002E05D3" w:rsidRDefault="00000000">
            <w:pPr>
              <w:jc w:val="center"/>
            </w:pPr>
            <w:r>
              <w:rPr>
                <w:sz w:val="20"/>
                <w:szCs w:val="20"/>
              </w:rPr>
              <w:t>Binary</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AA041" w14:textId="77777777" w:rsidR="002E05D3" w:rsidRDefault="00000000">
            <w:pPr>
              <w:jc w:val="center"/>
            </w:pPr>
            <w:r>
              <w:rPr>
                <w:sz w:val="20"/>
                <w:szCs w:val="20"/>
              </w:rPr>
              <w:t>Active engagement (1=Yes)</w:t>
            </w:r>
          </w:p>
        </w:tc>
      </w:tr>
      <w:tr w:rsidR="002E05D3" w14:paraId="016D97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3A184720" w14:textId="77777777" w:rsidR="002E05D3" w:rsidRDefault="00000000">
            <w:pPr>
              <w:jc w:val="center"/>
            </w:pPr>
            <w:proofErr w:type="spellStart"/>
            <w:r>
              <w:rPr>
                <w:sz w:val="20"/>
                <w:szCs w:val="20"/>
              </w:rPr>
              <w:t>EstimatedSalary</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506D7782" w14:textId="77777777" w:rsidR="002E05D3" w:rsidRDefault="00000000">
            <w:pPr>
              <w:jc w:val="center"/>
            </w:pPr>
            <w:r>
              <w:rPr>
                <w:sz w:val="20"/>
                <w:szCs w:val="20"/>
              </w:rPr>
              <w:t>Float</w:t>
            </w:r>
          </w:p>
        </w:tc>
        <w:tc>
          <w:tcPr>
            <w:tcW w:w="42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128E8AC0" w14:textId="77777777" w:rsidR="002E05D3" w:rsidRDefault="00000000">
            <w:pPr>
              <w:jc w:val="center"/>
            </w:pPr>
            <w:r>
              <w:rPr>
                <w:sz w:val="20"/>
                <w:szCs w:val="20"/>
              </w:rPr>
              <w:t xml:space="preserve">Annual salary </w:t>
            </w:r>
            <w:proofErr w:type="gramStart"/>
            <w:r>
              <w:rPr>
                <w:sz w:val="20"/>
                <w:szCs w:val="20"/>
              </w:rPr>
              <w:t>estimate</w:t>
            </w:r>
            <w:proofErr w:type="gramEnd"/>
            <w:r>
              <w:rPr>
                <w:sz w:val="20"/>
                <w:szCs w:val="20"/>
              </w:rPr>
              <w:t xml:space="preserve"> (EUR)</w:t>
            </w:r>
          </w:p>
        </w:tc>
      </w:tr>
      <w:tr w:rsidR="002E05D3" w14:paraId="670D0E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7D8FC" w14:textId="77777777" w:rsidR="002E05D3" w:rsidRDefault="00000000">
            <w:pPr>
              <w:jc w:val="center"/>
            </w:pPr>
            <w:r>
              <w:rPr>
                <w:sz w:val="20"/>
                <w:szCs w:val="20"/>
              </w:rPr>
              <w:t>Exited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C158A" w14:textId="77777777" w:rsidR="002E05D3" w:rsidRDefault="00000000">
            <w:pPr>
              <w:jc w:val="center"/>
            </w:pPr>
            <w:r>
              <w:rPr>
                <w:sz w:val="20"/>
                <w:szCs w:val="20"/>
              </w:rPr>
              <w:t>Binary</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313D7" w14:textId="77777777" w:rsidR="002E05D3" w:rsidRDefault="00000000">
            <w:pPr>
              <w:jc w:val="center"/>
            </w:pPr>
            <w:r>
              <w:rPr>
                <w:sz w:val="20"/>
                <w:szCs w:val="20"/>
              </w:rPr>
              <w:t>Churn label: 1=Churned, 0=Retained</w:t>
            </w:r>
          </w:p>
        </w:tc>
      </w:tr>
    </w:tbl>
    <w:p w14:paraId="7AF5E835" w14:textId="77777777" w:rsidR="002E05D3" w:rsidRDefault="002E05D3">
      <w:pPr>
        <w:spacing w:after="80"/>
      </w:pPr>
    </w:p>
    <w:p w14:paraId="46DA3749" w14:textId="77777777" w:rsidR="002E05D3" w:rsidRDefault="00000000">
      <w:pPr>
        <w:spacing w:after="200"/>
        <w:jc w:val="center"/>
      </w:pPr>
      <w:r>
        <w:rPr>
          <w:i/>
          <w:iCs/>
          <w:color w:val="555555"/>
          <w:sz w:val="19"/>
          <w:szCs w:val="19"/>
        </w:rPr>
        <w:t>Table 1: Dataset Schema and Variable Descriptions</w:t>
      </w:r>
    </w:p>
    <w:p w14:paraId="3C87B314" w14:textId="77777777" w:rsidR="002E05D3" w:rsidRDefault="00000000">
      <w:pPr>
        <w:pStyle w:val="Heading2"/>
      </w:pPr>
      <w:r>
        <w:t>3.2 Analytical Methodology</w:t>
      </w:r>
    </w:p>
    <w:p w14:paraId="3CEDCBA6" w14:textId="77777777" w:rsidR="002E05D3" w:rsidRDefault="00000000">
      <w:pPr>
        <w:spacing w:after="160"/>
        <w:jc w:val="both"/>
      </w:pPr>
      <w:r>
        <w:rPr>
          <w:b/>
          <w:bCs/>
        </w:rPr>
        <w:t xml:space="preserve">Phase 1 — Ingestion &amp; Validation: </w:t>
      </w:r>
      <w:r>
        <w:t>Schema integrity, binary variable consistency, and churn label validation.</w:t>
      </w:r>
    </w:p>
    <w:p w14:paraId="09AA80CA" w14:textId="77777777" w:rsidR="002E05D3" w:rsidRDefault="00000000">
      <w:pPr>
        <w:spacing w:after="160"/>
        <w:jc w:val="both"/>
      </w:pPr>
      <w:r>
        <w:rPr>
          <w:b/>
          <w:bCs/>
        </w:rPr>
        <w:t xml:space="preserve">Phase 2 — Cleaning &amp; Preparation: </w:t>
      </w:r>
      <w:r>
        <w:t>Removal of non-analytical identifiers, categorical encoding, and derivation of segmentation fields.</w:t>
      </w:r>
    </w:p>
    <w:p w14:paraId="6D1B84EB" w14:textId="77777777" w:rsidR="002E05D3" w:rsidRDefault="00000000">
      <w:pPr>
        <w:spacing w:after="160"/>
        <w:jc w:val="both"/>
      </w:pPr>
      <w:r>
        <w:rPr>
          <w:b/>
          <w:bCs/>
        </w:rPr>
        <w:t xml:space="preserve">Phase 3 — Customer Segmentation: </w:t>
      </w:r>
      <w:r>
        <w:t>Multi-dimensional segmentation across Geography, Age, Credit Score, Tenure, and Balance.</w:t>
      </w:r>
    </w:p>
    <w:p w14:paraId="53C72CC5" w14:textId="77777777" w:rsidR="002E05D3" w:rsidRDefault="00000000">
      <w:pPr>
        <w:spacing w:after="160"/>
        <w:jc w:val="both"/>
      </w:pPr>
      <w:r>
        <w:rPr>
          <w:b/>
          <w:bCs/>
        </w:rPr>
        <w:lastRenderedPageBreak/>
        <w:t xml:space="preserve">Phase 4 — Churn Distribution Analysis: </w:t>
      </w:r>
      <w:r>
        <w:t>Segment-wise churn rates computed and visualised; churned vs retained profiles compared.</w:t>
      </w:r>
    </w:p>
    <w:p w14:paraId="1B0D7615" w14:textId="77777777" w:rsidR="002E05D3" w:rsidRDefault="00000000">
      <w:pPr>
        <w:spacing w:after="160"/>
        <w:jc w:val="both"/>
      </w:pPr>
      <w:r>
        <w:rPr>
          <w:b/>
          <w:bCs/>
        </w:rPr>
        <w:t xml:space="preserve">Phase 5 — Comparative &amp; HVC Analysis: </w:t>
      </w:r>
      <w:r>
        <w:t>Gender and geography–age interaction analysis; FSS and HVC composite scoring; revenue risk quantification.</w:t>
      </w:r>
    </w:p>
    <w:p w14:paraId="6E77C869" w14:textId="77777777" w:rsidR="002E05D3" w:rsidRDefault="002E05D3">
      <w:pPr>
        <w:spacing w:after="80"/>
      </w:pPr>
    </w:p>
    <w:p w14:paraId="04505A9C" w14:textId="77777777" w:rsidR="002E05D3" w:rsidRDefault="00000000">
      <w:pPr>
        <w:pStyle w:val="Heading2"/>
      </w:pPr>
      <w:r>
        <w:t>3.3 Derived Composite Features</w:t>
      </w:r>
    </w:p>
    <w:p w14:paraId="19B0CCE5" w14:textId="77777777" w:rsidR="002E05D3" w:rsidRDefault="00000000">
      <w:pPr>
        <w:spacing w:after="160"/>
        <w:jc w:val="both"/>
      </w:pPr>
      <w:r>
        <w:rPr>
          <w:b/>
          <w:bCs/>
        </w:rPr>
        <w:t xml:space="preserve">Financial Stability Score (FSS): </w:t>
      </w:r>
      <w:r>
        <w:t>Weighted composite: Credit Score (30%), Balance (25%), Estimated Salary (20%), Tenure (15%), Products (5%), Active Member (3%), Credit Card (2%). Scaled 0–100; four tiers: At Risk, Moderate, Stable, High Stability.</w:t>
      </w:r>
    </w:p>
    <w:p w14:paraId="2EB125D7" w14:textId="77777777" w:rsidR="002E05D3" w:rsidRDefault="002E05D3">
      <w:pPr>
        <w:spacing w:after="80"/>
      </w:pPr>
    </w:p>
    <w:p w14:paraId="5D0568DE" w14:textId="77777777" w:rsidR="002E05D3" w:rsidRDefault="00000000">
      <w:pPr>
        <w:spacing w:after="160"/>
        <w:jc w:val="both"/>
      </w:pPr>
      <w:r>
        <w:rPr>
          <w:b/>
          <w:bCs/>
        </w:rPr>
        <w:t xml:space="preserve">HVC Score: </w:t>
      </w:r>
      <w:r>
        <w:t>Banking-domain composite: Balance Tier (35%), Multi-product / Deep Relationship (25%), Profitable Active (20%), Credit Worthiness (12%), Loyalty/Tenure (8%). Mapped to Standard, Silver, Gold, Private Banking.</w:t>
      </w:r>
    </w:p>
    <w:p w14:paraId="3394FC98" w14:textId="77777777" w:rsidR="002E05D3" w:rsidRDefault="002E05D3">
      <w:pPr>
        <w:spacing w:after="80"/>
      </w:pPr>
    </w:p>
    <w:p w14:paraId="75AB14EE" w14:textId="77777777" w:rsidR="002E05D3" w:rsidRDefault="00000000">
      <w:pPr>
        <w:spacing w:after="160"/>
        <w:jc w:val="both"/>
      </w:pPr>
      <w:r>
        <w:rPr>
          <w:b/>
          <w:bCs/>
        </w:rPr>
        <w:t xml:space="preserve">Customer Value Score (CVS): </w:t>
      </w:r>
      <w:r>
        <w:t>Z-score normalised weighted composite emphasising Balance (30%), Products (20%), Credit Score (20%), with Activity, Tenure, Salary, Credit Card. Normalised 0–100; Low / Medium / High / Premium tiers.</w:t>
      </w:r>
    </w:p>
    <w:p w14:paraId="4D6037AF" w14:textId="18A57A68" w:rsidR="00263AAF" w:rsidRDefault="00263AAF" w:rsidP="00263AAF"/>
    <w:p w14:paraId="4E1ECFDB" w14:textId="5F7CAF5C" w:rsidR="002E05D3" w:rsidRDefault="00000000">
      <w:pPr>
        <w:pStyle w:val="Heading1"/>
      </w:pPr>
      <w:r>
        <w:t>4. Findings &amp; Analysis</w:t>
      </w:r>
    </w:p>
    <w:p w14:paraId="0F18F39B" w14:textId="77777777" w:rsidR="002E05D3" w:rsidRDefault="00000000">
      <w:pPr>
        <w:pStyle w:val="Heading2"/>
      </w:pPr>
      <w:r>
        <w:t>4.1 Overall Churn Rate</w:t>
      </w:r>
    </w:p>
    <w:p w14:paraId="4B463C20" w14:textId="77777777" w:rsidR="002E05D3" w:rsidRDefault="00000000">
      <w:pPr>
        <w:spacing w:after="160"/>
        <w:jc w:val="both"/>
      </w:pPr>
      <w:r>
        <w:t>The dataset reveals an overall churn rate of 20.4% — 2,037 customers exited while 7,963 were retained. This is above the European banking industry benchmark of 10–15%, signalling structural retention challenges.</w:t>
      </w:r>
    </w:p>
    <w:p w14:paraId="607D8804" w14:textId="77777777" w:rsidR="002E05D3" w:rsidRDefault="002E05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E05D3" w14:paraId="3CE20BE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D7ECFA" w14:textId="77777777" w:rsidR="002E05D3" w:rsidRDefault="00000000">
            <w:pPr>
              <w:jc w:val="center"/>
            </w:pPr>
            <w:r>
              <w:rPr>
                <w:b/>
                <w:bCs/>
                <w:color w:val="FFFFFF"/>
                <w:sz w:val="20"/>
                <w:szCs w:val="20"/>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AAFF65" w14:textId="77777777" w:rsidR="002E05D3" w:rsidRDefault="00000000">
            <w:pPr>
              <w:jc w:val="center"/>
            </w:pPr>
            <w:r>
              <w:rPr>
                <w:b/>
                <w:bCs/>
                <w:color w:val="FFFFFF"/>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14B7F5" w14:textId="77777777" w:rsidR="002E05D3" w:rsidRDefault="00000000">
            <w:pPr>
              <w:jc w:val="center"/>
            </w:pPr>
            <w:r>
              <w:rPr>
                <w:b/>
                <w:bCs/>
                <w:color w:val="FFFFFF"/>
                <w:sz w:val="20"/>
                <w:szCs w:val="20"/>
              </w:rPr>
              <w:t>Percentage</w:t>
            </w:r>
          </w:p>
        </w:tc>
      </w:tr>
      <w:tr w:rsidR="002E05D3" w14:paraId="7544B96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46F00F03" w14:textId="77777777" w:rsidR="002E05D3" w:rsidRDefault="00000000">
            <w:pPr>
              <w:jc w:val="center"/>
            </w:pPr>
            <w:r>
              <w:rPr>
                <w:sz w:val="20"/>
                <w:szCs w:val="20"/>
              </w:rPr>
              <w:t>Retained (Exited = 0)</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027CBB5D" w14:textId="77777777" w:rsidR="002E05D3" w:rsidRDefault="00000000">
            <w:pPr>
              <w:jc w:val="center"/>
            </w:pPr>
            <w:r>
              <w:rPr>
                <w:sz w:val="20"/>
                <w:szCs w:val="20"/>
              </w:rPr>
              <w:t>7,963</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062C8707" w14:textId="77777777" w:rsidR="002E05D3" w:rsidRDefault="00000000">
            <w:pPr>
              <w:jc w:val="center"/>
            </w:pPr>
            <w:r>
              <w:rPr>
                <w:sz w:val="20"/>
                <w:szCs w:val="20"/>
              </w:rPr>
              <w:t>79.6%</w:t>
            </w:r>
          </w:p>
        </w:tc>
      </w:tr>
      <w:tr w:rsidR="002E05D3" w14:paraId="27F46D5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9E5DF" w14:textId="77777777" w:rsidR="002E05D3" w:rsidRDefault="00000000">
            <w:pPr>
              <w:jc w:val="center"/>
            </w:pPr>
            <w:r>
              <w:rPr>
                <w:sz w:val="20"/>
                <w:szCs w:val="20"/>
              </w:rPr>
              <w:t>Churned (Exited =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48CEF" w14:textId="77777777" w:rsidR="002E05D3" w:rsidRDefault="00000000">
            <w:pPr>
              <w:jc w:val="center"/>
            </w:pPr>
            <w:r>
              <w:rPr>
                <w:sz w:val="20"/>
                <w:szCs w:val="20"/>
              </w:rPr>
              <w:t>2,037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F560A" w14:textId="77777777" w:rsidR="002E05D3" w:rsidRDefault="00000000">
            <w:pPr>
              <w:jc w:val="center"/>
            </w:pPr>
            <w:r>
              <w:rPr>
                <w:sz w:val="20"/>
                <w:szCs w:val="20"/>
              </w:rPr>
              <w:t>20.4%</w:t>
            </w:r>
          </w:p>
        </w:tc>
      </w:tr>
      <w:tr w:rsidR="002E05D3" w14:paraId="1E7CDA1C"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6714574F" w14:textId="77777777" w:rsidR="002E05D3" w:rsidRDefault="00000000">
            <w:pPr>
              <w:jc w:val="center"/>
            </w:pPr>
            <w:r>
              <w:rPr>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12665954" w14:textId="77777777" w:rsidR="002E05D3" w:rsidRDefault="00000000">
            <w:pPr>
              <w:jc w:val="center"/>
            </w:pPr>
            <w:r>
              <w:rPr>
                <w:sz w:val="20"/>
                <w:szCs w:val="20"/>
              </w:rPr>
              <w:t>10,000</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7B7DA701" w14:textId="77777777" w:rsidR="002E05D3" w:rsidRDefault="00000000">
            <w:pPr>
              <w:jc w:val="center"/>
            </w:pPr>
            <w:r>
              <w:rPr>
                <w:sz w:val="20"/>
                <w:szCs w:val="20"/>
              </w:rPr>
              <w:t>100%</w:t>
            </w:r>
          </w:p>
        </w:tc>
      </w:tr>
    </w:tbl>
    <w:p w14:paraId="36C82AAE" w14:textId="77777777" w:rsidR="002E05D3" w:rsidRDefault="002E05D3">
      <w:pPr>
        <w:spacing w:after="80"/>
      </w:pPr>
    </w:p>
    <w:p w14:paraId="381A2C21" w14:textId="77777777" w:rsidR="002E05D3" w:rsidRDefault="00000000">
      <w:pPr>
        <w:spacing w:after="200"/>
        <w:jc w:val="center"/>
      </w:pPr>
      <w:r>
        <w:rPr>
          <w:i/>
          <w:iCs/>
          <w:color w:val="555555"/>
          <w:sz w:val="19"/>
          <w:szCs w:val="19"/>
        </w:rPr>
        <w:t>Table 2: Overall Churn Distribution</w:t>
      </w:r>
    </w:p>
    <w:p w14:paraId="5F1BBC70" w14:textId="77777777" w:rsidR="002E05D3" w:rsidRDefault="002E05D3">
      <w:pPr>
        <w:spacing w:after="80"/>
      </w:pPr>
    </w:p>
    <w:p w14:paraId="4618F558" w14:textId="77777777" w:rsidR="002E05D3" w:rsidRDefault="00000000">
      <w:pPr>
        <w:spacing w:after="80"/>
        <w:jc w:val="center"/>
      </w:pPr>
      <w:r>
        <w:rPr>
          <w:noProof/>
        </w:rPr>
        <w:lastRenderedPageBreak/>
        <w:drawing>
          <wp:inline distT="0" distB="0" distL="0" distR="0" wp14:anchorId="2910C8A2" wp14:editId="03EDC34D">
            <wp:extent cx="4000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333750"/>
                    </a:xfrm>
                    <a:prstGeom prst="rect">
                      <a:avLst/>
                    </a:prstGeom>
                  </pic:spPr>
                </pic:pic>
              </a:graphicData>
            </a:graphic>
          </wp:inline>
        </w:drawing>
      </w:r>
    </w:p>
    <w:p w14:paraId="468916F2" w14:textId="77777777" w:rsidR="002E05D3" w:rsidRDefault="00000000">
      <w:pPr>
        <w:spacing w:after="200"/>
        <w:jc w:val="center"/>
      </w:pPr>
      <w:r>
        <w:rPr>
          <w:i/>
          <w:iCs/>
          <w:color w:val="555555"/>
          <w:sz w:val="19"/>
          <w:szCs w:val="19"/>
        </w:rPr>
        <w:t>Figure 1: Overall Churn Distribution — Retained vs Churned</w:t>
      </w:r>
    </w:p>
    <w:p w14:paraId="144223EC" w14:textId="77777777" w:rsidR="002E05D3" w:rsidRDefault="002E05D3">
      <w:pPr>
        <w:spacing w:after="80"/>
      </w:pPr>
    </w:p>
    <w:p w14:paraId="4868DEB0" w14:textId="77777777" w:rsidR="002E05D3" w:rsidRDefault="00000000">
      <w:pPr>
        <w:pStyle w:val="Heading2"/>
      </w:pPr>
      <w:r>
        <w:t>4.2 Geographic Segmentation &amp; Churn</w:t>
      </w:r>
    </w:p>
    <w:p w14:paraId="7A33EA7D" w14:textId="77777777" w:rsidR="002E05D3" w:rsidRDefault="00000000">
      <w:pPr>
        <w:spacing w:after="160"/>
        <w:jc w:val="both"/>
      </w:pPr>
      <w:r>
        <w:t>Geographic segmentation reveals stark differential churn rates across the three markets.</w:t>
      </w:r>
    </w:p>
    <w:p w14:paraId="34B7B479" w14:textId="77777777" w:rsidR="002E05D3" w:rsidRDefault="002E05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1872"/>
        <w:gridCol w:w="1872"/>
        <w:gridCol w:w="1404"/>
      </w:tblGrid>
      <w:tr w:rsidR="002E05D3" w14:paraId="5AE7CCA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935190" w14:textId="77777777" w:rsidR="002E05D3" w:rsidRDefault="00000000">
            <w:pPr>
              <w:jc w:val="center"/>
            </w:pPr>
            <w:r>
              <w:rPr>
                <w:b/>
                <w:bCs/>
                <w:color w:val="FFFFFF"/>
                <w:sz w:val="20"/>
                <w:szCs w:val="20"/>
              </w:rPr>
              <w:t>Geography</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ACBF5A" w14:textId="77777777" w:rsidR="002E05D3" w:rsidRDefault="00000000">
            <w:pPr>
              <w:jc w:val="center"/>
            </w:pPr>
            <w:r>
              <w:rPr>
                <w:b/>
                <w:bCs/>
                <w:color w:val="FFFFFF"/>
                <w:sz w:val="20"/>
                <w:szCs w:val="20"/>
              </w:rPr>
              <w:t>Total</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35C8D1" w14:textId="77777777" w:rsidR="002E05D3" w:rsidRDefault="00000000">
            <w:pPr>
              <w:jc w:val="center"/>
            </w:pPr>
            <w:r>
              <w:rPr>
                <w:b/>
                <w:bCs/>
                <w:color w:val="FFFFFF"/>
                <w:sz w:val="20"/>
                <w:szCs w:val="20"/>
              </w:rPr>
              <w:t>Churned</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65F40F" w14:textId="77777777" w:rsidR="002E05D3" w:rsidRDefault="00000000">
            <w:pPr>
              <w:jc w:val="center"/>
            </w:pPr>
            <w:r>
              <w:rPr>
                <w:b/>
                <w:bCs/>
                <w:color w:val="FFFFFF"/>
                <w:sz w:val="20"/>
                <w:szCs w:val="20"/>
              </w:rPr>
              <w:t>Retained</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50C022" w14:textId="77777777" w:rsidR="002E05D3" w:rsidRDefault="00000000">
            <w:pPr>
              <w:jc w:val="center"/>
            </w:pPr>
            <w:r>
              <w:rPr>
                <w:b/>
                <w:bCs/>
                <w:color w:val="FFFFFF"/>
                <w:sz w:val="20"/>
                <w:szCs w:val="20"/>
              </w:rPr>
              <w:t>Churn Rate</w:t>
            </w:r>
          </w:p>
        </w:tc>
      </w:tr>
      <w:tr w:rsidR="002E05D3" w14:paraId="244D358E"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09A285D3" w14:textId="77777777" w:rsidR="002E05D3" w:rsidRDefault="00000000">
            <w:pPr>
              <w:jc w:val="center"/>
            </w:pPr>
            <w:r>
              <w:rPr>
                <w:sz w:val="20"/>
                <w:szCs w:val="20"/>
              </w:rPr>
              <w:t>France</w:t>
            </w:r>
          </w:p>
        </w:tc>
        <w:tc>
          <w:tcPr>
            <w:tcW w:w="1872"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3AF4A5C0" w14:textId="77777777" w:rsidR="002E05D3" w:rsidRDefault="00000000">
            <w:pPr>
              <w:jc w:val="center"/>
            </w:pPr>
            <w:r>
              <w:rPr>
                <w:sz w:val="20"/>
                <w:szCs w:val="20"/>
              </w:rPr>
              <w:t>5,014</w:t>
            </w:r>
          </w:p>
        </w:tc>
        <w:tc>
          <w:tcPr>
            <w:tcW w:w="1872"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56879622" w14:textId="77777777" w:rsidR="002E05D3" w:rsidRDefault="00000000">
            <w:pPr>
              <w:jc w:val="center"/>
            </w:pPr>
            <w:r>
              <w:rPr>
                <w:sz w:val="20"/>
                <w:szCs w:val="20"/>
              </w:rPr>
              <w:t>810</w:t>
            </w:r>
          </w:p>
        </w:tc>
        <w:tc>
          <w:tcPr>
            <w:tcW w:w="1872"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A9778F5" w14:textId="77777777" w:rsidR="002E05D3" w:rsidRDefault="00000000">
            <w:pPr>
              <w:jc w:val="center"/>
            </w:pPr>
            <w:r>
              <w:rPr>
                <w:sz w:val="20"/>
                <w:szCs w:val="20"/>
              </w:rPr>
              <w:t>4,204</w:t>
            </w:r>
          </w:p>
        </w:tc>
        <w:tc>
          <w:tcPr>
            <w:tcW w:w="1404"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10082A58" w14:textId="77777777" w:rsidR="002E05D3" w:rsidRDefault="00000000">
            <w:pPr>
              <w:jc w:val="center"/>
            </w:pPr>
            <w:r>
              <w:rPr>
                <w:sz w:val="20"/>
                <w:szCs w:val="20"/>
              </w:rPr>
              <w:t>16.2%</w:t>
            </w:r>
          </w:p>
        </w:tc>
      </w:tr>
      <w:tr w:rsidR="002E05D3" w14:paraId="106FB1A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C5C48" w14:textId="77777777" w:rsidR="002E05D3" w:rsidRDefault="00000000">
            <w:pPr>
              <w:jc w:val="center"/>
            </w:pPr>
            <w:r>
              <w:rPr>
                <w:sz w:val="20"/>
                <w:szCs w:val="20"/>
              </w:rPr>
              <w:t>Spain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3D0BE1" w14:textId="77777777" w:rsidR="002E05D3" w:rsidRDefault="00000000">
            <w:pPr>
              <w:jc w:val="center"/>
            </w:pPr>
            <w:r>
              <w:rPr>
                <w:sz w:val="20"/>
                <w:szCs w:val="20"/>
              </w:rPr>
              <w:t>2,477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D626C" w14:textId="77777777" w:rsidR="002E05D3" w:rsidRDefault="00000000">
            <w:pPr>
              <w:jc w:val="center"/>
            </w:pPr>
            <w:r>
              <w:rPr>
                <w:sz w:val="20"/>
                <w:szCs w:val="20"/>
              </w:rPr>
              <w:t>413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59F19" w14:textId="77777777" w:rsidR="002E05D3" w:rsidRDefault="00000000">
            <w:pPr>
              <w:jc w:val="center"/>
            </w:pPr>
            <w:r>
              <w:rPr>
                <w:sz w:val="20"/>
                <w:szCs w:val="20"/>
              </w:rPr>
              <w:t>2,064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5886D" w14:textId="77777777" w:rsidR="002E05D3" w:rsidRDefault="00000000">
            <w:pPr>
              <w:jc w:val="center"/>
            </w:pPr>
            <w:r>
              <w:rPr>
                <w:sz w:val="20"/>
                <w:szCs w:val="20"/>
              </w:rPr>
              <w:t>16.7%</w:t>
            </w:r>
          </w:p>
        </w:tc>
      </w:tr>
      <w:tr w:rsidR="002E05D3" w14:paraId="2552883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27FF8819" w14:textId="77777777" w:rsidR="002E05D3" w:rsidRDefault="00000000">
            <w:pPr>
              <w:jc w:val="center"/>
            </w:pPr>
            <w:r>
              <w:rPr>
                <w:sz w:val="20"/>
                <w:szCs w:val="20"/>
              </w:rPr>
              <w:t>Germany</w:t>
            </w:r>
          </w:p>
        </w:tc>
        <w:tc>
          <w:tcPr>
            <w:tcW w:w="1872"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1114E98C" w14:textId="77777777" w:rsidR="002E05D3" w:rsidRDefault="00000000">
            <w:pPr>
              <w:jc w:val="center"/>
            </w:pPr>
            <w:r>
              <w:rPr>
                <w:sz w:val="20"/>
                <w:szCs w:val="20"/>
              </w:rPr>
              <w:t>2,473</w:t>
            </w:r>
          </w:p>
        </w:tc>
        <w:tc>
          <w:tcPr>
            <w:tcW w:w="1872"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6A5057C1" w14:textId="77777777" w:rsidR="002E05D3" w:rsidRDefault="00000000">
            <w:pPr>
              <w:jc w:val="center"/>
            </w:pPr>
            <w:r>
              <w:rPr>
                <w:sz w:val="20"/>
                <w:szCs w:val="20"/>
              </w:rPr>
              <w:t>814</w:t>
            </w:r>
          </w:p>
        </w:tc>
        <w:tc>
          <w:tcPr>
            <w:tcW w:w="1872"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27437449" w14:textId="77777777" w:rsidR="002E05D3" w:rsidRDefault="00000000">
            <w:pPr>
              <w:jc w:val="center"/>
            </w:pPr>
            <w:r>
              <w:rPr>
                <w:sz w:val="20"/>
                <w:szCs w:val="20"/>
              </w:rPr>
              <w:t>1,659</w:t>
            </w:r>
          </w:p>
        </w:tc>
        <w:tc>
          <w:tcPr>
            <w:tcW w:w="1404"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61D0E0F2" w14:textId="77777777" w:rsidR="002E05D3" w:rsidRDefault="00000000">
            <w:pPr>
              <w:jc w:val="center"/>
            </w:pPr>
            <w:r>
              <w:rPr>
                <w:sz w:val="20"/>
                <w:szCs w:val="20"/>
              </w:rPr>
              <w:t>32.4%</w:t>
            </w:r>
          </w:p>
        </w:tc>
      </w:tr>
      <w:tr w:rsidR="002E05D3" w14:paraId="47AC4CB8"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6A4194AD" w14:textId="77777777" w:rsidR="002E05D3" w:rsidRDefault="00000000">
            <w:pPr>
              <w:jc w:val="center"/>
            </w:pPr>
            <w:r>
              <w:rPr>
                <w:sz w:val="20"/>
                <w:szCs w:val="20"/>
              </w:rPr>
              <w:t>Total</w:t>
            </w:r>
          </w:p>
        </w:tc>
        <w:tc>
          <w:tcPr>
            <w:tcW w:w="1872"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70F1AF19" w14:textId="77777777" w:rsidR="002E05D3" w:rsidRDefault="00000000">
            <w:pPr>
              <w:jc w:val="center"/>
            </w:pPr>
            <w:r>
              <w:rPr>
                <w:sz w:val="20"/>
                <w:szCs w:val="20"/>
              </w:rPr>
              <w:t>~10,000</w:t>
            </w:r>
          </w:p>
        </w:tc>
        <w:tc>
          <w:tcPr>
            <w:tcW w:w="1872"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02D754C3" w14:textId="77777777" w:rsidR="002E05D3" w:rsidRDefault="00000000">
            <w:pPr>
              <w:jc w:val="center"/>
            </w:pPr>
            <w:r>
              <w:rPr>
                <w:sz w:val="20"/>
                <w:szCs w:val="20"/>
              </w:rPr>
              <w:t>2,037</w:t>
            </w:r>
          </w:p>
        </w:tc>
        <w:tc>
          <w:tcPr>
            <w:tcW w:w="1872"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19DB67ED" w14:textId="77777777" w:rsidR="002E05D3" w:rsidRDefault="00000000">
            <w:pPr>
              <w:jc w:val="center"/>
            </w:pPr>
            <w:r>
              <w:rPr>
                <w:sz w:val="20"/>
                <w:szCs w:val="20"/>
              </w:rPr>
              <w:t>7,963</w:t>
            </w:r>
          </w:p>
        </w:tc>
        <w:tc>
          <w:tcPr>
            <w:tcW w:w="1404"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112EB396" w14:textId="77777777" w:rsidR="002E05D3" w:rsidRDefault="00000000">
            <w:pPr>
              <w:jc w:val="center"/>
            </w:pPr>
            <w:r>
              <w:rPr>
                <w:sz w:val="20"/>
                <w:szCs w:val="20"/>
              </w:rPr>
              <w:t>~20.4%</w:t>
            </w:r>
          </w:p>
        </w:tc>
      </w:tr>
    </w:tbl>
    <w:p w14:paraId="380816C5" w14:textId="77777777" w:rsidR="002E05D3" w:rsidRDefault="002E05D3">
      <w:pPr>
        <w:spacing w:after="80"/>
      </w:pPr>
    </w:p>
    <w:p w14:paraId="295E5AEF" w14:textId="77777777" w:rsidR="002E05D3" w:rsidRDefault="00000000">
      <w:pPr>
        <w:spacing w:after="200"/>
        <w:jc w:val="center"/>
      </w:pPr>
      <w:r>
        <w:rPr>
          <w:i/>
          <w:iCs/>
          <w:color w:val="555555"/>
          <w:sz w:val="19"/>
          <w:szCs w:val="19"/>
        </w:rPr>
        <w:t>Table 3: Geographic Churn Distribution</w:t>
      </w:r>
    </w:p>
    <w:p w14:paraId="23D354B9" w14:textId="77777777" w:rsidR="002E05D3" w:rsidRDefault="002E05D3">
      <w:pPr>
        <w:spacing w:after="80"/>
      </w:pPr>
    </w:p>
    <w:p w14:paraId="7D660523" w14:textId="77777777" w:rsidR="002E05D3" w:rsidRDefault="00000000">
      <w:pPr>
        <w:spacing w:after="80"/>
        <w:jc w:val="center"/>
      </w:pPr>
      <w:r>
        <w:rPr>
          <w:noProof/>
        </w:rPr>
        <w:lastRenderedPageBreak/>
        <w:drawing>
          <wp:inline distT="0" distB="0" distL="0" distR="0" wp14:anchorId="536A0949" wp14:editId="25F304B8">
            <wp:extent cx="4762500" cy="3429000"/>
            <wp:effectExtent l="0" t="0" r="0" b="0"/>
            <wp:docPr id="172037447" name="Picture 17203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429000"/>
                    </a:xfrm>
                    <a:prstGeom prst="rect">
                      <a:avLst/>
                    </a:prstGeom>
                  </pic:spPr>
                </pic:pic>
              </a:graphicData>
            </a:graphic>
          </wp:inline>
        </w:drawing>
      </w:r>
    </w:p>
    <w:p w14:paraId="4DDFF7F1" w14:textId="77777777" w:rsidR="002E05D3" w:rsidRDefault="00000000">
      <w:pPr>
        <w:spacing w:after="200"/>
        <w:jc w:val="center"/>
      </w:pPr>
      <w:r>
        <w:rPr>
          <w:i/>
          <w:iCs/>
          <w:color w:val="555555"/>
          <w:sz w:val="19"/>
          <w:szCs w:val="19"/>
        </w:rPr>
        <w:t>Figure 2: Geographic Churn Rate — Germany at 32.4% vs France/Spain ~16–17%</w:t>
      </w:r>
    </w:p>
    <w:p w14:paraId="2437A581" w14:textId="77777777" w:rsidR="002E05D3" w:rsidRDefault="002E05D3">
      <w:pPr>
        <w:spacing w:after="80"/>
      </w:pPr>
    </w:p>
    <w:p w14:paraId="05D50E3F" w14:textId="77777777" w:rsidR="002E05D3" w:rsidRDefault="00000000">
      <w:pPr>
        <w:spacing w:after="80"/>
        <w:jc w:val="center"/>
      </w:pPr>
      <w:r>
        <w:rPr>
          <w:noProof/>
        </w:rPr>
        <w:drawing>
          <wp:inline distT="0" distB="0" distL="0" distR="0" wp14:anchorId="7708E074" wp14:editId="2A97CBA3">
            <wp:extent cx="5334000" cy="3429000"/>
            <wp:effectExtent l="0" t="0" r="0" b="0"/>
            <wp:docPr id="1608928924" name="Picture 1608928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429000"/>
                    </a:xfrm>
                    <a:prstGeom prst="rect">
                      <a:avLst/>
                    </a:prstGeom>
                  </pic:spPr>
                </pic:pic>
              </a:graphicData>
            </a:graphic>
          </wp:inline>
        </w:drawing>
      </w:r>
    </w:p>
    <w:p w14:paraId="59904C32" w14:textId="77777777" w:rsidR="002E05D3" w:rsidRDefault="00000000">
      <w:pPr>
        <w:spacing w:after="200"/>
        <w:jc w:val="center"/>
      </w:pPr>
      <w:r>
        <w:rPr>
          <w:i/>
          <w:iCs/>
          <w:color w:val="555555"/>
          <w:sz w:val="19"/>
          <w:szCs w:val="19"/>
        </w:rPr>
        <w:t>Figure 3: Churned vs Retained Absolute Count by Geography</w:t>
      </w:r>
    </w:p>
    <w:p w14:paraId="0FC7F4AE" w14:textId="77777777" w:rsidR="002E05D3" w:rsidRDefault="002E05D3">
      <w:pPr>
        <w:spacing w:after="80"/>
      </w:pPr>
    </w:p>
    <w:p w14:paraId="05027AE0" w14:textId="77777777" w:rsidR="002E05D3" w:rsidRDefault="00000000">
      <w:pPr>
        <w:spacing w:after="160"/>
        <w:jc w:val="both"/>
      </w:pPr>
      <w:r>
        <w:lastRenderedPageBreak/>
        <w:t>Germany’s 32.4% churn rate is nearly double that of France and Spain. Despite having fewer than half the customers of France, Germany contributes 40% of all churned customers. In absolute terms, France leads churn volume (53.0% of all churned) due to population dominance, but on a rate-normalised basis Germany is the highest-risk geography by a significant margin.</w:t>
      </w:r>
    </w:p>
    <w:p w14:paraId="1008CDBB" w14:textId="0C35881D" w:rsidR="00263AAF" w:rsidRDefault="00263AAF" w:rsidP="00263AAF"/>
    <w:p w14:paraId="22379972" w14:textId="713B6E71" w:rsidR="002E05D3" w:rsidRDefault="00000000">
      <w:pPr>
        <w:pStyle w:val="Heading2"/>
      </w:pPr>
      <w:r>
        <w:t>4.3 Age Segmentation &amp; Churn</w:t>
      </w:r>
    </w:p>
    <w:p w14:paraId="4A067CD6" w14:textId="77777777" w:rsidR="002E05D3" w:rsidRDefault="00000000">
      <w:pPr>
        <w:spacing w:after="160"/>
        <w:jc w:val="both"/>
      </w:pPr>
      <w:r>
        <w:t>Age is one of the most powerful predictors of churn in this dataset.</w:t>
      </w:r>
    </w:p>
    <w:p w14:paraId="75EFF016" w14:textId="77777777" w:rsidR="002E05D3" w:rsidRDefault="002E05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2432"/>
        <w:gridCol w:w="2432"/>
        <w:gridCol w:w="1839"/>
      </w:tblGrid>
      <w:tr w:rsidR="002E05D3" w14:paraId="214213B6"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DA6DBD" w14:textId="77777777" w:rsidR="002E05D3" w:rsidRDefault="00000000">
            <w:pPr>
              <w:jc w:val="center"/>
            </w:pPr>
            <w:r>
              <w:rPr>
                <w:b/>
                <w:bCs/>
                <w:color w:val="FFFFFF"/>
                <w:sz w:val="20"/>
                <w:szCs w:val="20"/>
              </w:rPr>
              <w:t>Age Band</w:t>
            </w:r>
          </w:p>
        </w:tc>
        <w:tc>
          <w:tcPr>
            <w:tcW w:w="2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B094F3" w14:textId="77777777" w:rsidR="002E05D3" w:rsidRDefault="00000000">
            <w:pPr>
              <w:jc w:val="center"/>
            </w:pPr>
            <w:r>
              <w:rPr>
                <w:b/>
                <w:bCs/>
                <w:color w:val="FFFFFF"/>
                <w:sz w:val="20"/>
                <w:szCs w:val="20"/>
              </w:rPr>
              <w:t>% of Total Churn</w:t>
            </w:r>
          </w:p>
        </w:tc>
        <w:tc>
          <w:tcPr>
            <w:tcW w:w="2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4EE4F9" w14:textId="77777777" w:rsidR="002E05D3" w:rsidRDefault="00000000">
            <w:pPr>
              <w:jc w:val="center"/>
            </w:pPr>
            <w:r>
              <w:rPr>
                <w:b/>
                <w:bCs/>
                <w:color w:val="FFFFFF"/>
                <w:sz w:val="20"/>
                <w:szCs w:val="20"/>
              </w:rPr>
              <w:t>Churn Volume (est.)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B31539" w14:textId="77777777" w:rsidR="002E05D3" w:rsidRDefault="00000000">
            <w:pPr>
              <w:jc w:val="center"/>
            </w:pPr>
            <w:r>
              <w:rPr>
                <w:b/>
                <w:bCs/>
                <w:color w:val="FFFFFF"/>
                <w:sz w:val="20"/>
                <w:szCs w:val="20"/>
              </w:rPr>
              <w:t>Risk Level</w:t>
            </w:r>
          </w:p>
        </w:tc>
      </w:tr>
      <w:tr w:rsidR="002E05D3" w14:paraId="44C5009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7EFAE516" w14:textId="77777777" w:rsidR="002E05D3" w:rsidRDefault="00000000">
            <w:pPr>
              <w:jc w:val="center"/>
            </w:pPr>
            <w:r>
              <w:rPr>
                <w:sz w:val="20"/>
                <w:szCs w:val="20"/>
              </w:rPr>
              <w:t>Under 30</w:t>
            </w:r>
          </w:p>
        </w:tc>
        <w:tc>
          <w:tcPr>
            <w:tcW w:w="23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7A337121" w14:textId="77777777" w:rsidR="002E05D3" w:rsidRDefault="00000000">
            <w:pPr>
              <w:jc w:val="center"/>
            </w:pPr>
            <w:r>
              <w:rPr>
                <w:sz w:val="20"/>
                <w:szCs w:val="20"/>
              </w:rPr>
              <w:t>20.6%</w:t>
            </w:r>
          </w:p>
        </w:tc>
        <w:tc>
          <w:tcPr>
            <w:tcW w:w="23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287EDCF" w14:textId="77777777" w:rsidR="002E05D3" w:rsidRDefault="00000000">
            <w:pPr>
              <w:jc w:val="center"/>
            </w:pPr>
            <w:r>
              <w:rPr>
                <w:sz w:val="20"/>
                <w:szCs w:val="20"/>
              </w:rPr>
              <w:t>~420</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53BAEA8D" w14:textId="77777777" w:rsidR="002E05D3" w:rsidRDefault="00000000">
            <w:pPr>
              <w:jc w:val="center"/>
            </w:pPr>
            <w:r>
              <w:rPr>
                <w:sz w:val="20"/>
                <w:szCs w:val="20"/>
              </w:rPr>
              <w:t>Moderate</w:t>
            </w:r>
          </w:p>
        </w:tc>
      </w:tr>
      <w:tr w:rsidR="002E05D3" w14:paraId="0D3845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54B43A68" w14:textId="77777777" w:rsidR="002E05D3" w:rsidRDefault="00000000">
            <w:pPr>
              <w:jc w:val="center"/>
            </w:pPr>
            <w:r>
              <w:rPr>
                <w:sz w:val="20"/>
                <w:szCs w:val="20"/>
              </w:rPr>
              <w:t>30–45</w:t>
            </w:r>
          </w:p>
        </w:tc>
        <w:tc>
          <w:tcPr>
            <w:tcW w:w="238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21317F4D" w14:textId="77777777" w:rsidR="002E05D3" w:rsidRDefault="00000000">
            <w:pPr>
              <w:jc w:val="center"/>
            </w:pPr>
            <w:r>
              <w:rPr>
                <w:sz w:val="20"/>
                <w:szCs w:val="20"/>
              </w:rPr>
              <w:t>65.9%</w:t>
            </w:r>
          </w:p>
        </w:tc>
        <w:tc>
          <w:tcPr>
            <w:tcW w:w="238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02ED6672" w14:textId="77777777" w:rsidR="002E05D3" w:rsidRDefault="00000000">
            <w:pPr>
              <w:jc w:val="center"/>
            </w:pPr>
            <w:r>
              <w:rPr>
                <w:sz w:val="20"/>
                <w:szCs w:val="20"/>
              </w:rPr>
              <w:t>~1,342</w:t>
            </w:r>
          </w:p>
        </w:tc>
        <w:tc>
          <w:tcPr>
            <w:tcW w:w="1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687FE31A" w14:textId="77777777" w:rsidR="002E05D3" w:rsidRDefault="00000000">
            <w:pPr>
              <w:jc w:val="center"/>
            </w:pPr>
            <w:r>
              <w:rPr>
                <w:sz w:val="20"/>
                <w:szCs w:val="20"/>
              </w:rPr>
              <w:t>Critical</w:t>
            </w:r>
          </w:p>
        </w:tc>
      </w:tr>
      <w:tr w:rsidR="002E05D3" w14:paraId="6474E3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C1D12" w14:textId="77777777" w:rsidR="002E05D3" w:rsidRDefault="00000000">
            <w:pPr>
              <w:jc w:val="center"/>
            </w:pPr>
            <w:r>
              <w:rPr>
                <w:sz w:val="20"/>
                <w:szCs w:val="20"/>
              </w:rPr>
              <w:t>46–60</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41767" w14:textId="77777777" w:rsidR="002E05D3" w:rsidRDefault="00000000">
            <w:pPr>
              <w:jc w:val="center"/>
            </w:pPr>
            <w:r>
              <w:rPr>
                <w:sz w:val="20"/>
                <w:szCs w:val="20"/>
              </w:rPr>
              <w:t>~9.8%</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2986C" w14:textId="77777777" w:rsidR="002E05D3" w:rsidRDefault="00000000">
            <w:pPr>
              <w:jc w:val="center"/>
            </w:pPr>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E1E14" w14:textId="77777777" w:rsidR="002E05D3" w:rsidRDefault="00000000">
            <w:pPr>
              <w:jc w:val="center"/>
            </w:pPr>
            <w:r>
              <w:rPr>
                <w:sz w:val="20"/>
                <w:szCs w:val="20"/>
              </w:rPr>
              <w:t>High</w:t>
            </w:r>
          </w:p>
        </w:tc>
      </w:tr>
      <w:tr w:rsidR="002E05D3" w14:paraId="60DBD5F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735A80ED" w14:textId="77777777" w:rsidR="002E05D3" w:rsidRDefault="00000000">
            <w:pPr>
              <w:jc w:val="center"/>
            </w:pPr>
            <w:r>
              <w:rPr>
                <w:sz w:val="20"/>
                <w:szCs w:val="20"/>
              </w:rPr>
              <w:t>Above 60</w:t>
            </w:r>
          </w:p>
        </w:tc>
        <w:tc>
          <w:tcPr>
            <w:tcW w:w="23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7210EA26" w14:textId="77777777" w:rsidR="002E05D3" w:rsidRDefault="00000000">
            <w:pPr>
              <w:jc w:val="center"/>
            </w:pPr>
            <w:r>
              <w:rPr>
                <w:sz w:val="20"/>
                <w:szCs w:val="20"/>
              </w:rPr>
              <w:t>~3.7%</w:t>
            </w:r>
          </w:p>
        </w:tc>
        <w:tc>
          <w:tcPr>
            <w:tcW w:w="23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0DF39CEF" w14:textId="77777777" w:rsidR="002E05D3" w:rsidRDefault="00000000">
            <w:pPr>
              <w:jc w:val="center"/>
            </w:pPr>
            <w:r>
              <w:rPr>
                <w:sz w:val="20"/>
                <w:szCs w:val="20"/>
              </w:rPr>
              <w:t>~75</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55D82A4E" w14:textId="77777777" w:rsidR="002E05D3" w:rsidRDefault="00000000">
            <w:pPr>
              <w:jc w:val="center"/>
            </w:pPr>
            <w:r>
              <w:rPr>
                <w:sz w:val="20"/>
                <w:szCs w:val="20"/>
              </w:rPr>
              <w:t>Low volume</w:t>
            </w:r>
          </w:p>
        </w:tc>
      </w:tr>
    </w:tbl>
    <w:p w14:paraId="6CAD3B13" w14:textId="77777777" w:rsidR="002E05D3" w:rsidRDefault="002E05D3">
      <w:pPr>
        <w:spacing w:after="80"/>
      </w:pPr>
    </w:p>
    <w:p w14:paraId="4CC044E2" w14:textId="77777777" w:rsidR="002E05D3" w:rsidRDefault="00000000">
      <w:pPr>
        <w:spacing w:after="200"/>
        <w:jc w:val="center"/>
      </w:pPr>
      <w:r>
        <w:rPr>
          <w:i/>
          <w:iCs/>
          <w:color w:val="555555"/>
          <w:sz w:val="19"/>
          <w:szCs w:val="19"/>
        </w:rPr>
        <w:t>Table 4: Age Segment Churn Distribution</w:t>
      </w:r>
    </w:p>
    <w:p w14:paraId="071F6B0C" w14:textId="77777777" w:rsidR="002E05D3" w:rsidRDefault="002E05D3">
      <w:pPr>
        <w:spacing w:after="80"/>
      </w:pPr>
    </w:p>
    <w:p w14:paraId="5B5A4FC6" w14:textId="77777777" w:rsidR="002E05D3" w:rsidRDefault="00000000">
      <w:pPr>
        <w:spacing w:after="80"/>
        <w:jc w:val="center"/>
      </w:pPr>
      <w:r>
        <w:rPr>
          <w:noProof/>
        </w:rPr>
        <w:drawing>
          <wp:inline distT="0" distB="0" distL="0" distR="0" wp14:anchorId="1C6BEBAE" wp14:editId="733D4647">
            <wp:extent cx="4762500" cy="3429000"/>
            <wp:effectExtent l="0" t="0" r="0" b="0"/>
            <wp:docPr id="1246233802" name="Picture 124623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429000"/>
                    </a:xfrm>
                    <a:prstGeom prst="rect">
                      <a:avLst/>
                    </a:prstGeom>
                  </pic:spPr>
                </pic:pic>
              </a:graphicData>
            </a:graphic>
          </wp:inline>
        </w:drawing>
      </w:r>
    </w:p>
    <w:p w14:paraId="32B34369" w14:textId="77777777" w:rsidR="002E05D3" w:rsidRDefault="00000000">
      <w:pPr>
        <w:spacing w:after="200"/>
        <w:jc w:val="center"/>
      </w:pPr>
      <w:r>
        <w:rPr>
          <w:i/>
          <w:iCs/>
          <w:color w:val="555555"/>
          <w:sz w:val="19"/>
          <w:szCs w:val="19"/>
        </w:rPr>
        <w:t>Figure 4: Churn Contribution by Age Band — 30–45 accounts for 65.9% of all churn</w:t>
      </w:r>
    </w:p>
    <w:p w14:paraId="222DDCE0" w14:textId="77777777" w:rsidR="002E05D3" w:rsidRDefault="002E05D3">
      <w:pPr>
        <w:spacing w:after="80"/>
      </w:pPr>
    </w:p>
    <w:p w14:paraId="547F4D06" w14:textId="77777777" w:rsidR="002E05D3" w:rsidRDefault="00000000">
      <w:pPr>
        <w:spacing w:after="160"/>
        <w:jc w:val="both"/>
      </w:pPr>
      <w:r>
        <w:t>Over 85% of churn originates from just two age brackets. The 30–45 cohort — the bank’s largest customer segment — contributes 65.9% of churn. This group is in its peak financial decision-making phase and most responsive to competitive switching incentives. The under-30 segment contributes 20.6%, consistent with digitally-native, low-friction switching behaviour.</w:t>
      </w:r>
    </w:p>
    <w:p w14:paraId="73C5F69A" w14:textId="658317F8" w:rsidR="00263AAF" w:rsidRDefault="00263AAF" w:rsidP="00263AAF"/>
    <w:p w14:paraId="40D460ED" w14:textId="76609F23" w:rsidR="002E05D3" w:rsidRDefault="00000000">
      <w:pPr>
        <w:pStyle w:val="Heading2"/>
      </w:pPr>
      <w:r>
        <w:t>4.4 Credit Score Segmentation</w:t>
      </w:r>
    </w:p>
    <w:p w14:paraId="2E974C19" w14:textId="77777777" w:rsidR="002E05D3" w:rsidRDefault="00000000">
      <w:pPr>
        <w:spacing w:after="160"/>
        <w:jc w:val="both"/>
      </w:pPr>
      <w:r>
        <w:t>Three credit score bands were constructed from quartile analysis: Low (350–583), Medium (584–717), and High (718–850).</w:t>
      </w:r>
    </w:p>
    <w:p w14:paraId="7D4F396A" w14:textId="77777777" w:rsidR="002E05D3" w:rsidRDefault="002E05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2432"/>
        <w:gridCol w:w="2432"/>
        <w:gridCol w:w="1839"/>
      </w:tblGrid>
      <w:tr w:rsidR="002E05D3" w14:paraId="6D85924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5A8BA5" w14:textId="77777777" w:rsidR="002E05D3" w:rsidRDefault="00000000">
            <w:pPr>
              <w:jc w:val="center"/>
            </w:pPr>
            <w:r>
              <w:rPr>
                <w:b/>
                <w:bCs/>
                <w:color w:val="FFFFFF"/>
                <w:sz w:val="20"/>
                <w:szCs w:val="20"/>
              </w:rPr>
              <w:t>Credit Score Band</w:t>
            </w:r>
          </w:p>
        </w:tc>
        <w:tc>
          <w:tcPr>
            <w:tcW w:w="2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AC27C3" w14:textId="77777777" w:rsidR="002E05D3" w:rsidRDefault="00000000">
            <w:pPr>
              <w:jc w:val="center"/>
            </w:pPr>
            <w:r>
              <w:rPr>
                <w:b/>
                <w:bCs/>
                <w:color w:val="FFFFFF"/>
                <w:sz w:val="20"/>
                <w:szCs w:val="20"/>
              </w:rPr>
              <w:t>Band Range</w:t>
            </w:r>
          </w:p>
        </w:tc>
        <w:tc>
          <w:tcPr>
            <w:tcW w:w="2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7E301F" w14:textId="77777777" w:rsidR="002E05D3" w:rsidRDefault="00000000">
            <w:pPr>
              <w:jc w:val="center"/>
            </w:pPr>
            <w:r>
              <w:rPr>
                <w:b/>
                <w:bCs/>
                <w:color w:val="FFFFFF"/>
                <w:sz w:val="20"/>
                <w:szCs w:val="20"/>
              </w:rPr>
              <w:t>Churned (est.)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08C54A" w14:textId="77777777" w:rsidR="002E05D3" w:rsidRDefault="00000000">
            <w:pPr>
              <w:jc w:val="center"/>
            </w:pPr>
            <w:r>
              <w:rPr>
                <w:b/>
                <w:bCs/>
                <w:color w:val="FFFFFF"/>
                <w:sz w:val="20"/>
                <w:szCs w:val="20"/>
              </w:rPr>
              <w:t>% of Churn</w:t>
            </w:r>
          </w:p>
        </w:tc>
      </w:tr>
      <w:tr w:rsidR="002E05D3" w14:paraId="7590BB8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3849AB4C" w14:textId="77777777" w:rsidR="002E05D3" w:rsidRDefault="00000000">
            <w:pPr>
              <w:jc w:val="center"/>
            </w:pPr>
            <w:r>
              <w:rPr>
                <w:sz w:val="20"/>
                <w:szCs w:val="20"/>
              </w:rPr>
              <w:t>Low</w:t>
            </w:r>
          </w:p>
        </w:tc>
        <w:tc>
          <w:tcPr>
            <w:tcW w:w="238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7D3D6609" w14:textId="77777777" w:rsidR="002E05D3" w:rsidRDefault="00000000">
            <w:pPr>
              <w:jc w:val="center"/>
            </w:pPr>
            <w:r>
              <w:rPr>
                <w:sz w:val="20"/>
                <w:szCs w:val="20"/>
              </w:rPr>
              <w:t>350–583</w:t>
            </w:r>
          </w:p>
        </w:tc>
        <w:tc>
          <w:tcPr>
            <w:tcW w:w="238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378068E5" w14:textId="77777777" w:rsidR="002E05D3" w:rsidRDefault="00000000">
            <w:pPr>
              <w:jc w:val="center"/>
            </w:pPr>
            <w:r>
              <w:rPr>
                <w:sz w:val="20"/>
                <w:szCs w:val="20"/>
              </w:rPr>
              <w:t>~408</w:t>
            </w:r>
          </w:p>
        </w:tc>
        <w:tc>
          <w:tcPr>
            <w:tcW w:w="1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5444FC52" w14:textId="77777777" w:rsidR="002E05D3" w:rsidRDefault="00000000">
            <w:pPr>
              <w:jc w:val="center"/>
            </w:pPr>
            <w:r>
              <w:rPr>
                <w:sz w:val="20"/>
                <w:szCs w:val="20"/>
              </w:rPr>
              <w:t>20.0%</w:t>
            </w:r>
          </w:p>
        </w:tc>
      </w:tr>
      <w:tr w:rsidR="002E05D3" w14:paraId="3086A76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79099" w14:textId="77777777" w:rsidR="002E05D3" w:rsidRDefault="00000000">
            <w:pPr>
              <w:jc w:val="center"/>
            </w:pPr>
            <w:r>
              <w:rPr>
                <w:sz w:val="20"/>
                <w:szCs w:val="20"/>
              </w:rPr>
              <w:t>Medium</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313FA" w14:textId="77777777" w:rsidR="002E05D3" w:rsidRDefault="00000000">
            <w:pPr>
              <w:jc w:val="center"/>
            </w:pPr>
            <w:r>
              <w:rPr>
                <w:sz w:val="20"/>
                <w:szCs w:val="20"/>
              </w:rPr>
              <w:t>584–717</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221DC" w14:textId="77777777" w:rsidR="002E05D3" w:rsidRDefault="00000000">
            <w:pPr>
              <w:jc w:val="center"/>
            </w:pPr>
            <w:r>
              <w:rPr>
                <w:sz w:val="20"/>
                <w:szCs w:val="20"/>
              </w:rPr>
              <w:t>~1,028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E9A5B3" w14:textId="77777777" w:rsidR="002E05D3" w:rsidRDefault="00000000">
            <w:pPr>
              <w:jc w:val="center"/>
            </w:pPr>
            <w:r>
              <w:rPr>
                <w:sz w:val="20"/>
                <w:szCs w:val="20"/>
              </w:rPr>
              <w:t>50.5%</w:t>
            </w:r>
          </w:p>
        </w:tc>
      </w:tr>
      <w:tr w:rsidR="002E05D3" w14:paraId="3B8A54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38D02EE6" w14:textId="77777777" w:rsidR="002E05D3" w:rsidRDefault="00000000">
            <w:pPr>
              <w:jc w:val="center"/>
            </w:pPr>
            <w:r>
              <w:rPr>
                <w:sz w:val="20"/>
                <w:szCs w:val="20"/>
              </w:rPr>
              <w:t>High</w:t>
            </w:r>
          </w:p>
        </w:tc>
        <w:tc>
          <w:tcPr>
            <w:tcW w:w="23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5A3EE4B" w14:textId="77777777" w:rsidR="002E05D3" w:rsidRDefault="00000000">
            <w:pPr>
              <w:jc w:val="center"/>
            </w:pPr>
            <w:r>
              <w:rPr>
                <w:sz w:val="20"/>
                <w:szCs w:val="20"/>
              </w:rPr>
              <w:t>718–850</w:t>
            </w:r>
          </w:p>
        </w:tc>
        <w:tc>
          <w:tcPr>
            <w:tcW w:w="23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1CF98AB1" w14:textId="77777777" w:rsidR="002E05D3" w:rsidRDefault="00000000">
            <w:pPr>
              <w:jc w:val="center"/>
            </w:pPr>
            <w:r>
              <w:rPr>
                <w:sz w:val="20"/>
                <w:szCs w:val="20"/>
              </w:rPr>
              <w:t>~601</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C4A5ACE" w14:textId="77777777" w:rsidR="002E05D3" w:rsidRDefault="00000000">
            <w:pPr>
              <w:jc w:val="center"/>
            </w:pPr>
            <w:r>
              <w:rPr>
                <w:sz w:val="20"/>
                <w:szCs w:val="20"/>
              </w:rPr>
              <w:t>29.5%</w:t>
            </w:r>
          </w:p>
        </w:tc>
      </w:tr>
    </w:tbl>
    <w:p w14:paraId="44DE268B" w14:textId="77777777" w:rsidR="002E05D3" w:rsidRDefault="002E05D3">
      <w:pPr>
        <w:spacing w:after="80"/>
      </w:pPr>
    </w:p>
    <w:p w14:paraId="19796BDB" w14:textId="77777777" w:rsidR="002E05D3" w:rsidRDefault="00000000">
      <w:pPr>
        <w:spacing w:after="200"/>
        <w:jc w:val="center"/>
      </w:pPr>
      <w:r>
        <w:rPr>
          <w:i/>
          <w:iCs/>
          <w:color w:val="555555"/>
          <w:sz w:val="19"/>
          <w:szCs w:val="19"/>
        </w:rPr>
        <w:t>Table 5: Credit Score Band Churn Distribution</w:t>
      </w:r>
    </w:p>
    <w:p w14:paraId="622B5D5D" w14:textId="77777777" w:rsidR="002E05D3" w:rsidRDefault="002E05D3">
      <w:pPr>
        <w:spacing w:after="80"/>
      </w:pPr>
    </w:p>
    <w:p w14:paraId="34A9AA74" w14:textId="77777777" w:rsidR="002E05D3" w:rsidRDefault="00000000">
      <w:pPr>
        <w:spacing w:after="80"/>
        <w:jc w:val="center"/>
      </w:pPr>
      <w:r>
        <w:rPr>
          <w:noProof/>
        </w:rPr>
        <w:drawing>
          <wp:inline distT="0" distB="0" distL="0" distR="0" wp14:anchorId="10BE0A5B" wp14:editId="65A00293">
            <wp:extent cx="4000500" cy="3238500"/>
            <wp:effectExtent l="0" t="0" r="0" b="0"/>
            <wp:docPr id="1595106297" name="Picture 159510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238500"/>
                    </a:xfrm>
                    <a:prstGeom prst="rect">
                      <a:avLst/>
                    </a:prstGeom>
                  </pic:spPr>
                </pic:pic>
              </a:graphicData>
            </a:graphic>
          </wp:inline>
        </w:drawing>
      </w:r>
    </w:p>
    <w:p w14:paraId="6BFCECAB" w14:textId="77777777" w:rsidR="002E05D3" w:rsidRDefault="00000000">
      <w:pPr>
        <w:spacing w:after="200"/>
        <w:jc w:val="center"/>
      </w:pPr>
      <w:r>
        <w:rPr>
          <w:i/>
          <w:iCs/>
          <w:color w:val="555555"/>
          <w:sz w:val="19"/>
          <w:szCs w:val="19"/>
        </w:rPr>
        <w:t>Figure 5: Churn Distribution by Credit Score Band — Medium score leads at 50.5%</w:t>
      </w:r>
    </w:p>
    <w:p w14:paraId="611055BA" w14:textId="77777777" w:rsidR="002E05D3" w:rsidRDefault="002E05D3">
      <w:pPr>
        <w:spacing w:after="80"/>
      </w:pPr>
    </w:p>
    <w:p w14:paraId="4AB5B948" w14:textId="77777777" w:rsidR="002E05D3" w:rsidRDefault="00000000">
      <w:pPr>
        <w:spacing w:after="160"/>
        <w:jc w:val="both"/>
      </w:pPr>
      <w:r>
        <w:t>Medium credit score customers account for 50.5% of churn due to population dominance. The Low band shows a disproportionately high rate relative to size, consistent with financial distress-driven disengagement. High-score churners (29.5%) represent credit-worthy, financially capable customers — their departure likely reflects competitive offer switching, a more strategically addressable problem.</w:t>
      </w:r>
    </w:p>
    <w:p w14:paraId="77439FD5" w14:textId="534AC47C" w:rsidR="00263AAF" w:rsidRDefault="00263AAF" w:rsidP="00263AAF"/>
    <w:p w14:paraId="4C13B945" w14:textId="6FB7BFBD" w:rsidR="002E05D3" w:rsidRDefault="00000000">
      <w:pPr>
        <w:pStyle w:val="Heading2"/>
      </w:pPr>
      <w:r>
        <w:t>4.5 Tenure Segmentation</w:t>
      </w:r>
    </w:p>
    <w:p w14:paraId="2BB75B31" w14:textId="77777777" w:rsidR="002E05D3" w:rsidRDefault="00000000">
      <w:pPr>
        <w:spacing w:after="160"/>
        <w:jc w:val="both"/>
      </w:pPr>
      <w:r>
        <w:t>Tenure was segmented: New (0–3 years), Mid-Term (4–7 years), Long-Term (8–10 years).</w:t>
      </w:r>
    </w:p>
    <w:p w14:paraId="34323973" w14:textId="77777777" w:rsidR="002E05D3" w:rsidRDefault="002E05D3">
      <w:pPr>
        <w:spacing w:after="80"/>
      </w:pPr>
    </w:p>
    <w:p w14:paraId="05D2B1AB" w14:textId="77777777" w:rsidR="002E05D3" w:rsidRDefault="00000000">
      <w:pPr>
        <w:spacing w:after="80"/>
        <w:jc w:val="center"/>
      </w:pPr>
      <w:r>
        <w:rPr>
          <w:noProof/>
        </w:rPr>
        <w:drawing>
          <wp:inline distT="0" distB="0" distL="0" distR="0" wp14:anchorId="468FA01D" wp14:editId="0EFE42CB">
            <wp:extent cx="4762500" cy="3429000"/>
            <wp:effectExtent l="0" t="0" r="0" b="0"/>
            <wp:docPr id="209860838" name="Picture 20986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429000"/>
                    </a:xfrm>
                    <a:prstGeom prst="rect">
                      <a:avLst/>
                    </a:prstGeom>
                  </pic:spPr>
                </pic:pic>
              </a:graphicData>
            </a:graphic>
          </wp:inline>
        </w:drawing>
      </w:r>
    </w:p>
    <w:p w14:paraId="7EF6AC22" w14:textId="77777777" w:rsidR="002E05D3" w:rsidRDefault="00000000">
      <w:pPr>
        <w:spacing w:after="200"/>
        <w:jc w:val="center"/>
      </w:pPr>
      <w:r>
        <w:rPr>
          <w:i/>
          <w:iCs/>
          <w:color w:val="555555"/>
          <w:sz w:val="19"/>
          <w:szCs w:val="19"/>
        </w:rPr>
        <w:t>Figure 7: Churn Contribution by Tenure Segment — The Tenure Paradox: Long-term leads at 61.4%</w:t>
      </w:r>
    </w:p>
    <w:p w14:paraId="58368B56" w14:textId="77777777" w:rsidR="002E05D3" w:rsidRDefault="002E05D3">
      <w:pPr>
        <w:spacing w:after="80"/>
      </w:pPr>
    </w:p>
    <w:p w14:paraId="3F8C4D2A" w14:textId="77777777" w:rsidR="002E05D3" w:rsidRDefault="00000000">
      <w:pPr>
        <w:spacing w:after="160"/>
        <w:jc w:val="both"/>
      </w:pPr>
      <w:r>
        <w:t>A counterintuitive and strategically critical finding: long-term customers (tenure &gt; 7 years) account for 61.4% of total churn. This contradicts the conventional assumption that tenure implies loyalty. Long-standing customers whose needs have not evolved with the bank’s product offering are vulnerable to eventual departure — often triggered by a single negative service experience or a competitive offer. Retention programmes must proactively target long-tenure customers, not passively assume their loyalty.</w:t>
      </w:r>
    </w:p>
    <w:p w14:paraId="5BB3A233" w14:textId="78946370" w:rsidR="00263AAF" w:rsidRDefault="00263AAF" w:rsidP="00263AAF"/>
    <w:p w14:paraId="36AC896F" w14:textId="67B667A9" w:rsidR="002E05D3" w:rsidRDefault="00000000">
      <w:pPr>
        <w:pStyle w:val="Heading2"/>
      </w:pPr>
      <w:r>
        <w:t>4.6 Balance Segmentation</w:t>
      </w:r>
    </w:p>
    <w:p w14:paraId="14213E3E" w14:textId="77777777" w:rsidR="002E05D3" w:rsidRDefault="00000000">
      <w:pPr>
        <w:spacing w:after="160"/>
        <w:jc w:val="both"/>
      </w:pPr>
      <w:r>
        <w:t>Account balance was segmented into: Zero Balance (€0), Medium Balance (€1–€127,644), and High Balance (&gt;€127,644).</w:t>
      </w:r>
    </w:p>
    <w:p w14:paraId="5A5D9EF9" w14:textId="77777777" w:rsidR="002E05D3" w:rsidRDefault="002E05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80"/>
        <w:gridCol w:w="4380"/>
      </w:tblGrid>
      <w:tr w:rsidR="002E05D3" w14:paraId="58F7EF89"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A8971D" w14:textId="77777777" w:rsidR="002E05D3" w:rsidRDefault="00000000">
            <w:pPr>
              <w:jc w:val="center"/>
            </w:pPr>
            <w:r>
              <w:rPr>
                <w:b/>
                <w:bCs/>
                <w:color w:val="FFFFFF"/>
                <w:sz w:val="20"/>
                <w:szCs w:val="20"/>
              </w:rPr>
              <w:t>Balance Segment</w:t>
            </w:r>
          </w:p>
        </w:tc>
        <w:tc>
          <w:tcPr>
            <w:tcW w:w="2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BA1983" w14:textId="77777777" w:rsidR="002E05D3" w:rsidRDefault="00000000">
            <w:pPr>
              <w:jc w:val="center"/>
            </w:pPr>
            <w:r>
              <w:rPr>
                <w:b/>
                <w:bCs/>
                <w:color w:val="FFFFFF"/>
                <w:sz w:val="20"/>
                <w:szCs w:val="20"/>
              </w:rPr>
              <w:t>% of Churn</w:t>
            </w:r>
          </w:p>
        </w:tc>
        <w:tc>
          <w:tcPr>
            <w:tcW w:w="4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719899" w14:textId="77777777" w:rsidR="002E05D3" w:rsidRDefault="00000000">
            <w:pPr>
              <w:jc w:val="center"/>
            </w:pPr>
            <w:r>
              <w:rPr>
                <w:b/>
                <w:bCs/>
                <w:color w:val="FFFFFF"/>
                <w:sz w:val="20"/>
                <w:szCs w:val="20"/>
              </w:rPr>
              <w:t>Key Insight</w:t>
            </w:r>
          </w:p>
        </w:tc>
      </w:tr>
      <w:tr w:rsidR="002E05D3" w14:paraId="50DDEFA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3AAD3F53" w14:textId="77777777" w:rsidR="002E05D3" w:rsidRDefault="00000000">
            <w:pPr>
              <w:jc w:val="center"/>
            </w:pPr>
            <w:r>
              <w:rPr>
                <w:sz w:val="20"/>
                <w:szCs w:val="20"/>
              </w:rPr>
              <w:t>Zero Balance</w:t>
            </w:r>
          </w:p>
        </w:tc>
        <w:tc>
          <w:tcPr>
            <w:tcW w:w="238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236323DA" w14:textId="77777777" w:rsidR="002E05D3" w:rsidRDefault="00000000">
            <w:pPr>
              <w:jc w:val="center"/>
            </w:pPr>
            <w:r>
              <w:rPr>
                <w:sz w:val="20"/>
                <w:szCs w:val="20"/>
              </w:rPr>
              <w:t>39.1%</w:t>
            </w:r>
          </w:p>
        </w:tc>
        <w:tc>
          <w:tcPr>
            <w:tcW w:w="438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2D632DB9" w14:textId="77777777" w:rsidR="002E05D3" w:rsidRDefault="00000000">
            <w:pPr>
              <w:jc w:val="center"/>
            </w:pPr>
            <w:r>
              <w:rPr>
                <w:sz w:val="20"/>
                <w:szCs w:val="20"/>
              </w:rPr>
              <w:t>Disengaged customers; exit before account closure</w:t>
            </w:r>
          </w:p>
        </w:tc>
      </w:tr>
      <w:tr w:rsidR="002E05D3" w14:paraId="55261A1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F53D2" w14:textId="77777777" w:rsidR="002E05D3" w:rsidRDefault="00000000">
            <w:pPr>
              <w:jc w:val="center"/>
            </w:pPr>
            <w:r>
              <w:rPr>
                <w:sz w:val="20"/>
                <w:szCs w:val="20"/>
              </w:rPr>
              <w:t>Medium Balance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F990C" w14:textId="77777777" w:rsidR="002E05D3" w:rsidRDefault="00000000">
            <w:pPr>
              <w:jc w:val="center"/>
            </w:pPr>
            <w:r>
              <w:rPr>
                <w:sz w:val="20"/>
                <w:szCs w:val="20"/>
              </w:rPr>
              <w:t>36.9%</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F41A5" w14:textId="77777777" w:rsidR="002E05D3" w:rsidRDefault="00000000">
            <w:pPr>
              <w:jc w:val="center"/>
            </w:pPr>
            <w:r>
              <w:rPr>
                <w:sz w:val="20"/>
                <w:szCs w:val="20"/>
              </w:rPr>
              <w:t>Core mass-market churn risk</w:t>
            </w:r>
          </w:p>
        </w:tc>
      </w:tr>
      <w:tr w:rsidR="002E05D3" w14:paraId="66C3B1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31C34184" w14:textId="77777777" w:rsidR="002E05D3" w:rsidRDefault="00000000">
            <w:pPr>
              <w:jc w:val="center"/>
            </w:pPr>
            <w:r>
              <w:rPr>
                <w:sz w:val="20"/>
                <w:szCs w:val="20"/>
              </w:rPr>
              <w:t>High Balance</w:t>
            </w:r>
          </w:p>
        </w:tc>
        <w:tc>
          <w:tcPr>
            <w:tcW w:w="23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AB52D09" w14:textId="77777777" w:rsidR="002E05D3" w:rsidRDefault="00000000">
            <w:pPr>
              <w:jc w:val="center"/>
            </w:pPr>
            <w:r>
              <w:rPr>
                <w:sz w:val="20"/>
                <w:szCs w:val="20"/>
              </w:rPr>
              <w:t>24.0%</w:t>
            </w:r>
          </w:p>
        </w:tc>
        <w:tc>
          <w:tcPr>
            <w:tcW w:w="43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038D8212" w14:textId="77777777" w:rsidR="002E05D3" w:rsidRDefault="00000000">
            <w:pPr>
              <w:jc w:val="center"/>
            </w:pPr>
            <w:r>
              <w:rPr>
                <w:sz w:val="20"/>
                <w:szCs w:val="20"/>
              </w:rPr>
              <w:t>Premium loss — highest revenue impact per churner</w:t>
            </w:r>
          </w:p>
        </w:tc>
      </w:tr>
    </w:tbl>
    <w:p w14:paraId="7C70CD82" w14:textId="77777777" w:rsidR="002E05D3" w:rsidRDefault="002E05D3">
      <w:pPr>
        <w:spacing w:after="80"/>
      </w:pPr>
    </w:p>
    <w:p w14:paraId="0E88DCFB" w14:textId="77777777" w:rsidR="002E05D3" w:rsidRDefault="00000000">
      <w:pPr>
        <w:spacing w:after="200"/>
        <w:jc w:val="center"/>
      </w:pPr>
      <w:r>
        <w:rPr>
          <w:i/>
          <w:iCs/>
          <w:color w:val="555555"/>
          <w:sz w:val="19"/>
          <w:szCs w:val="19"/>
        </w:rPr>
        <w:t>Table 6: Balance Segment Churn Distribution</w:t>
      </w:r>
    </w:p>
    <w:p w14:paraId="33923A43" w14:textId="77777777" w:rsidR="002E05D3" w:rsidRDefault="002E05D3">
      <w:pPr>
        <w:spacing w:after="80"/>
      </w:pPr>
    </w:p>
    <w:p w14:paraId="0BD1F535" w14:textId="77777777" w:rsidR="002E05D3" w:rsidRDefault="00000000">
      <w:pPr>
        <w:spacing w:after="80"/>
        <w:jc w:val="center"/>
      </w:pPr>
      <w:r>
        <w:rPr>
          <w:noProof/>
        </w:rPr>
        <w:drawing>
          <wp:inline distT="0" distB="0" distL="0" distR="0" wp14:anchorId="4B551972" wp14:editId="1ABE10FE">
            <wp:extent cx="4000500" cy="3238500"/>
            <wp:effectExtent l="0" t="0" r="0" b="0"/>
            <wp:docPr id="254458571" name="Picture 25445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238500"/>
                    </a:xfrm>
                    <a:prstGeom prst="rect">
                      <a:avLst/>
                    </a:prstGeom>
                  </pic:spPr>
                </pic:pic>
              </a:graphicData>
            </a:graphic>
          </wp:inline>
        </w:drawing>
      </w:r>
    </w:p>
    <w:p w14:paraId="10B8B611" w14:textId="77777777" w:rsidR="002E05D3" w:rsidRDefault="00000000">
      <w:pPr>
        <w:spacing w:after="200"/>
        <w:jc w:val="center"/>
      </w:pPr>
      <w:r>
        <w:rPr>
          <w:i/>
          <w:iCs/>
          <w:color w:val="555555"/>
          <w:sz w:val="19"/>
          <w:szCs w:val="19"/>
        </w:rPr>
        <w:t>Figure 6: Churn Distribution by Account Balance Segment</w:t>
      </w:r>
    </w:p>
    <w:p w14:paraId="192D6C6A" w14:textId="77777777" w:rsidR="002E05D3" w:rsidRDefault="002E05D3">
      <w:pPr>
        <w:spacing w:after="80"/>
      </w:pPr>
    </w:p>
    <w:p w14:paraId="7EA4E7DC" w14:textId="77777777" w:rsidR="002E05D3" w:rsidRDefault="00000000">
      <w:pPr>
        <w:spacing w:after="160"/>
        <w:jc w:val="both"/>
      </w:pPr>
      <w:r>
        <w:t>Zero-balance customers lead churn contribution at 39.1%, indicating institutional disengagement over time. Medium-balance customers represent the largest mass-market risk. High-balance churners (24%) carry the greatest individual revenue impact per customer lost, warranting priority retention attention.</w:t>
      </w:r>
    </w:p>
    <w:p w14:paraId="0BF9FFE6" w14:textId="36EAC5E3" w:rsidR="00263AAF" w:rsidRDefault="00263AAF" w:rsidP="00263AAF"/>
    <w:p w14:paraId="53993FF5" w14:textId="3C2FAC83" w:rsidR="002E05D3" w:rsidRDefault="00000000">
      <w:pPr>
        <w:pStyle w:val="Heading2"/>
      </w:pPr>
      <w:r>
        <w:t>4.7 Gender-Based Churn Analysis</w:t>
      </w:r>
    </w:p>
    <w:p w14:paraId="39377079" w14:textId="77777777" w:rsidR="002E05D3" w:rsidRDefault="002E05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2432"/>
        <w:gridCol w:w="2432"/>
        <w:gridCol w:w="1839"/>
      </w:tblGrid>
      <w:tr w:rsidR="002E05D3" w14:paraId="699DF10D"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E29CF6" w14:textId="77777777" w:rsidR="002E05D3" w:rsidRDefault="00000000">
            <w:pPr>
              <w:jc w:val="center"/>
            </w:pPr>
            <w:r>
              <w:rPr>
                <w:b/>
                <w:bCs/>
                <w:color w:val="FFFFFF"/>
                <w:sz w:val="20"/>
                <w:szCs w:val="20"/>
              </w:rPr>
              <w:t>Gender</w:t>
            </w:r>
          </w:p>
        </w:tc>
        <w:tc>
          <w:tcPr>
            <w:tcW w:w="2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AC5C62" w14:textId="77777777" w:rsidR="002E05D3" w:rsidRDefault="00000000">
            <w:pPr>
              <w:jc w:val="center"/>
            </w:pPr>
            <w:r>
              <w:rPr>
                <w:b/>
                <w:bCs/>
                <w:color w:val="FFFFFF"/>
                <w:sz w:val="20"/>
                <w:szCs w:val="20"/>
              </w:rPr>
              <w:t>Total Customers</w:t>
            </w:r>
          </w:p>
        </w:tc>
        <w:tc>
          <w:tcPr>
            <w:tcW w:w="2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6125B2" w14:textId="77777777" w:rsidR="002E05D3" w:rsidRDefault="00000000">
            <w:pPr>
              <w:jc w:val="center"/>
            </w:pPr>
            <w:r>
              <w:rPr>
                <w:b/>
                <w:bCs/>
                <w:color w:val="FFFFFF"/>
                <w:sz w:val="20"/>
                <w:szCs w:val="20"/>
              </w:rPr>
              <w:t>Churned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EFEE84" w14:textId="77777777" w:rsidR="002E05D3" w:rsidRDefault="00000000">
            <w:pPr>
              <w:jc w:val="center"/>
            </w:pPr>
            <w:r>
              <w:rPr>
                <w:b/>
                <w:bCs/>
                <w:color w:val="FFFFFF"/>
                <w:sz w:val="20"/>
                <w:szCs w:val="20"/>
              </w:rPr>
              <w:t>Churn Rate</w:t>
            </w:r>
          </w:p>
        </w:tc>
      </w:tr>
      <w:tr w:rsidR="002E05D3" w14:paraId="3EA8D1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6B357B47" w14:textId="77777777" w:rsidR="002E05D3" w:rsidRDefault="00000000">
            <w:pPr>
              <w:jc w:val="center"/>
            </w:pPr>
            <w:r>
              <w:rPr>
                <w:sz w:val="20"/>
                <w:szCs w:val="20"/>
              </w:rPr>
              <w:t>Male</w:t>
            </w:r>
          </w:p>
        </w:tc>
        <w:tc>
          <w:tcPr>
            <w:tcW w:w="23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7DC740C9" w14:textId="77777777" w:rsidR="002E05D3" w:rsidRDefault="00000000">
            <w:pPr>
              <w:jc w:val="center"/>
            </w:pPr>
            <w:r>
              <w:rPr>
                <w:sz w:val="20"/>
                <w:szCs w:val="20"/>
              </w:rPr>
              <w:t>~5,457</w:t>
            </w:r>
          </w:p>
        </w:tc>
        <w:tc>
          <w:tcPr>
            <w:tcW w:w="238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600D51BC" w14:textId="77777777" w:rsidR="002E05D3" w:rsidRDefault="00000000">
            <w:pPr>
              <w:jc w:val="center"/>
            </w:pPr>
            <w:r>
              <w:rPr>
                <w:sz w:val="20"/>
                <w:szCs w:val="20"/>
              </w:rPr>
              <w:t>~898</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7A0576BB" w14:textId="77777777" w:rsidR="002E05D3" w:rsidRDefault="00000000">
            <w:pPr>
              <w:jc w:val="center"/>
            </w:pPr>
            <w:r>
              <w:rPr>
                <w:sz w:val="20"/>
                <w:szCs w:val="20"/>
              </w:rPr>
              <w:t>~16.5%</w:t>
            </w:r>
          </w:p>
        </w:tc>
      </w:tr>
      <w:tr w:rsidR="002E05D3" w14:paraId="36C940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6D6DA541" w14:textId="77777777" w:rsidR="002E05D3" w:rsidRDefault="00000000">
            <w:pPr>
              <w:jc w:val="center"/>
            </w:pPr>
            <w:r>
              <w:rPr>
                <w:sz w:val="20"/>
                <w:szCs w:val="20"/>
              </w:rPr>
              <w:t>Female</w:t>
            </w:r>
          </w:p>
        </w:tc>
        <w:tc>
          <w:tcPr>
            <w:tcW w:w="238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22699CC3" w14:textId="77777777" w:rsidR="002E05D3" w:rsidRDefault="00000000">
            <w:pPr>
              <w:jc w:val="center"/>
            </w:pPr>
            <w:r>
              <w:rPr>
                <w:sz w:val="20"/>
                <w:szCs w:val="20"/>
              </w:rPr>
              <w:t>~4,543</w:t>
            </w:r>
          </w:p>
        </w:tc>
        <w:tc>
          <w:tcPr>
            <w:tcW w:w="238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48AF98EA" w14:textId="77777777" w:rsidR="002E05D3" w:rsidRDefault="00000000">
            <w:pPr>
              <w:jc w:val="center"/>
            </w:pPr>
            <w:r>
              <w:rPr>
                <w:sz w:val="20"/>
                <w:szCs w:val="20"/>
              </w:rPr>
              <w:t>~1,139</w:t>
            </w:r>
          </w:p>
        </w:tc>
        <w:tc>
          <w:tcPr>
            <w:tcW w:w="1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138A2C11" w14:textId="77777777" w:rsidR="002E05D3" w:rsidRDefault="00000000">
            <w:pPr>
              <w:jc w:val="center"/>
            </w:pPr>
            <w:r>
              <w:rPr>
                <w:sz w:val="20"/>
                <w:szCs w:val="20"/>
              </w:rPr>
              <w:t>~25.1%</w:t>
            </w:r>
          </w:p>
        </w:tc>
      </w:tr>
    </w:tbl>
    <w:p w14:paraId="61BFFECD" w14:textId="77777777" w:rsidR="002E05D3" w:rsidRDefault="002E05D3">
      <w:pPr>
        <w:spacing w:after="80"/>
      </w:pPr>
    </w:p>
    <w:p w14:paraId="1D9EFAC8" w14:textId="77777777" w:rsidR="002E05D3" w:rsidRDefault="00000000">
      <w:pPr>
        <w:spacing w:after="200"/>
        <w:jc w:val="center"/>
      </w:pPr>
      <w:r>
        <w:rPr>
          <w:i/>
          <w:iCs/>
          <w:color w:val="555555"/>
          <w:sz w:val="19"/>
          <w:szCs w:val="19"/>
        </w:rPr>
        <w:t>Table 7: Gender-Based Churn Summary</w:t>
      </w:r>
    </w:p>
    <w:p w14:paraId="77078B3E" w14:textId="77777777" w:rsidR="002E05D3" w:rsidRDefault="002E05D3">
      <w:pPr>
        <w:spacing w:after="80"/>
      </w:pPr>
    </w:p>
    <w:p w14:paraId="7775B963" w14:textId="77777777" w:rsidR="002E05D3" w:rsidRDefault="00000000">
      <w:pPr>
        <w:spacing w:after="80"/>
        <w:jc w:val="center"/>
      </w:pPr>
      <w:r>
        <w:rPr>
          <w:noProof/>
        </w:rPr>
        <w:lastRenderedPageBreak/>
        <w:drawing>
          <wp:inline distT="0" distB="0" distL="0" distR="0" wp14:anchorId="089EAD4E" wp14:editId="4A6B3252">
            <wp:extent cx="4000500" cy="3238500"/>
            <wp:effectExtent l="0" t="0" r="0" b="0"/>
            <wp:docPr id="583918934" name="Picture 58391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238500"/>
                    </a:xfrm>
                    <a:prstGeom prst="rect">
                      <a:avLst/>
                    </a:prstGeom>
                  </pic:spPr>
                </pic:pic>
              </a:graphicData>
            </a:graphic>
          </wp:inline>
        </w:drawing>
      </w:r>
    </w:p>
    <w:p w14:paraId="7A561282" w14:textId="77777777" w:rsidR="002E05D3" w:rsidRDefault="00000000">
      <w:pPr>
        <w:spacing w:after="200"/>
        <w:jc w:val="center"/>
      </w:pPr>
      <w:r>
        <w:rPr>
          <w:i/>
          <w:iCs/>
          <w:color w:val="555555"/>
          <w:sz w:val="19"/>
          <w:szCs w:val="19"/>
        </w:rPr>
        <w:t>Figure 8: Gender-Based Churn Rate — Female customers churn ~8.6 pp higher than males</w:t>
      </w:r>
    </w:p>
    <w:p w14:paraId="5310F5B1" w14:textId="77777777" w:rsidR="002E05D3" w:rsidRDefault="002E05D3">
      <w:pPr>
        <w:spacing w:after="80"/>
      </w:pPr>
    </w:p>
    <w:p w14:paraId="4CAE79DE" w14:textId="77777777" w:rsidR="002E05D3" w:rsidRDefault="00000000">
      <w:pPr>
        <w:spacing w:after="160"/>
        <w:jc w:val="both"/>
      </w:pPr>
      <w:r>
        <w:t>Female customers churn at ~25.1% versus ~16.5% for male customers — a gap of nearly 9 percentage points. Female customers account for approximately 55.9% of all churned customers despite being a minority of the customer base. This finding has significant product design and communication implications: banking services may be systematically less aligned with female customers’ financial service preferences and expectations.</w:t>
      </w:r>
    </w:p>
    <w:p w14:paraId="068C78C8" w14:textId="31BD09DA" w:rsidR="00263AAF" w:rsidRDefault="00263AAF" w:rsidP="00263AAF"/>
    <w:p w14:paraId="1D16E610" w14:textId="74B2B311" w:rsidR="002E05D3" w:rsidRDefault="00000000">
      <w:pPr>
        <w:pStyle w:val="Heading2"/>
      </w:pPr>
      <w:r>
        <w:t>4.8 Geography × Age Interaction Analysis</w:t>
      </w:r>
    </w:p>
    <w:p w14:paraId="1284A438" w14:textId="77777777" w:rsidR="002E05D3" w:rsidRDefault="00000000">
      <w:pPr>
        <w:spacing w:after="160"/>
        <w:jc w:val="both"/>
      </w:pPr>
      <w:r>
        <w:t>The interaction between geography and age reveals differentiated churn patterns within each market.</w:t>
      </w:r>
    </w:p>
    <w:p w14:paraId="059CB8DC" w14:textId="77777777" w:rsidR="002E05D3" w:rsidRDefault="002E05D3">
      <w:pPr>
        <w:spacing w:after="80"/>
      </w:pPr>
    </w:p>
    <w:p w14:paraId="686C9275" w14:textId="77777777" w:rsidR="002E05D3" w:rsidRDefault="00000000">
      <w:pPr>
        <w:spacing w:after="80"/>
        <w:jc w:val="center"/>
      </w:pPr>
      <w:r>
        <w:rPr>
          <w:noProof/>
        </w:rPr>
        <w:lastRenderedPageBreak/>
        <w:drawing>
          <wp:inline distT="0" distB="0" distL="0" distR="0" wp14:anchorId="0D765B58" wp14:editId="109AF37F">
            <wp:extent cx="5905500" cy="2952750"/>
            <wp:effectExtent l="0" t="0" r="0" b="0"/>
            <wp:docPr id="1883656028" name="Picture 188365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952750"/>
                    </a:xfrm>
                    <a:prstGeom prst="rect">
                      <a:avLst/>
                    </a:prstGeom>
                  </pic:spPr>
                </pic:pic>
              </a:graphicData>
            </a:graphic>
          </wp:inline>
        </w:drawing>
      </w:r>
    </w:p>
    <w:p w14:paraId="283B77BC" w14:textId="77777777" w:rsidR="002E05D3" w:rsidRDefault="00000000">
      <w:pPr>
        <w:spacing w:after="200"/>
        <w:jc w:val="center"/>
      </w:pPr>
      <w:r>
        <w:rPr>
          <w:i/>
          <w:iCs/>
          <w:color w:val="555555"/>
          <w:sz w:val="19"/>
          <w:szCs w:val="19"/>
        </w:rPr>
        <w:t>Figure 9: Churn Distribution by Age Segment Across Geographies — Germany, France, Spain</w:t>
      </w:r>
    </w:p>
    <w:p w14:paraId="0C6D29FD" w14:textId="77777777" w:rsidR="002E05D3" w:rsidRDefault="002E05D3">
      <w:pPr>
        <w:spacing w:after="80"/>
      </w:pPr>
    </w:p>
    <w:p w14:paraId="52F07559" w14:textId="77777777" w:rsidR="002E05D3" w:rsidRDefault="00000000">
      <w:pPr>
        <w:spacing w:after="160"/>
        <w:jc w:val="both"/>
      </w:pPr>
      <w:r>
        <w:t>Germany’s elevated churn is concentrated in the 30–45 and 46–60 age bands, confirming that mid-life, financially active customers are the primary switching cohort in the German market. France and Spain show similar age-band patterns but at lower overall rates, suggesting that the German churn premium is a market-structural phenomenon rather than purely a demographic artefact.</w:t>
      </w:r>
    </w:p>
    <w:p w14:paraId="571589F0" w14:textId="3BCE4ED2" w:rsidR="00263AAF" w:rsidRDefault="00263AAF" w:rsidP="00263AAF"/>
    <w:p w14:paraId="47EF0AA1" w14:textId="04AC0A58" w:rsidR="002E05D3" w:rsidRDefault="00000000">
      <w:pPr>
        <w:pStyle w:val="Heading2"/>
      </w:pPr>
      <w:r>
        <w:t>4.9 High-Value Customer (HVC) Churn Analysis</w:t>
      </w:r>
    </w:p>
    <w:p w14:paraId="38779C54" w14:textId="77777777" w:rsidR="002E05D3" w:rsidRDefault="00000000">
      <w:pPr>
        <w:spacing w:after="160"/>
        <w:jc w:val="both"/>
      </w:pPr>
      <w:r>
        <w:t>The HVC analysis employs the Customer Value Score (CVS) to classify customers into Low, Medium, High, and Premium tiers.</w:t>
      </w:r>
    </w:p>
    <w:p w14:paraId="5FB51430" w14:textId="77777777" w:rsidR="002E05D3" w:rsidRDefault="002E05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1404"/>
        <w:gridCol w:w="1872"/>
        <w:gridCol w:w="1872"/>
      </w:tblGrid>
      <w:tr w:rsidR="002E05D3" w14:paraId="0303AC0B"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D44ED4" w14:textId="77777777" w:rsidR="002E05D3" w:rsidRDefault="00000000">
            <w:pPr>
              <w:jc w:val="center"/>
            </w:pPr>
            <w:r>
              <w:rPr>
                <w:b/>
                <w:bCs/>
                <w:color w:val="FFFFFF"/>
                <w:sz w:val="20"/>
                <w:szCs w:val="20"/>
              </w:rPr>
              <w:t>Value Tier</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E0E93E" w14:textId="77777777" w:rsidR="002E05D3" w:rsidRDefault="00000000">
            <w:pPr>
              <w:jc w:val="center"/>
            </w:pPr>
            <w:r>
              <w:rPr>
                <w:b/>
                <w:bCs/>
                <w:color w:val="FFFFFF"/>
                <w:sz w:val="20"/>
                <w:szCs w:val="20"/>
              </w:rPr>
              <w:t>Total</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60BB46" w14:textId="77777777" w:rsidR="002E05D3" w:rsidRDefault="00000000">
            <w:pPr>
              <w:jc w:val="center"/>
            </w:pPr>
            <w:r>
              <w:rPr>
                <w:b/>
                <w:bCs/>
                <w:color w:val="FFFFFF"/>
                <w:sz w:val="20"/>
                <w:szCs w:val="20"/>
              </w:rPr>
              <w:t>Churned</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FD5EC6" w14:textId="77777777" w:rsidR="002E05D3" w:rsidRDefault="00000000">
            <w:pPr>
              <w:jc w:val="center"/>
            </w:pPr>
            <w:r>
              <w:rPr>
                <w:b/>
                <w:bCs/>
                <w:color w:val="FFFFFF"/>
                <w:sz w:val="20"/>
                <w:szCs w:val="20"/>
              </w:rPr>
              <w:t>Churn Rate</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298C9A" w14:textId="77777777" w:rsidR="002E05D3" w:rsidRDefault="00000000">
            <w:pPr>
              <w:jc w:val="center"/>
            </w:pPr>
            <w:r>
              <w:rPr>
                <w:b/>
                <w:bCs/>
                <w:color w:val="FFFFFF"/>
                <w:sz w:val="20"/>
                <w:szCs w:val="20"/>
              </w:rPr>
              <w:t>Revenue Risk</w:t>
            </w:r>
          </w:p>
        </w:tc>
      </w:tr>
      <w:tr w:rsidR="002E05D3" w14:paraId="7E77F17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3EEBC909" w14:textId="77777777" w:rsidR="002E05D3" w:rsidRDefault="00000000">
            <w:pPr>
              <w:jc w:val="center"/>
            </w:pPr>
            <w:r>
              <w:rPr>
                <w:sz w:val="20"/>
                <w:szCs w:val="20"/>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768C2A19" w14:textId="77777777" w:rsidR="002E05D3" w:rsidRDefault="00000000">
            <w:pPr>
              <w:jc w:val="center"/>
            </w:pPr>
            <w:r>
              <w:rPr>
                <w:sz w:val="20"/>
                <w:szCs w:val="20"/>
              </w:rPr>
              <w:t>479</w:t>
            </w:r>
          </w:p>
        </w:tc>
        <w:tc>
          <w:tcPr>
            <w:tcW w:w="1404"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7A37EB07" w14:textId="77777777" w:rsidR="002E05D3" w:rsidRDefault="00000000">
            <w:pPr>
              <w:jc w:val="center"/>
            </w:pPr>
            <w:r>
              <w:rPr>
                <w:sz w:val="20"/>
                <w:szCs w:val="20"/>
              </w:rPr>
              <w:t>151</w:t>
            </w:r>
          </w:p>
        </w:tc>
        <w:tc>
          <w:tcPr>
            <w:tcW w:w="1872"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4E4065C0" w14:textId="77777777" w:rsidR="002E05D3" w:rsidRDefault="00000000">
            <w:pPr>
              <w:jc w:val="center"/>
            </w:pPr>
            <w:r>
              <w:rPr>
                <w:sz w:val="20"/>
                <w:szCs w:val="20"/>
              </w:rPr>
              <w:t>31.5%</w:t>
            </w:r>
          </w:p>
        </w:tc>
        <w:tc>
          <w:tcPr>
            <w:tcW w:w="1872"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178C5A7B" w14:textId="77777777" w:rsidR="002E05D3" w:rsidRDefault="00000000">
            <w:pPr>
              <w:jc w:val="center"/>
            </w:pPr>
            <w:r>
              <w:rPr>
                <w:sz w:val="20"/>
                <w:szCs w:val="20"/>
              </w:rPr>
              <w:t>Low</w:t>
            </w:r>
          </w:p>
        </w:tc>
      </w:tr>
      <w:tr w:rsidR="002E05D3" w14:paraId="4A87640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6E800" w14:textId="77777777" w:rsidR="002E05D3" w:rsidRDefault="00000000">
            <w:pPr>
              <w:jc w:val="center"/>
            </w:pPr>
            <w:r>
              <w:rPr>
                <w:sz w:val="20"/>
                <w:szCs w:val="20"/>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F2164" w14:textId="77777777" w:rsidR="002E05D3" w:rsidRDefault="00000000">
            <w:pPr>
              <w:jc w:val="center"/>
            </w:pPr>
            <w:r>
              <w:rPr>
                <w:sz w:val="20"/>
                <w:szCs w:val="20"/>
              </w:rPr>
              <w:t>5,755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0C78E" w14:textId="77777777" w:rsidR="002E05D3" w:rsidRDefault="00000000">
            <w:pPr>
              <w:jc w:val="center"/>
            </w:pPr>
            <w:r>
              <w:rPr>
                <w:sz w:val="20"/>
                <w:szCs w:val="20"/>
              </w:rPr>
              <w:t>1,067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45E57" w14:textId="77777777" w:rsidR="002E05D3" w:rsidRDefault="00000000">
            <w:pPr>
              <w:jc w:val="center"/>
            </w:pPr>
            <w:r>
              <w:rPr>
                <w:sz w:val="20"/>
                <w:szCs w:val="20"/>
              </w:rPr>
              <w:t>18.5%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73FB96" w14:textId="77777777" w:rsidR="002E05D3" w:rsidRDefault="00000000">
            <w:pPr>
              <w:jc w:val="center"/>
            </w:pPr>
            <w:r>
              <w:rPr>
                <w:sz w:val="20"/>
                <w:szCs w:val="20"/>
              </w:rPr>
              <w:t>Moderate</w:t>
            </w:r>
          </w:p>
        </w:tc>
      </w:tr>
      <w:tr w:rsidR="002E05D3" w14:paraId="699815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47149B9C" w14:textId="77777777" w:rsidR="002E05D3" w:rsidRDefault="00000000">
            <w:pPr>
              <w:jc w:val="center"/>
            </w:pPr>
            <w:r>
              <w:rPr>
                <w:sz w:val="20"/>
                <w:szCs w:val="20"/>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7CA28550" w14:textId="77777777" w:rsidR="002E05D3" w:rsidRDefault="00000000">
            <w:pPr>
              <w:jc w:val="center"/>
            </w:pPr>
            <w:r>
              <w:rPr>
                <w:sz w:val="20"/>
                <w:szCs w:val="20"/>
              </w:rPr>
              <w:t>3,590</w:t>
            </w:r>
          </w:p>
        </w:tc>
        <w:tc>
          <w:tcPr>
            <w:tcW w:w="1404"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01E13F82" w14:textId="77777777" w:rsidR="002E05D3" w:rsidRDefault="00000000">
            <w:pPr>
              <w:jc w:val="center"/>
            </w:pPr>
            <w:r>
              <w:rPr>
                <w:sz w:val="20"/>
                <w:szCs w:val="20"/>
              </w:rPr>
              <w:t>723</w:t>
            </w:r>
          </w:p>
        </w:tc>
        <w:tc>
          <w:tcPr>
            <w:tcW w:w="1872"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394E1201" w14:textId="77777777" w:rsidR="002E05D3" w:rsidRDefault="00000000">
            <w:pPr>
              <w:jc w:val="center"/>
            </w:pPr>
            <w:r>
              <w:rPr>
                <w:sz w:val="20"/>
                <w:szCs w:val="20"/>
              </w:rPr>
              <w:t>20.1%</w:t>
            </w:r>
          </w:p>
        </w:tc>
        <w:tc>
          <w:tcPr>
            <w:tcW w:w="1872"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0315778D" w14:textId="77777777" w:rsidR="002E05D3" w:rsidRDefault="00000000">
            <w:pPr>
              <w:jc w:val="center"/>
            </w:pPr>
            <w:r>
              <w:rPr>
                <w:sz w:val="20"/>
                <w:szCs w:val="20"/>
              </w:rPr>
              <w:t>High</w:t>
            </w:r>
          </w:p>
        </w:tc>
      </w:tr>
      <w:tr w:rsidR="002E05D3" w14:paraId="38E013A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0A87ED3B" w14:textId="77777777" w:rsidR="002E05D3" w:rsidRDefault="00000000">
            <w:pPr>
              <w:jc w:val="center"/>
            </w:pPr>
            <w:r>
              <w:rPr>
                <w:sz w:val="20"/>
                <w:szCs w:val="20"/>
              </w:rPr>
              <w:t>Premium</w:t>
            </w:r>
          </w:p>
        </w:tc>
        <w:tc>
          <w:tcPr>
            <w:tcW w:w="1872"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1BA49F91" w14:textId="77777777" w:rsidR="002E05D3" w:rsidRDefault="00000000">
            <w:pPr>
              <w:jc w:val="center"/>
            </w:pPr>
            <w:r>
              <w:rPr>
                <w:sz w:val="20"/>
                <w:szCs w:val="20"/>
              </w:rPr>
              <w:t>175</w:t>
            </w:r>
          </w:p>
        </w:tc>
        <w:tc>
          <w:tcPr>
            <w:tcW w:w="1404"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158A3AD2" w14:textId="77777777" w:rsidR="002E05D3" w:rsidRDefault="00000000">
            <w:pPr>
              <w:jc w:val="center"/>
            </w:pPr>
            <w:r>
              <w:rPr>
                <w:sz w:val="20"/>
                <w:szCs w:val="20"/>
              </w:rPr>
              <w:t>95</w:t>
            </w:r>
          </w:p>
        </w:tc>
        <w:tc>
          <w:tcPr>
            <w:tcW w:w="1872"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72FF4627" w14:textId="77777777" w:rsidR="002E05D3" w:rsidRDefault="00000000">
            <w:pPr>
              <w:jc w:val="center"/>
            </w:pPr>
            <w:r>
              <w:rPr>
                <w:sz w:val="20"/>
                <w:szCs w:val="20"/>
              </w:rPr>
              <w:t>54.3%</w:t>
            </w:r>
          </w:p>
        </w:tc>
        <w:tc>
          <w:tcPr>
            <w:tcW w:w="1872"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46334B64" w14:textId="77777777" w:rsidR="002E05D3" w:rsidRDefault="00000000">
            <w:pPr>
              <w:jc w:val="center"/>
            </w:pPr>
            <w:r>
              <w:rPr>
                <w:sz w:val="20"/>
                <w:szCs w:val="20"/>
              </w:rPr>
              <w:t>Critical</w:t>
            </w:r>
          </w:p>
        </w:tc>
      </w:tr>
    </w:tbl>
    <w:p w14:paraId="075F66E2" w14:textId="77777777" w:rsidR="002E05D3" w:rsidRDefault="002E05D3">
      <w:pPr>
        <w:spacing w:after="80"/>
      </w:pPr>
    </w:p>
    <w:p w14:paraId="71FAA4D2" w14:textId="77777777" w:rsidR="002E05D3" w:rsidRDefault="00000000">
      <w:pPr>
        <w:spacing w:after="200"/>
        <w:jc w:val="center"/>
      </w:pPr>
      <w:r>
        <w:rPr>
          <w:i/>
          <w:iCs/>
          <w:color w:val="555555"/>
          <w:sz w:val="19"/>
          <w:szCs w:val="19"/>
        </w:rPr>
        <w:t>Table 8: Customer Value Tier Churn Analysis</w:t>
      </w:r>
    </w:p>
    <w:p w14:paraId="3791F963" w14:textId="77777777" w:rsidR="002E05D3" w:rsidRDefault="002E05D3">
      <w:pPr>
        <w:spacing w:after="80"/>
      </w:pPr>
    </w:p>
    <w:p w14:paraId="7619106C" w14:textId="77777777" w:rsidR="002E05D3" w:rsidRDefault="00000000">
      <w:pPr>
        <w:spacing w:after="80"/>
        <w:jc w:val="center"/>
      </w:pPr>
      <w:r>
        <w:rPr>
          <w:noProof/>
        </w:rPr>
        <w:lastRenderedPageBreak/>
        <w:drawing>
          <wp:inline distT="0" distB="0" distL="0" distR="0" wp14:anchorId="237C0F47" wp14:editId="6962DCD9">
            <wp:extent cx="5905500" cy="2952750"/>
            <wp:effectExtent l="0" t="0" r="0" b="0"/>
            <wp:docPr id="1325967400" name="Picture 132596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952750"/>
                    </a:xfrm>
                    <a:prstGeom prst="rect">
                      <a:avLst/>
                    </a:prstGeom>
                  </pic:spPr>
                </pic:pic>
              </a:graphicData>
            </a:graphic>
          </wp:inline>
        </w:drawing>
      </w:r>
    </w:p>
    <w:p w14:paraId="3A97E7AF" w14:textId="77777777" w:rsidR="002E05D3" w:rsidRDefault="00000000">
      <w:pPr>
        <w:spacing w:after="200"/>
        <w:jc w:val="center"/>
      </w:pPr>
      <w:r>
        <w:rPr>
          <w:i/>
          <w:iCs/>
          <w:color w:val="555555"/>
          <w:sz w:val="19"/>
          <w:szCs w:val="19"/>
        </w:rPr>
        <w:t>Figure 10: HVC Tier Analysis — Premium segment at 54.3% churn rate (Critical revenue risk)</w:t>
      </w:r>
    </w:p>
    <w:p w14:paraId="70A00681" w14:textId="77777777" w:rsidR="002E05D3" w:rsidRDefault="002E05D3">
      <w:pPr>
        <w:spacing w:after="80"/>
      </w:pPr>
    </w:p>
    <w:p w14:paraId="46266C36" w14:textId="77777777" w:rsidR="002E05D3" w:rsidRDefault="00000000">
      <w:pPr>
        <w:spacing w:after="160"/>
        <w:jc w:val="both"/>
      </w:pPr>
      <w:r>
        <w:t>The Premium segment’s 54.3% churn rate is the most alarming finding of this study. Despite comprising only 1.75% of the customer base, Premium customers churning at over half the segment rate represents a catastrophic concentration of revenue risk. These are customers with high balances, multi-product relationships, active engagement, strong credit profiles, and long tenure — and yet they churn at the highest rate of any tier.</w:t>
      </w:r>
    </w:p>
    <w:p w14:paraId="4B123C71" w14:textId="77777777" w:rsidR="002E05D3" w:rsidRDefault="002E05D3">
      <w:pPr>
        <w:spacing w:after="80"/>
      </w:pPr>
    </w:p>
    <w:p w14:paraId="711FD9F8" w14:textId="5967F843" w:rsidR="00263AAF" w:rsidRDefault="00000000" w:rsidP="00263AAF">
      <w:pPr>
        <w:spacing w:after="160"/>
        <w:jc w:val="both"/>
      </w:pPr>
      <w:r>
        <w:t>This counterintuitive result reflects a pattern common in private banking: premium customers, precisely because they are sophisticated financial consumers, are most aware of competitive alternatives and most capable of acting on them. A bank that fails to deliver personalised, high-touch service to this segment loses its highest-value relationships to competitors who do</w:t>
      </w:r>
    </w:p>
    <w:p w14:paraId="08192F71" w14:textId="371D10F2" w:rsidR="002E05D3" w:rsidRDefault="00000000">
      <w:pPr>
        <w:pStyle w:val="Heading1"/>
      </w:pPr>
      <w:r>
        <w:t>5. Key Performance Indicators Summary</w:t>
      </w:r>
    </w:p>
    <w:p w14:paraId="493DC004" w14:textId="77777777" w:rsidR="002E05D3" w:rsidRDefault="002E05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2E05D3" w14:paraId="7C149A9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FC3B9C" w14:textId="77777777" w:rsidR="002E05D3" w:rsidRDefault="00000000">
            <w:pPr>
              <w:jc w:val="center"/>
            </w:pPr>
            <w:r>
              <w:rPr>
                <w:b/>
                <w:bCs/>
                <w:color w:val="FFFFFF"/>
                <w:sz w:val="20"/>
                <w:szCs w:val="20"/>
              </w:rPr>
              <w:t>KPI</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87A790" w14:textId="77777777" w:rsidR="002E05D3" w:rsidRDefault="00000000">
            <w:pPr>
              <w:jc w:val="center"/>
            </w:pPr>
            <w:r>
              <w:rPr>
                <w:b/>
                <w:bCs/>
                <w:color w:val="FFFFFF"/>
                <w:sz w:val="20"/>
                <w:szCs w:val="20"/>
              </w:rPr>
              <w:t>Value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341BA0" w14:textId="77777777" w:rsidR="002E05D3" w:rsidRDefault="00000000">
            <w:pPr>
              <w:jc w:val="center"/>
            </w:pPr>
            <w:r>
              <w:rPr>
                <w:b/>
                <w:bCs/>
                <w:color w:val="FFFFFF"/>
                <w:sz w:val="20"/>
                <w:szCs w:val="20"/>
              </w:rPr>
              <w:t>Interpretation</w:t>
            </w:r>
          </w:p>
        </w:tc>
      </w:tr>
      <w:tr w:rsidR="002E05D3" w14:paraId="334D55CE"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3D7ABDE3" w14:textId="77777777" w:rsidR="002E05D3" w:rsidRDefault="00000000">
            <w:pPr>
              <w:jc w:val="center"/>
            </w:pPr>
            <w:r>
              <w:rPr>
                <w:sz w:val="20"/>
                <w:szCs w:val="20"/>
              </w:rPr>
              <w:t>Overall Churn Rate</w:t>
            </w:r>
          </w:p>
        </w:tc>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8D38834" w14:textId="77777777" w:rsidR="002E05D3" w:rsidRDefault="00000000">
            <w:pPr>
              <w:jc w:val="center"/>
            </w:pPr>
            <w:r>
              <w:rPr>
                <w:sz w:val="20"/>
                <w:szCs w:val="20"/>
              </w:rPr>
              <w:t>20.4%</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561D0B74" w14:textId="77777777" w:rsidR="002E05D3" w:rsidRDefault="00000000">
            <w:pPr>
              <w:jc w:val="center"/>
            </w:pPr>
            <w:r>
              <w:rPr>
                <w:sz w:val="20"/>
                <w:szCs w:val="20"/>
              </w:rPr>
              <w:t>Above European industry benchmark (10–15%)</w:t>
            </w:r>
          </w:p>
        </w:tc>
      </w:tr>
      <w:tr w:rsidR="002E05D3" w14:paraId="3EE9A0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1928F" w14:textId="77777777" w:rsidR="002E05D3" w:rsidRDefault="00000000">
            <w:pPr>
              <w:jc w:val="center"/>
            </w:pPr>
            <w:r>
              <w:rPr>
                <w:sz w:val="20"/>
                <w:szCs w:val="20"/>
              </w:rPr>
              <w:t>Highest Geographic Churn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C03FCE" w14:textId="77777777" w:rsidR="002E05D3" w:rsidRDefault="00000000">
            <w:pPr>
              <w:jc w:val="center"/>
            </w:pPr>
            <w:r>
              <w:rPr>
                <w:sz w:val="20"/>
                <w:szCs w:val="20"/>
              </w:rPr>
              <w:t>Germany: 32.4%</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CA318" w14:textId="77777777" w:rsidR="002E05D3" w:rsidRDefault="00000000">
            <w:pPr>
              <w:jc w:val="center"/>
            </w:pPr>
            <w:r>
              <w:rPr>
                <w:sz w:val="20"/>
                <w:szCs w:val="20"/>
              </w:rPr>
              <w:t>2× higher than France/Spain</w:t>
            </w:r>
          </w:p>
        </w:tc>
      </w:tr>
      <w:tr w:rsidR="002E05D3" w14:paraId="538CFF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3C773E2" w14:textId="77777777" w:rsidR="002E05D3" w:rsidRDefault="00000000">
            <w:pPr>
              <w:jc w:val="center"/>
            </w:pPr>
            <w:r>
              <w:rPr>
                <w:sz w:val="20"/>
                <w:szCs w:val="20"/>
              </w:rPr>
              <w:t>Age Segment Churn Leader</w:t>
            </w:r>
          </w:p>
        </w:tc>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35B5720E" w14:textId="77777777" w:rsidR="002E05D3" w:rsidRDefault="00000000">
            <w:pPr>
              <w:jc w:val="center"/>
            </w:pPr>
            <w:r>
              <w:rPr>
                <w:sz w:val="20"/>
                <w:szCs w:val="20"/>
              </w:rPr>
              <w:t>30–45 yrs: 65.9%</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0CE54B78" w14:textId="77777777" w:rsidR="002E05D3" w:rsidRDefault="00000000">
            <w:pPr>
              <w:jc w:val="center"/>
            </w:pPr>
            <w:r>
              <w:rPr>
                <w:sz w:val="20"/>
                <w:szCs w:val="20"/>
              </w:rPr>
              <w:t>Core demographic — highest priority segment</w:t>
            </w:r>
          </w:p>
        </w:tc>
      </w:tr>
      <w:tr w:rsidR="002E05D3" w14:paraId="2EF4235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21B6E" w14:textId="77777777" w:rsidR="002E05D3" w:rsidRDefault="00000000">
            <w:pPr>
              <w:jc w:val="center"/>
            </w:pPr>
            <w:r>
              <w:rPr>
                <w:sz w:val="20"/>
                <w:szCs w:val="20"/>
              </w:rPr>
              <w:t>Gender Churn Gap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334FB" w14:textId="77777777" w:rsidR="002E05D3" w:rsidRDefault="00000000">
            <w:pPr>
              <w:jc w:val="center"/>
            </w:pPr>
            <w:r>
              <w:rPr>
                <w:sz w:val="20"/>
                <w:szCs w:val="20"/>
              </w:rPr>
              <w:t>~8.6 pp (F vs 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48236" w14:textId="77777777" w:rsidR="002E05D3" w:rsidRDefault="00000000">
            <w:pPr>
              <w:jc w:val="center"/>
            </w:pPr>
            <w:r>
              <w:rPr>
                <w:sz w:val="20"/>
                <w:szCs w:val="20"/>
              </w:rPr>
              <w:t>Females churn disproportionately higher</w:t>
            </w:r>
          </w:p>
        </w:tc>
      </w:tr>
      <w:tr w:rsidR="002E05D3" w14:paraId="086D005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66FD8724" w14:textId="77777777" w:rsidR="002E05D3" w:rsidRDefault="00000000">
            <w:pPr>
              <w:jc w:val="center"/>
            </w:pPr>
            <w:r>
              <w:rPr>
                <w:sz w:val="20"/>
                <w:szCs w:val="20"/>
              </w:rPr>
              <w:t>Tenure Paradox</w:t>
            </w:r>
          </w:p>
        </w:tc>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2736608C" w14:textId="77777777" w:rsidR="002E05D3" w:rsidRDefault="00000000">
            <w:pPr>
              <w:jc w:val="center"/>
            </w:pPr>
            <w:r>
              <w:rPr>
                <w:sz w:val="20"/>
                <w:szCs w:val="20"/>
              </w:rPr>
              <w:t>Long-term: 61.4% of churn</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6C22A6FC" w14:textId="77777777" w:rsidR="002E05D3" w:rsidRDefault="00000000">
            <w:pPr>
              <w:jc w:val="center"/>
            </w:pPr>
            <w:r>
              <w:rPr>
                <w:sz w:val="20"/>
                <w:szCs w:val="20"/>
              </w:rPr>
              <w:t>Loyalty ≠ retention without active engagement</w:t>
            </w:r>
          </w:p>
        </w:tc>
      </w:tr>
      <w:tr w:rsidR="002E05D3" w14:paraId="7D0D2F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3E280" w14:textId="77777777" w:rsidR="002E05D3" w:rsidRDefault="00000000">
            <w:pPr>
              <w:jc w:val="center"/>
            </w:pPr>
            <w:r>
              <w:rPr>
                <w:sz w:val="20"/>
                <w:szCs w:val="20"/>
              </w:rPr>
              <w:t>Credit Score Churn Leader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525DD" w14:textId="77777777" w:rsidR="002E05D3" w:rsidRDefault="00000000">
            <w:pPr>
              <w:jc w:val="center"/>
            </w:pPr>
            <w:r>
              <w:rPr>
                <w:sz w:val="20"/>
                <w:szCs w:val="20"/>
              </w:rPr>
              <w:t>Medium band: 50.5%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A4F33" w14:textId="77777777" w:rsidR="002E05D3" w:rsidRDefault="00000000">
            <w:pPr>
              <w:jc w:val="center"/>
            </w:pPr>
            <w:r>
              <w:rPr>
                <w:sz w:val="20"/>
                <w:szCs w:val="20"/>
              </w:rPr>
              <w:t>Largest volume; Low band has highest rate</w:t>
            </w:r>
          </w:p>
        </w:tc>
      </w:tr>
      <w:tr w:rsidR="002E05D3" w14:paraId="5285A3C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7DD298D3" w14:textId="77777777" w:rsidR="002E05D3" w:rsidRDefault="00000000">
            <w:pPr>
              <w:jc w:val="center"/>
            </w:pPr>
            <w:r>
              <w:rPr>
                <w:sz w:val="20"/>
                <w:szCs w:val="20"/>
              </w:rPr>
              <w:lastRenderedPageBreak/>
              <w:t>Balance Churn Split</w:t>
            </w:r>
          </w:p>
        </w:tc>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133DE325" w14:textId="77777777" w:rsidR="002E05D3" w:rsidRDefault="00000000">
            <w:pPr>
              <w:jc w:val="center"/>
            </w:pPr>
            <w:r>
              <w:rPr>
                <w:sz w:val="20"/>
                <w:szCs w:val="20"/>
              </w:rPr>
              <w:t>Zero: 39.1% | Mid: 36.9% | High: 24%</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20" w:type="dxa"/>
              <w:bottom w:w="60" w:type="dxa"/>
              <w:right w:w="120" w:type="dxa"/>
            </w:tcMar>
          </w:tcPr>
          <w:p w14:paraId="483FCC19" w14:textId="77777777" w:rsidR="002E05D3" w:rsidRDefault="00000000">
            <w:pPr>
              <w:jc w:val="center"/>
            </w:pPr>
            <w:r>
              <w:rPr>
                <w:sz w:val="20"/>
                <w:szCs w:val="20"/>
              </w:rPr>
              <w:t>Zero-balance disengagement leads by volume</w:t>
            </w:r>
          </w:p>
        </w:tc>
      </w:tr>
      <w:tr w:rsidR="002E05D3" w14:paraId="10E74F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6BE85105" w14:textId="77777777" w:rsidR="002E05D3" w:rsidRDefault="00000000">
            <w:pPr>
              <w:jc w:val="center"/>
            </w:pPr>
            <w:r>
              <w:rPr>
                <w:sz w:val="20"/>
                <w:szCs w:val="20"/>
              </w:rPr>
              <w:t>Premium Segment Churn Rate</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4A791D35" w14:textId="77777777" w:rsidR="002E05D3" w:rsidRDefault="00000000">
            <w:pPr>
              <w:jc w:val="center"/>
            </w:pPr>
            <w:r>
              <w:rPr>
                <w:sz w:val="20"/>
                <w:szCs w:val="20"/>
              </w:rPr>
              <w:t>54.3%</w:t>
            </w:r>
          </w:p>
        </w:tc>
        <w:tc>
          <w:tcPr>
            <w:tcW w:w="3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14:paraId="236265C7" w14:textId="77777777" w:rsidR="002E05D3" w:rsidRDefault="00000000">
            <w:pPr>
              <w:jc w:val="center"/>
            </w:pPr>
            <w:r>
              <w:rPr>
                <w:sz w:val="20"/>
                <w:szCs w:val="20"/>
              </w:rPr>
              <w:t>Critical — highest revenue risk concentration</w:t>
            </w:r>
          </w:p>
        </w:tc>
      </w:tr>
    </w:tbl>
    <w:p w14:paraId="14EFE9EB" w14:textId="77777777" w:rsidR="002E05D3" w:rsidRDefault="002E05D3">
      <w:pPr>
        <w:spacing w:after="80"/>
      </w:pPr>
    </w:p>
    <w:p w14:paraId="52ED8FEC" w14:textId="77777777" w:rsidR="002E05D3" w:rsidRDefault="00000000">
      <w:pPr>
        <w:spacing w:after="200"/>
        <w:jc w:val="center"/>
      </w:pPr>
      <w:r>
        <w:rPr>
          <w:i/>
          <w:iCs/>
          <w:color w:val="555555"/>
          <w:sz w:val="19"/>
          <w:szCs w:val="19"/>
        </w:rPr>
        <w:t>Table 9: Key Performance Indicators — Consolidated Summary</w:t>
      </w:r>
    </w:p>
    <w:p w14:paraId="2A7C6E0B" w14:textId="5D078475" w:rsidR="00263AAF" w:rsidRDefault="00263AAF" w:rsidP="00263AAF"/>
    <w:p w14:paraId="53BB1D24" w14:textId="27EC2CB9" w:rsidR="002E05D3" w:rsidRDefault="00000000">
      <w:pPr>
        <w:pStyle w:val="Heading1"/>
      </w:pPr>
      <w:r>
        <w:t>6. Strategic Recommendations</w:t>
      </w:r>
    </w:p>
    <w:p w14:paraId="4C59E331" w14:textId="77777777" w:rsidR="002E05D3" w:rsidRDefault="00000000">
      <w:pPr>
        <w:pStyle w:val="Heading2"/>
      </w:pPr>
      <w:r>
        <w:t>6.1 Germany-Specific Retention Programme</w:t>
      </w:r>
    </w:p>
    <w:p w14:paraId="2F6DA4F8" w14:textId="77777777" w:rsidR="002E05D3" w:rsidRDefault="00000000">
      <w:pPr>
        <w:spacing w:after="160"/>
        <w:jc w:val="both"/>
      </w:pPr>
      <w:r>
        <w:t>Germany’s 32.4% churn rate — double France and Spain — warrants a dedicated country-specific programme:</w:t>
      </w:r>
    </w:p>
    <w:p w14:paraId="1C5E9397" w14:textId="77777777" w:rsidR="002E05D3" w:rsidRDefault="00000000">
      <w:pPr>
        <w:pStyle w:val="ListParagraph"/>
        <w:numPr>
          <w:ilvl w:val="0"/>
          <w:numId w:val="2"/>
        </w:numPr>
        <w:spacing w:after="80"/>
      </w:pPr>
      <w:r>
        <w:t>Deploy personalised relationship manager outreach to high-balance German customers.</w:t>
      </w:r>
    </w:p>
    <w:p w14:paraId="7350C4FF" w14:textId="77777777" w:rsidR="002E05D3" w:rsidRDefault="00000000">
      <w:pPr>
        <w:pStyle w:val="ListParagraph"/>
        <w:numPr>
          <w:ilvl w:val="0"/>
          <w:numId w:val="2"/>
        </w:numPr>
        <w:spacing w:after="80"/>
      </w:pPr>
      <w:r>
        <w:t>Conduct competitive positioning analysis specific to the German market to identify service gaps versus local and digital-native competitors.</w:t>
      </w:r>
    </w:p>
    <w:p w14:paraId="7CA24CDD" w14:textId="77777777" w:rsidR="002E05D3" w:rsidRDefault="00000000">
      <w:pPr>
        <w:pStyle w:val="ListParagraph"/>
        <w:numPr>
          <w:ilvl w:val="0"/>
          <w:numId w:val="2"/>
        </w:numPr>
        <w:spacing w:after="80"/>
      </w:pPr>
      <w:r>
        <w:t>Introduce German-market-specific product bundles with enhanced switching costs.</w:t>
      </w:r>
    </w:p>
    <w:p w14:paraId="796BBF94" w14:textId="77777777" w:rsidR="002E05D3" w:rsidRDefault="00000000">
      <w:pPr>
        <w:pStyle w:val="ListParagraph"/>
        <w:numPr>
          <w:ilvl w:val="0"/>
          <w:numId w:val="2"/>
        </w:numPr>
        <w:spacing w:after="80"/>
      </w:pPr>
      <w:r>
        <w:t>Commission qualitative exit interview research to identify primary churn triggers.</w:t>
      </w:r>
    </w:p>
    <w:p w14:paraId="35A1965D" w14:textId="77777777" w:rsidR="002E05D3" w:rsidRDefault="00000000">
      <w:pPr>
        <w:pStyle w:val="Heading2"/>
      </w:pPr>
      <w:r>
        <w:t>6.2 Female Customer Retention Strategy</w:t>
      </w:r>
    </w:p>
    <w:p w14:paraId="13124288" w14:textId="77777777" w:rsidR="002E05D3" w:rsidRDefault="00000000">
      <w:pPr>
        <w:spacing w:after="160"/>
        <w:jc w:val="both"/>
      </w:pPr>
      <w:r>
        <w:t>The ~8.6 percentage point gender churn gap demands a dedicated female-customer initiative:</w:t>
      </w:r>
    </w:p>
    <w:p w14:paraId="3E8F1F97" w14:textId="77777777" w:rsidR="002E05D3" w:rsidRDefault="00000000">
      <w:pPr>
        <w:pStyle w:val="ListParagraph"/>
        <w:numPr>
          <w:ilvl w:val="0"/>
          <w:numId w:val="2"/>
        </w:numPr>
        <w:spacing w:after="80"/>
      </w:pPr>
      <w:r>
        <w:t>Audit current product and communication design for gender-inclusive financial service alignment.</w:t>
      </w:r>
    </w:p>
    <w:p w14:paraId="13BBC8F0" w14:textId="77777777" w:rsidR="002E05D3" w:rsidRDefault="00000000">
      <w:pPr>
        <w:pStyle w:val="ListParagraph"/>
        <w:numPr>
          <w:ilvl w:val="0"/>
          <w:numId w:val="2"/>
        </w:numPr>
        <w:spacing w:after="80"/>
      </w:pPr>
      <w:r>
        <w:t>Develop female-targeted financial wellness and investment advisory programmes.</w:t>
      </w:r>
    </w:p>
    <w:p w14:paraId="261853F0" w14:textId="77777777" w:rsidR="002E05D3" w:rsidRDefault="00000000">
      <w:pPr>
        <w:pStyle w:val="ListParagraph"/>
        <w:numPr>
          <w:ilvl w:val="0"/>
          <w:numId w:val="2"/>
        </w:numPr>
        <w:spacing w:after="80"/>
      </w:pPr>
      <w:r>
        <w:t>Introduce outcome-based loyalty recognition programmes aligned with female financial goals.</w:t>
      </w:r>
    </w:p>
    <w:p w14:paraId="0E58F33C" w14:textId="77777777" w:rsidR="002E05D3" w:rsidRDefault="00000000">
      <w:pPr>
        <w:pStyle w:val="Heading2"/>
      </w:pPr>
      <w:r>
        <w:t>6.3 Premium &amp; High-Value Customer Protection</w:t>
      </w:r>
    </w:p>
    <w:p w14:paraId="0577FE7F" w14:textId="77777777" w:rsidR="002E05D3" w:rsidRDefault="00000000">
      <w:pPr>
        <w:spacing w:after="160"/>
        <w:jc w:val="both"/>
      </w:pPr>
      <w:r>
        <w:t>The 54.3% Premium-tier churn rate is the highest-priority strategic challenge:</w:t>
      </w:r>
    </w:p>
    <w:p w14:paraId="676AFC5E" w14:textId="77777777" w:rsidR="002E05D3" w:rsidRDefault="00000000">
      <w:pPr>
        <w:pStyle w:val="ListParagraph"/>
        <w:numPr>
          <w:ilvl w:val="0"/>
          <w:numId w:val="2"/>
        </w:numPr>
        <w:spacing w:after="80"/>
      </w:pPr>
      <w:r>
        <w:t>Assign dedicated private banking relationship managers to all Premium-tier customers.</w:t>
      </w:r>
    </w:p>
    <w:p w14:paraId="0E607EC3" w14:textId="77777777" w:rsidR="002E05D3" w:rsidRDefault="00000000">
      <w:pPr>
        <w:pStyle w:val="ListParagraph"/>
        <w:numPr>
          <w:ilvl w:val="0"/>
          <w:numId w:val="2"/>
        </w:numPr>
        <w:spacing w:after="80"/>
      </w:pPr>
      <w:r>
        <w:t>Implement a ‘Red Alert’ churn trigger system for any Premium customer exhibiting product reduction, balance decline, or engagement drop.</w:t>
      </w:r>
    </w:p>
    <w:p w14:paraId="26EBC5CC" w14:textId="77777777" w:rsidR="002E05D3" w:rsidRDefault="00000000">
      <w:pPr>
        <w:pStyle w:val="ListParagraph"/>
        <w:numPr>
          <w:ilvl w:val="0"/>
          <w:numId w:val="2"/>
        </w:numPr>
        <w:spacing w:after="80"/>
      </w:pPr>
      <w:r>
        <w:t>Design exclusive VIP service SLAs and proactive annual financial health reviews.</w:t>
      </w:r>
    </w:p>
    <w:p w14:paraId="3E0FFD79" w14:textId="77777777" w:rsidR="002E05D3" w:rsidRDefault="00000000">
      <w:pPr>
        <w:pStyle w:val="ListParagraph"/>
        <w:numPr>
          <w:ilvl w:val="0"/>
          <w:numId w:val="2"/>
        </w:numPr>
        <w:spacing w:after="80"/>
      </w:pPr>
      <w:r>
        <w:t>Introduce contractual loyalty incentives creating structured switching costs.</w:t>
      </w:r>
    </w:p>
    <w:p w14:paraId="067BE70C" w14:textId="77777777" w:rsidR="002E05D3" w:rsidRDefault="00000000">
      <w:pPr>
        <w:pStyle w:val="Heading2"/>
      </w:pPr>
      <w:r>
        <w:t>6.4 Tenure Paradox Intervention</w:t>
      </w:r>
    </w:p>
    <w:p w14:paraId="5A5B73E6" w14:textId="77777777" w:rsidR="002E05D3" w:rsidRDefault="00000000">
      <w:pPr>
        <w:spacing w:after="160"/>
        <w:jc w:val="both"/>
      </w:pPr>
      <w:r>
        <w:t>Long-term customers (&gt;7 years) account for 61.4% of churn:</w:t>
      </w:r>
    </w:p>
    <w:p w14:paraId="017A35C5" w14:textId="77777777" w:rsidR="002E05D3" w:rsidRDefault="00000000">
      <w:pPr>
        <w:pStyle w:val="ListParagraph"/>
        <w:numPr>
          <w:ilvl w:val="0"/>
          <w:numId w:val="2"/>
        </w:numPr>
        <w:spacing w:after="80"/>
      </w:pPr>
      <w:r>
        <w:t>Establish a ‘Loyalty Milestone’ programme activating special benefits at 5-year and 10-year tenure marks.</w:t>
      </w:r>
    </w:p>
    <w:p w14:paraId="486D79AB" w14:textId="77777777" w:rsidR="002E05D3" w:rsidRDefault="00000000">
      <w:pPr>
        <w:pStyle w:val="ListParagraph"/>
        <w:numPr>
          <w:ilvl w:val="0"/>
          <w:numId w:val="2"/>
        </w:numPr>
        <w:spacing w:after="80"/>
      </w:pPr>
      <w:r>
        <w:lastRenderedPageBreak/>
        <w:t>Proactively re-onboard long-tenure customers with modern product offerings and digital platform engagement.</w:t>
      </w:r>
    </w:p>
    <w:p w14:paraId="2AE16A51" w14:textId="77777777" w:rsidR="002E05D3" w:rsidRDefault="00000000">
      <w:pPr>
        <w:pStyle w:val="ListParagraph"/>
        <w:numPr>
          <w:ilvl w:val="0"/>
          <w:numId w:val="2"/>
        </w:numPr>
        <w:spacing w:after="80"/>
      </w:pPr>
      <w:r>
        <w:t>Identify ‘silent churners’ — long-tenure customers with declining activity — and trigger campaigns before formal exit.</w:t>
      </w:r>
    </w:p>
    <w:p w14:paraId="24B87886" w14:textId="77777777" w:rsidR="002E05D3" w:rsidRDefault="00000000">
      <w:pPr>
        <w:pStyle w:val="Heading2"/>
      </w:pPr>
      <w:r>
        <w:t>6.5 Age-Targeted Retention Campaigns</w:t>
      </w:r>
    </w:p>
    <w:p w14:paraId="53F47103" w14:textId="77777777" w:rsidR="002E05D3" w:rsidRDefault="00000000">
      <w:pPr>
        <w:spacing w:after="160"/>
        <w:jc w:val="both"/>
      </w:pPr>
      <w:r>
        <w:t>The 30–45 age band (65.9% of churn) should receive primary retention marketing investment:</w:t>
      </w:r>
    </w:p>
    <w:p w14:paraId="63A0731A" w14:textId="77777777" w:rsidR="002E05D3" w:rsidRDefault="00000000">
      <w:pPr>
        <w:pStyle w:val="ListParagraph"/>
        <w:numPr>
          <w:ilvl w:val="0"/>
          <w:numId w:val="2"/>
        </w:numPr>
        <w:spacing w:after="80"/>
      </w:pPr>
      <w:r>
        <w:t>Deploy lifecycle-stage marketing addressing key 30–45 financial events: property purchase, family formation, wealth product initiation.</w:t>
      </w:r>
    </w:p>
    <w:p w14:paraId="1D6CA5AF" w14:textId="77777777" w:rsidR="002E05D3" w:rsidRDefault="00000000">
      <w:pPr>
        <w:pStyle w:val="ListParagraph"/>
        <w:numPr>
          <w:ilvl w:val="0"/>
          <w:numId w:val="2"/>
        </w:numPr>
        <w:spacing w:after="80"/>
      </w:pPr>
      <w:r>
        <w:t>Develop a competitive product suite directly countering fintech and challenger bank offerings.</w:t>
      </w:r>
    </w:p>
    <w:p w14:paraId="6C1CDA00" w14:textId="77777777" w:rsidR="002E05D3" w:rsidRDefault="00000000">
      <w:pPr>
        <w:pStyle w:val="ListParagraph"/>
        <w:numPr>
          <w:ilvl w:val="0"/>
          <w:numId w:val="2"/>
        </w:numPr>
        <w:spacing w:after="80"/>
      </w:pPr>
      <w:r>
        <w:t>Introduce gamified financial wellbeing tools and mobile-first engagement for under-30 customers.</w:t>
      </w:r>
    </w:p>
    <w:p w14:paraId="29E43161" w14:textId="77777777" w:rsidR="002E05D3" w:rsidRDefault="00000000">
      <w:pPr>
        <w:pStyle w:val="Heading2"/>
      </w:pPr>
      <w:r>
        <w:t>6.6 Zero-Balance Re-Engagement</w:t>
      </w:r>
    </w:p>
    <w:p w14:paraId="324727FC" w14:textId="77777777" w:rsidR="002E05D3" w:rsidRDefault="00000000">
      <w:pPr>
        <w:spacing w:after="160"/>
        <w:jc w:val="both"/>
      </w:pPr>
      <w:r>
        <w:t>Zero-balance customers (39.1% of churn) require proactive re-activation:</w:t>
      </w:r>
    </w:p>
    <w:p w14:paraId="6ED5CEE7" w14:textId="77777777" w:rsidR="002E05D3" w:rsidRDefault="00000000">
      <w:pPr>
        <w:pStyle w:val="ListParagraph"/>
        <w:numPr>
          <w:ilvl w:val="0"/>
          <w:numId w:val="2"/>
        </w:numPr>
        <w:spacing w:after="80"/>
      </w:pPr>
      <w:r>
        <w:t xml:space="preserve">Design a </w:t>
      </w:r>
      <w:proofErr w:type="spellStart"/>
      <w:r>
        <w:t>‘Re</w:t>
      </w:r>
      <w:proofErr w:type="spellEnd"/>
      <w:r>
        <w:t>-Activation Campaign’ targeting zero-balance accounts with personalised incentives before formal exit.</w:t>
      </w:r>
    </w:p>
    <w:p w14:paraId="1B6F6463" w14:textId="77777777" w:rsidR="002E05D3" w:rsidRDefault="00000000">
      <w:pPr>
        <w:pStyle w:val="ListParagraph"/>
        <w:numPr>
          <w:ilvl w:val="0"/>
          <w:numId w:val="2"/>
        </w:numPr>
        <w:spacing w:after="80"/>
      </w:pPr>
      <w:r>
        <w:t>Establish automated triggers for any account balance-to-zero event to activate a 30-day re-engagement sequence.</w:t>
      </w:r>
    </w:p>
    <w:p w14:paraId="0E026286" w14:textId="3219EED5" w:rsidR="00263AAF" w:rsidRDefault="00263AAF" w:rsidP="00263AAF"/>
    <w:p w14:paraId="71729F0B" w14:textId="1721FD62" w:rsidR="002E05D3" w:rsidRDefault="00000000">
      <w:pPr>
        <w:pStyle w:val="Heading1"/>
      </w:pPr>
      <w:r>
        <w:t>7. Limitations &amp; Future Research</w:t>
      </w:r>
    </w:p>
    <w:p w14:paraId="554C5784" w14:textId="77777777" w:rsidR="002E05D3" w:rsidRDefault="00000000">
      <w:pPr>
        <w:pStyle w:val="Heading2"/>
      </w:pPr>
      <w:r>
        <w:t>7.1 Study Limitations</w:t>
      </w:r>
    </w:p>
    <w:p w14:paraId="6CC639CB" w14:textId="77777777" w:rsidR="002E05D3" w:rsidRDefault="00000000">
      <w:pPr>
        <w:pStyle w:val="ListParagraph"/>
        <w:numPr>
          <w:ilvl w:val="0"/>
          <w:numId w:val="2"/>
        </w:numPr>
        <w:spacing w:after="80"/>
      </w:pPr>
      <w:r>
        <w:t>EDA scope only; predictive modelling (</w:t>
      </w:r>
      <w:proofErr w:type="spellStart"/>
      <w:r>
        <w:t>XGBoost</w:t>
      </w:r>
      <w:proofErr w:type="spellEnd"/>
      <w:r>
        <w:t>, logistic regression, neural networks) would quantify churn probability at the individual customer level.</w:t>
      </w:r>
    </w:p>
    <w:p w14:paraId="0BA40E98" w14:textId="77777777" w:rsidR="002E05D3" w:rsidRDefault="00000000">
      <w:pPr>
        <w:pStyle w:val="ListParagraph"/>
        <w:numPr>
          <w:ilvl w:val="0"/>
          <w:numId w:val="2"/>
        </w:numPr>
        <w:spacing w:after="80"/>
      </w:pPr>
      <w:r>
        <w:t>Dataset lacks temporal dimensions (transaction history, frequency); longitudinal data would enrich churn causality analysis.</w:t>
      </w:r>
    </w:p>
    <w:p w14:paraId="2FD09BC9" w14:textId="77777777" w:rsidR="002E05D3" w:rsidRDefault="00000000">
      <w:pPr>
        <w:pStyle w:val="ListParagraph"/>
        <w:numPr>
          <w:ilvl w:val="0"/>
          <w:numId w:val="2"/>
        </w:numPr>
        <w:spacing w:after="80"/>
      </w:pPr>
      <w:r>
        <w:t>Geographic segmentation limited to country level; sub-national regional analysis may reveal additional heterogeneity.</w:t>
      </w:r>
    </w:p>
    <w:p w14:paraId="70F53B31" w14:textId="77777777" w:rsidR="002E05D3" w:rsidRDefault="00000000">
      <w:pPr>
        <w:pStyle w:val="ListParagraph"/>
        <w:numPr>
          <w:ilvl w:val="0"/>
          <w:numId w:val="2"/>
        </w:numPr>
        <w:spacing w:after="80"/>
      </w:pPr>
      <w:r>
        <w:t>Estimated salary variable introduces potential measurement error.</w:t>
      </w:r>
    </w:p>
    <w:p w14:paraId="0AECCA74" w14:textId="77777777" w:rsidR="002E05D3" w:rsidRDefault="00000000">
      <w:pPr>
        <w:pStyle w:val="Heading2"/>
      </w:pPr>
      <w:r>
        <w:t>7.2 Future Research Directions</w:t>
      </w:r>
    </w:p>
    <w:p w14:paraId="391F7D29" w14:textId="77777777" w:rsidR="002E05D3" w:rsidRDefault="00000000">
      <w:pPr>
        <w:pStyle w:val="ListParagraph"/>
        <w:numPr>
          <w:ilvl w:val="0"/>
          <w:numId w:val="2"/>
        </w:numPr>
        <w:spacing w:after="80"/>
      </w:pPr>
      <w:r>
        <w:t>Predictive churn modelling using ensemble methods trained on this segmented dataset.</w:t>
      </w:r>
    </w:p>
    <w:p w14:paraId="08117081" w14:textId="77777777" w:rsidR="002E05D3" w:rsidRDefault="00000000">
      <w:pPr>
        <w:pStyle w:val="ListParagraph"/>
        <w:numPr>
          <w:ilvl w:val="0"/>
          <w:numId w:val="2"/>
        </w:numPr>
        <w:spacing w:after="80"/>
      </w:pPr>
      <w:r>
        <w:t>Customer Lifetime Value (CLV) modelling to quantify the financial cost of churn by segment.</w:t>
      </w:r>
    </w:p>
    <w:p w14:paraId="2015B9D7" w14:textId="77777777" w:rsidR="002E05D3" w:rsidRDefault="00000000">
      <w:pPr>
        <w:pStyle w:val="ListParagraph"/>
        <w:numPr>
          <w:ilvl w:val="0"/>
          <w:numId w:val="2"/>
        </w:numPr>
        <w:spacing w:after="80"/>
      </w:pPr>
      <w:r>
        <w:t>A/B testing of retention interventions designed from findings in this study.</w:t>
      </w:r>
    </w:p>
    <w:p w14:paraId="7C8730B0" w14:textId="77777777" w:rsidR="002E05D3" w:rsidRDefault="00000000">
      <w:pPr>
        <w:pStyle w:val="ListParagraph"/>
        <w:numPr>
          <w:ilvl w:val="0"/>
          <w:numId w:val="2"/>
        </w:numPr>
        <w:spacing w:after="80"/>
      </w:pPr>
      <w:r>
        <w:t>NLP analysis of customer service transcripts to identify qualitative churn precursors.</w:t>
      </w:r>
    </w:p>
    <w:p w14:paraId="02C63046" w14:textId="323ADC4B" w:rsidR="00263AAF" w:rsidRDefault="00263AAF" w:rsidP="00263AAF"/>
    <w:p w14:paraId="3449116E" w14:textId="227F2549" w:rsidR="002E05D3" w:rsidRDefault="00000000">
      <w:pPr>
        <w:pStyle w:val="Heading1"/>
      </w:pPr>
      <w:r>
        <w:t>8. Conclusion</w:t>
      </w:r>
    </w:p>
    <w:p w14:paraId="722E81F9" w14:textId="77777777" w:rsidR="002E05D3" w:rsidRDefault="00000000">
      <w:pPr>
        <w:spacing w:after="160"/>
        <w:jc w:val="both"/>
      </w:pPr>
      <w:r>
        <w:lastRenderedPageBreak/>
        <w:t>This study presents a comprehensive, segmentation-driven exploratory analysis of customer churn in European retail banking, based on a dataset of 10,000 customers across France, Germany, and Spain. The overall churn rate of 20.4% is above European industry benchmarks, with significant variation across geographic, demographic, and financial profile dimensions.</w:t>
      </w:r>
    </w:p>
    <w:p w14:paraId="7D3D2590" w14:textId="77777777" w:rsidR="002E05D3" w:rsidRDefault="002E05D3">
      <w:pPr>
        <w:spacing w:after="80"/>
      </w:pPr>
    </w:p>
    <w:p w14:paraId="2DD70C1C" w14:textId="77777777" w:rsidR="002E05D3" w:rsidRDefault="00000000">
      <w:pPr>
        <w:spacing w:after="160"/>
        <w:jc w:val="both"/>
      </w:pPr>
      <w:r>
        <w:t>Germany emerges as the highest-risk geography at 32.4%. Female customers churn at a rate nearly 9 percentage points higher than males. The 30–45 age cohort contributes 65.9% of total churn. Long-term customers paradoxically account for 61.4% of churned volume. Most critically, Premium-tier customers exhibit a 54.3% churn rate — the greatest concentration of strategic revenue risk in the entire analysis.</w:t>
      </w:r>
    </w:p>
    <w:p w14:paraId="2DF85F52" w14:textId="77777777" w:rsidR="002E05D3" w:rsidRDefault="002E05D3">
      <w:pPr>
        <w:spacing w:after="80"/>
      </w:pPr>
    </w:p>
    <w:p w14:paraId="2C6D9BC4" w14:textId="77777777" w:rsidR="002E05D3" w:rsidRDefault="00000000">
      <w:pPr>
        <w:spacing w:after="160"/>
        <w:jc w:val="both"/>
      </w:pPr>
      <w:r>
        <w:t>The Financial Stability Score and HVC composite scoring frameworks developed in this study offer a replicable, bank-agnostic methodology for customer value and churn risk stratification. The path forward requires moving from reactive churn tracking to predictive, segment-specific engagement — treating every customer cohort as a distinct strategic challenge, and every churn event as an intelligence signal for institutional improvement.</w:t>
      </w:r>
    </w:p>
    <w:p w14:paraId="785E42F3" w14:textId="294E0BA3" w:rsidR="00263AAF" w:rsidRDefault="00263AAF" w:rsidP="00263AAF"/>
    <w:p w14:paraId="2D2E4424" w14:textId="302436FD" w:rsidR="002E05D3" w:rsidRDefault="00000000">
      <w:pPr>
        <w:pStyle w:val="Heading1"/>
      </w:pPr>
      <w:r>
        <w:t>References</w:t>
      </w:r>
    </w:p>
    <w:p w14:paraId="62F8D757" w14:textId="77777777" w:rsidR="002E05D3" w:rsidRDefault="00000000">
      <w:pPr>
        <w:spacing w:after="120"/>
      </w:pPr>
      <w:r>
        <w:rPr>
          <w:i/>
          <w:iCs/>
        </w:rPr>
        <w:t xml:space="preserve">Kotler, P., &amp; Keller, K. L. (2016). </w:t>
      </w:r>
      <w:r>
        <w:t>Marketing Management (15th ed.). Pearson Education.</w:t>
      </w:r>
    </w:p>
    <w:p w14:paraId="7F6A22A2" w14:textId="77777777" w:rsidR="002E05D3" w:rsidRDefault="00000000">
      <w:pPr>
        <w:spacing w:after="120"/>
      </w:pPr>
      <w:r>
        <w:rPr>
          <w:i/>
          <w:iCs/>
        </w:rPr>
        <w:t xml:space="preserve">Malhotra, R., &amp; Malhotra, D. K. (2002). Differentiating between good credits and bad credits using neuro-fuzzy systems. </w:t>
      </w:r>
      <w:r>
        <w:t>European Journal of Operational Research, 136(1), 190–211.</w:t>
      </w:r>
    </w:p>
    <w:p w14:paraId="25BF8EA0" w14:textId="77777777" w:rsidR="002E05D3" w:rsidRDefault="00000000">
      <w:pPr>
        <w:spacing w:after="120"/>
      </w:pPr>
      <w:r>
        <w:rPr>
          <w:i/>
          <w:iCs/>
        </w:rPr>
        <w:t xml:space="preserve">Reichheld, F. F., &amp; Sasser, W. E. (1990). Zero defections: Quality comes to services. </w:t>
      </w:r>
      <w:r>
        <w:t>Harvard Business Review, 68(5), 105–111.</w:t>
      </w:r>
    </w:p>
    <w:p w14:paraId="40CF47A6" w14:textId="77777777" w:rsidR="002E05D3" w:rsidRDefault="00000000">
      <w:pPr>
        <w:spacing w:after="120"/>
      </w:pPr>
      <w:r>
        <w:rPr>
          <w:i/>
          <w:iCs/>
        </w:rPr>
        <w:t xml:space="preserve">Van den Poel, D., &amp; Lariviere, B. (2004). Customer attrition analysis for financial services using proportional hazard models. </w:t>
      </w:r>
      <w:r>
        <w:t>European Journal of Operational Research, 157(1), 196–217.</w:t>
      </w:r>
    </w:p>
    <w:p w14:paraId="6AFC75A2" w14:textId="77777777" w:rsidR="002E05D3" w:rsidRDefault="00000000">
      <w:pPr>
        <w:spacing w:after="120"/>
      </w:pPr>
      <w:r>
        <w:rPr>
          <w:i/>
          <w:iCs/>
        </w:rPr>
        <w:t xml:space="preserve">European Banking Authority (EBA). (2023). </w:t>
      </w:r>
      <w:r>
        <w:t>Risk Assessment Report: Retail Banking Sector, Q3 2023. EBA Publications.</w:t>
      </w:r>
    </w:p>
    <w:p w14:paraId="7239A8E2" w14:textId="77777777" w:rsidR="002E05D3" w:rsidRDefault="00000000">
      <w:pPr>
        <w:spacing w:after="120"/>
      </w:pPr>
      <w:r>
        <w:rPr>
          <w:i/>
          <w:iCs/>
        </w:rPr>
        <w:t xml:space="preserve">McKinsey &amp; Company. (2022). </w:t>
      </w:r>
      <w:r>
        <w:t>The value of getting personalization right — or wrong — is multiplying. McKinsey Insights.</w:t>
      </w:r>
    </w:p>
    <w:sectPr w:rsidR="002E05D3">
      <w:footerReference w:type="default" r:id="rId1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F707C" w14:textId="77777777" w:rsidR="00341D19" w:rsidRDefault="00341D19">
      <w:r>
        <w:separator/>
      </w:r>
    </w:p>
  </w:endnote>
  <w:endnote w:type="continuationSeparator" w:id="0">
    <w:p w14:paraId="39E74D44" w14:textId="77777777" w:rsidR="00341D19" w:rsidRDefault="00341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F9A9" w14:textId="77777777" w:rsidR="002E05D3" w:rsidRDefault="00000000">
    <w:pPr>
      <w:jc w:val="center"/>
    </w:pPr>
    <w:r>
      <w:rPr>
        <w:color w:val="888888"/>
        <w:sz w:val="18"/>
        <w:szCs w:val="18"/>
      </w:rPr>
      <w:t>Customer Segmentation &amp; Churn Pattern Analytics in European Banking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5020C" w14:textId="77777777" w:rsidR="00341D19" w:rsidRDefault="00341D19">
      <w:r>
        <w:separator/>
      </w:r>
    </w:p>
  </w:footnote>
  <w:footnote w:type="continuationSeparator" w:id="0">
    <w:p w14:paraId="1B609770" w14:textId="77777777" w:rsidR="00341D19" w:rsidRDefault="00341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13CE"/>
    <w:multiLevelType w:val="hybridMultilevel"/>
    <w:tmpl w:val="D0E0BE36"/>
    <w:lvl w:ilvl="0" w:tplc="B994E446">
      <w:start w:val="1"/>
      <w:numFmt w:val="decimal"/>
      <w:lvlText w:val="%1."/>
      <w:lvlJc w:val="left"/>
      <w:pPr>
        <w:ind w:left="720" w:hanging="360"/>
      </w:pPr>
    </w:lvl>
    <w:lvl w:ilvl="1" w:tplc="FBB6403C">
      <w:numFmt w:val="decimal"/>
      <w:lvlText w:val=""/>
      <w:lvlJc w:val="left"/>
    </w:lvl>
    <w:lvl w:ilvl="2" w:tplc="B5D09566">
      <w:numFmt w:val="decimal"/>
      <w:lvlText w:val=""/>
      <w:lvlJc w:val="left"/>
    </w:lvl>
    <w:lvl w:ilvl="3" w:tplc="049AE53E">
      <w:numFmt w:val="decimal"/>
      <w:lvlText w:val=""/>
      <w:lvlJc w:val="left"/>
    </w:lvl>
    <w:lvl w:ilvl="4" w:tplc="4042A3C6">
      <w:numFmt w:val="decimal"/>
      <w:lvlText w:val=""/>
      <w:lvlJc w:val="left"/>
    </w:lvl>
    <w:lvl w:ilvl="5" w:tplc="8FD097F0">
      <w:numFmt w:val="decimal"/>
      <w:lvlText w:val=""/>
      <w:lvlJc w:val="left"/>
    </w:lvl>
    <w:lvl w:ilvl="6" w:tplc="5088C96A">
      <w:numFmt w:val="decimal"/>
      <w:lvlText w:val=""/>
      <w:lvlJc w:val="left"/>
    </w:lvl>
    <w:lvl w:ilvl="7" w:tplc="79644C22">
      <w:numFmt w:val="decimal"/>
      <w:lvlText w:val=""/>
      <w:lvlJc w:val="left"/>
    </w:lvl>
    <w:lvl w:ilvl="8" w:tplc="4426B838">
      <w:numFmt w:val="decimal"/>
      <w:lvlText w:val=""/>
      <w:lvlJc w:val="left"/>
    </w:lvl>
  </w:abstractNum>
  <w:abstractNum w:abstractNumId="1" w15:restartNumberingAfterBreak="0">
    <w:nsid w:val="4FAB175B"/>
    <w:multiLevelType w:val="hybridMultilevel"/>
    <w:tmpl w:val="9CBEB182"/>
    <w:lvl w:ilvl="0" w:tplc="4B80CD88">
      <w:start w:val="1"/>
      <w:numFmt w:val="bullet"/>
      <w:lvlText w:val="●"/>
      <w:lvlJc w:val="left"/>
      <w:pPr>
        <w:ind w:left="720" w:hanging="360"/>
      </w:pPr>
    </w:lvl>
    <w:lvl w:ilvl="1" w:tplc="568A3EAA">
      <w:start w:val="1"/>
      <w:numFmt w:val="bullet"/>
      <w:lvlText w:val="○"/>
      <w:lvlJc w:val="left"/>
      <w:pPr>
        <w:ind w:left="1440" w:hanging="360"/>
      </w:pPr>
    </w:lvl>
    <w:lvl w:ilvl="2" w:tplc="5E3A717E">
      <w:start w:val="1"/>
      <w:numFmt w:val="bullet"/>
      <w:lvlText w:val="■"/>
      <w:lvlJc w:val="left"/>
      <w:pPr>
        <w:ind w:left="2160" w:hanging="360"/>
      </w:pPr>
    </w:lvl>
    <w:lvl w:ilvl="3" w:tplc="85C8DA0C">
      <w:start w:val="1"/>
      <w:numFmt w:val="bullet"/>
      <w:lvlText w:val="●"/>
      <w:lvlJc w:val="left"/>
      <w:pPr>
        <w:ind w:left="2880" w:hanging="360"/>
      </w:pPr>
    </w:lvl>
    <w:lvl w:ilvl="4" w:tplc="91586EC8">
      <w:start w:val="1"/>
      <w:numFmt w:val="bullet"/>
      <w:lvlText w:val="○"/>
      <w:lvlJc w:val="left"/>
      <w:pPr>
        <w:ind w:left="3600" w:hanging="360"/>
      </w:pPr>
    </w:lvl>
    <w:lvl w:ilvl="5" w:tplc="636E087E">
      <w:start w:val="1"/>
      <w:numFmt w:val="bullet"/>
      <w:lvlText w:val="■"/>
      <w:lvlJc w:val="left"/>
      <w:pPr>
        <w:ind w:left="4320" w:hanging="360"/>
      </w:pPr>
    </w:lvl>
    <w:lvl w:ilvl="6" w:tplc="32402CCE">
      <w:start w:val="1"/>
      <w:numFmt w:val="bullet"/>
      <w:lvlText w:val="●"/>
      <w:lvlJc w:val="left"/>
      <w:pPr>
        <w:ind w:left="5040" w:hanging="360"/>
      </w:pPr>
    </w:lvl>
    <w:lvl w:ilvl="7" w:tplc="62D60902">
      <w:start w:val="1"/>
      <w:numFmt w:val="bullet"/>
      <w:lvlText w:val="●"/>
      <w:lvlJc w:val="left"/>
      <w:pPr>
        <w:ind w:left="5760" w:hanging="360"/>
      </w:pPr>
    </w:lvl>
    <w:lvl w:ilvl="8" w:tplc="01349070">
      <w:start w:val="1"/>
      <w:numFmt w:val="bullet"/>
      <w:lvlText w:val="●"/>
      <w:lvlJc w:val="left"/>
      <w:pPr>
        <w:ind w:left="6480" w:hanging="360"/>
      </w:pPr>
    </w:lvl>
  </w:abstractNum>
  <w:abstractNum w:abstractNumId="2" w15:restartNumberingAfterBreak="0">
    <w:nsid w:val="77A704DF"/>
    <w:multiLevelType w:val="hybridMultilevel"/>
    <w:tmpl w:val="147AD5EA"/>
    <w:lvl w:ilvl="0" w:tplc="34529B8A">
      <w:start w:val="1"/>
      <w:numFmt w:val="bullet"/>
      <w:lvlText w:val="•"/>
      <w:lvlJc w:val="left"/>
      <w:pPr>
        <w:ind w:left="720" w:hanging="360"/>
      </w:pPr>
    </w:lvl>
    <w:lvl w:ilvl="1" w:tplc="66E49062">
      <w:numFmt w:val="decimal"/>
      <w:lvlText w:val=""/>
      <w:lvlJc w:val="left"/>
    </w:lvl>
    <w:lvl w:ilvl="2" w:tplc="A54275D0">
      <w:numFmt w:val="decimal"/>
      <w:lvlText w:val=""/>
      <w:lvlJc w:val="left"/>
    </w:lvl>
    <w:lvl w:ilvl="3" w:tplc="4A340840">
      <w:numFmt w:val="decimal"/>
      <w:lvlText w:val=""/>
      <w:lvlJc w:val="left"/>
    </w:lvl>
    <w:lvl w:ilvl="4" w:tplc="DE4C864A">
      <w:numFmt w:val="decimal"/>
      <w:lvlText w:val=""/>
      <w:lvlJc w:val="left"/>
    </w:lvl>
    <w:lvl w:ilvl="5" w:tplc="57B4219E">
      <w:numFmt w:val="decimal"/>
      <w:lvlText w:val=""/>
      <w:lvlJc w:val="left"/>
    </w:lvl>
    <w:lvl w:ilvl="6" w:tplc="F6C8E7CC">
      <w:numFmt w:val="decimal"/>
      <w:lvlText w:val=""/>
      <w:lvlJc w:val="left"/>
    </w:lvl>
    <w:lvl w:ilvl="7" w:tplc="284A27EE">
      <w:numFmt w:val="decimal"/>
      <w:lvlText w:val=""/>
      <w:lvlJc w:val="left"/>
    </w:lvl>
    <w:lvl w:ilvl="8" w:tplc="56DA47B8">
      <w:numFmt w:val="decimal"/>
      <w:lvlText w:val=""/>
      <w:lvlJc w:val="left"/>
    </w:lvl>
  </w:abstractNum>
  <w:num w:numId="1" w16cid:durableId="2046173519">
    <w:abstractNumId w:val="1"/>
    <w:lvlOverride w:ilvl="0">
      <w:startOverride w:val="1"/>
    </w:lvlOverride>
  </w:num>
  <w:num w:numId="2" w16cid:durableId="711074090">
    <w:abstractNumId w:val="2"/>
    <w:lvlOverride w:ilvl="0">
      <w:startOverride w:val="1"/>
    </w:lvlOverride>
  </w:num>
  <w:num w:numId="3" w16cid:durableId="330958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5D3"/>
    <w:rsid w:val="00263AAF"/>
    <w:rsid w:val="002E05D3"/>
    <w:rsid w:val="00341D19"/>
    <w:rsid w:val="0043482B"/>
    <w:rsid w:val="00583AB0"/>
    <w:rsid w:val="006D52C5"/>
    <w:rsid w:val="007049FD"/>
    <w:rsid w:val="008518ED"/>
    <w:rsid w:val="00AF747E"/>
    <w:rsid w:val="00B33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BE25"/>
  <w15:docId w15:val="{B0F4BF9C-78B9-4023-82BC-889B20923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EA3"/>
      <w:sz w:val="26"/>
      <w:szCs w:val="26"/>
    </w:rPr>
  </w:style>
  <w:style w:type="paragraph" w:styleId="Heading3">
    <w:name w:val="heading 3"/>
    <w:uiPriority w:val="9"/>
    <w:semiHidden/>
    <w:unhideWhenUsed/>
    <w:qFormat/>
    <w:pPr>
      <w:spacing w:before="180" w:after="80"/>
      <w:outlineLvl w:val="2"/>
    </w:pPr>
    <w:rPr>
      <w:b/>
      <w:bCs/>
      <w:color w:val="36609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3051</Words>
  <Characters>17394</Characters>
  <Application>Microsoft Office Word</Application>
  <DocSecurity>0</DocSecurity>
  <Lines>144</Lines>
  <Paragraphs>40</Paragraphs>
  <ScaleCrop>false</ScaleCrop>
  <Company/>
  <LinksUpToDate>false</LinksUpToDate>
  <CharactersWithSpaces>20405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Pant</cp:lastModifiedBy>
  <cp:revision>4</cp:revision>
  <dcterms:created xsi:type="dcterms:W3CDTF">2026-05-08T11:39:00Z</dcterms:created>
  <dcterms:modified xsi:type="dcterms:W3CDTF">2026-05-09T18:43:00Z</dcterms:modified>
</cp:coreProperties>
</file>