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aps/>
          <w:color w:val="1F3864"/>
          <w:sz w:val="36"/>
          <w:szCs w:val="36"/>
        </w:rPr>
        <w:t xml:space="preserve">GOVERNMENT STAKEHOLDER REPORT</w:t>
      </w:r>
    </w:p>
    <w:p>
      <w:pPr>
        <w:pBdr>
          <w:bottom w:val="single" w:color="C00000" w:sz="12" w:space="8"/>
        </w:pBdr>
        <w:spacing w:after="200" w:before="0"/>
        <w:jc w:val="center"/>
      </w:pPr>
      <w:r>
        <w:rPr>
          <w:rFonts w:ascii="Arial" w:cs="Arial" w:eastAsia="Arial" w:hAnsi="Arial"/>
          <w:b/>
          <w:bCs/>
          <w:color w:val="2E75B6"/>
          <w:sz w:val="28"/>
          <w:szCs w:val="28"/>
        </w:rPr>
        <w:t xml:space="preserve">Customer Segmentation &amp; Churn Pattern Analytics in European Banking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200"/>
              <w:left w:type="dxa" w:w="400"/>
              <w:bottom w:type="dxa" w:w="200"/>
              <w:right w:type="dxa" w:w="400"/>
            </w:tcMar>
          </w:tcPr>
          <w:p>
            <w:pPr>
              <w:spacing w:after="80"/>
              <w:jc w:val="center"/>
            </w:pPr>
            <w:r>
              <w:rPr>
                <w:rFonts w:ascii="Arial" w:cs="Arial" w:eastAsia="Arial" w:hAnsi="Arial"/>
                <w:b/>
                <w:bCs/>
                <w:color w:val="2E75B6"/>
                <w:sz w:val="20"/>
                <w:szCs w:val="20"/>
              </w:rPr>
              <w:t xml:space="preserve">Prepared for:</w:t>
            </w:r>
          </w:p>
          <w:p>
            <w:pPr>
              <w:spacing w:after="80"/>
              <w:jc w:val="center"/>
            </w:pPr>
            <w:r>
              <w:rPr>
                <w:rFonts w:ascii="Arial" w:cs="Arial" w:eastAsia="Arial" w:hAnsi="Arial"/>
                <w:b/>
                <w:bCs/>
                <w:color w:val="1F3864"/>
                <w:sz w:val="24"/>
                <w:szCs w:val="24"/>
              </w:rPr>
              <w:t xml:space="preserve">European Financial Regulatory Authorities &amp; Banking Policy Divisions</w:t>
            </w:r>
          </w:p>
          <w:p>
            <w:pPr>
              <w:spacing w:after="80"/>
              <w:jc w:val="center"/>
            </w:pPr>
            <w:r>
              <w:rPr>
                <w:rFonts w:ascii="Arial" w:cs="Arial" w:eastAsia="Arial" w:hAnsi="Arial"/>
                <w:color w:val="404040"/>
                <w:sz w:val="20"/>
                <w:szCs w:val="20"/>
              </w:rPr>
              <w:t xml:space="preserve">Prepared by: Piyush Pant  |  In Association with Unified Mentor Pvt. Ltd.</w:t>
            </w:r>
          </w:p>
          <w:p>
            <w:pPr>
              <w:spacing w:after="80"/>
              <w:jc w:val="center"/>
            </w:pPr>
            <w:r>
              <w:rPr>
                <w:rFonts w:ascii="Arial" w:cs="Arial" w:eastAsia="Arial" w:hAnsi="Arial"/>
                <w:color w:val="404040"/>
                <w:sz w:val="20"/>
                <w:szCs w:val="20"/>
              </w:rPr>
              <w:t xml:space="preserve">Under the Guidance of Mr. Saiprasad Kagne  |  Date: May 2026</w:t>
            </w:r>
          </w:p>
          <w:p>
            <w:pPr>
              <w:jc w:val="center"/>
            </w:pPr>
            <w:r>
              <w:rPr>
                <w:rFonts w:ascii="Arial" w:cs="Arial" w:eastAsia="Arial" w:hAnsi="Arial"/>
                <w:color w:val="888888"/>
                <w:sz w:val="20"/>
                <w:szCs w:val="20"/>
              </w:rPr>
              <w:t xml:space="preserve">Dataset: 10,000 European Banking Customers  |  Geographies: France • Germany • Spain</w:t>
            </w:r>
          </w:p>
        </w:tc>
      </w:tr>
    </w:tbl>
    <w:p>
      <w:pPr>
        <w:spacing w:after="0" w:before="400"/>
      </w:pPr>
      <w:r>
        <w:t xml:space="preserve"/>
      </w:r>
    </w:p>
    <w:p>
      <w:pPr>
        <w:jc w:val="center"/>
      </w:pPr>
      <w:r>
        <w:rPr>
          <w:rFonts w:ascii="Arial" w:cs="Arial" w:eastAsia="Arial" w:hAnsi="Arial"/>
          <w:b/>
          <w:bCs/>
          <w:caps/>
          <w:color w:val="C00000"/>
          <w:sz w:val="18"/>
          <w:szCs w:val="18"/>
        </w:rPr>
        <w:t xml:space="preserve">CLASSIFICATION: SENSITIVE — FOR POLICY PLANNING USE ONLY</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Executive Summary</w:t>
      </w:r>
    </w:p>
    <w:p>
      <w:pPr>
        <w:spacing w:after="100" w:before="60"/>
        <w:jc w:val="both"/>
      </w:pPr>
      <w:r>
        <w:rPr>
          <w:rFonts w:ascii="Arial" w:cs="Arial" w:eastAsia="Arial" w:hAnsi="Arial"/>
          <w:color w:val="404040"/>
          <w:sz w:val="22"/>
          <w:szCs w:val="22"/>
        </w:rPr>
        <w:t xml:space="preserve">European retail banking is experiencing a structurally elevated customer churn rate that poses systemic risks to banking sector stability, consumer financial inclusion, and regional economic competitiveness. This report presents the findings of a comprehensive segmentation-driven analytical study conducted across 10,000 banking customers in France, Germany, and Spain.</w:t>
      </w:r>
    </w:p>
    <w:p>
      <w:pPr>
        <w:spacing w:after="0" w:before="80"/>
      </w:pPr>
      <w:r>
        <w:t xml:space="preserve"/>
      </w:r>
    </w:p>
    <w:p>
      <w:pPr>
        <w:spacing w:after="100" w:before="60"/>
        <w:jc w:val="both"/>
      </w:pPr>
      <w:r>
        <w:rPr>
          <w:rFonts w:ascii="Arial" w:cs="Arial" w:eastAsia="Arial" w:hAnsi="Arial"/>
          <w:color w:val="404040"/>
          <w:sz w:val="22"/>
          <w:szCs w:val="22"/>
        </w:rPr>
        <w:t xml:space="preserve">The overall churn rate of 20.4% is materially above the European banking industry benchmark of 10–15%. The analysis identifies five high-priority risk concentrations requiring immediate policy attention:</w:t>
      </w:r>
    </w:p>
    <w:p>
      <w:pPr>
        <w:pStyle w:val="ListParagraph"/>
        <w:numPr>
          <w:ilvl w:val="0"/>
          <w:numId w:val="2"/>
        </w:numPr>
        <w:spacing w:after="40" w:before="40"/>
      </w:pPr>
      <w:r>
        <w:rPr>
          <w:rFonts w:ascii="Arial" w:cs="Arial" w:eastAsia="Arial" w:hAnsi="Arial"/>
          <w:color w:val="404040"/>
          <w:sz w:val="22"/>
          <w:szCs w:val="22"/>
        </w:rPr>
        <w:t xml:space="preserve">Germany's churn rate of 32.4% — double that of France and Spain — signals a structural market failure in customer retention within the German banking segment.</w:t>
      </w:r>
    </w:p>
    <w:p>
      <w:pPr>
        <w:pStyle w:val="ListParagraph"/>
        <w:numPr>
          <w:ilvl w:val="0"/>
          <w:numId w:val="2"/>
        </w:numPr>
        <w:spacing w:after="40" w:before="40"/>
      </w:pPr>
      <w:r>
        <w:rPr>
          <w:rFonts w:ascii="Arial" w:cs="Arial" w:eastAsia="Arial" w:hAnsi="Arial"/>
          <w:color w:val="404040"/>
          <w:sz w:val="22"/>
          <w:szCs w:val="22"/>
        </w:rPr>
        <w:t xml:space="preserve">Premium-tier customers churn at 54.3%, representing the most severe concentration of revenue risk in the dataset — a direct threat to banking sector profitability and institutional stability.</w:t>
      </w:r>
    </w:p>
    <w:p>
      <w:pPr>
        <w:pStyle w:val="ListParagraph"/>
        <w:numPr>
          <w:ilvl w:val="0"/>
          <w:numId w:val="2"/>
        </w:numPr>
        <w:spacing w:after="40" w:before="40"/>
      </w:pPr>
      <w:r>
        <w:rPr>
          <w:rFonts w:ascii="Arial" w:cs="Arial" w:eastAsia="Arial" w:hAnsi="Arial"/>
          <w:color w:val="404040"/>
          <w:sz w:val="22"/>
          <w:szCs w:val="22"/>
        </w:rPr>
        <w:t xml:space="preserve">Female customers churn at 25.1% versus 16.5% for male customers, indicating systemic misalignment between banking products and female consumers' financial service expectations.</w:t>
      </w:r>
    </w:p>
    <w:p>
      <w:pPr>
        <w:pStyle w:val="ListParagraph"/>
        <w:numPr>
          <w:ilvl w:val="0"/>
          <w:numId w:val="2"/>
        </w:numPr>
        <w:spacing w:after="40" w:before="40"/>
      </w:pPr>
      <w:r>
        <w:rPr>
          <w:rFonts w:ascii="Arial" w:cs="Arial" w:eastAsia="Arial" w:hAnsi="Arial"/>
          <w:color w:val="404040"/>
          <w:sz w:val="22"/>
          <w:szCs w:val="22"/>
        </w:rPr>
        <w:t xml:space="preserve">Long-term customers (tenure &gt;7 years) account for 61.4% of all churn, exposing a critical failure in customer lifecycle management across the sector.</w:t>
      </w:r>
    </w:p>
    <w:p>
      <w:pPr>
        <w:pStyle w:val="ListParagraph"/>
        <w:numPr>
          <w:ilvl w:val="0"/>
          <w:numId w:val="2"/>
        </w:numPr>
        <w:spacing w:after="40" w:before="40"/>
      </w:pPr>
      <w:r>
        <w:rPr>
          <w:rFonts w:ascii="Arial" w:cs="Arial" w:eastAsia="Arial" w:hAnsi="Arial"/>
          <w:color w:val="404040"/>
          <w:sz w:val="22"/>
          <w:szCs w:val="22"/>
        </w:rPr>
        <w:t xml:space="preserve">The 30–45 age cohort contributes 65.9% of total churn — the bank's most financially active and economically productive demographic.</w:t>
      </w:r>
    </w:p>
    <w:p>
      <w:pPr>
        <w:spacing w:after="0" w:before="120"/>
      </w:pPr>
      <w:r>
        <w:t xml:space="preserve"/>
      </w:r>
    </w:p>
    <w:p>
      <w:pPr>
        <w:spacing w:after="100" w:before="60"/>
        <w:jc w:val="both"/>
      </w:pPr>
      <w:r>
        <w:rPr>
          <w:rFonts w:ascii="Arial" w:cs="Arial" w:eastAsia="Arial" w:hAnsi="Arial"/>
          <w:color w:val="404040"/>
          <w:sz w:val="22"/>
          <w:szCs w:val="22"/>
        </w:rPr>
        <w:t xml:space="preserve">This report calls for coordinated regulatory and policy intervention to address these gaps, strengthen consumer protection frameworks, and support data-driven retention strategy mandates across European retail banking institutions.</w:t>
      </w:r>
    </w:p>
    <w:p>
      <w:pPr>
        <w:spacing w:after="0" w:before="160"/>
      </w:pPr>
      <w:r>
        <w:t xml:space="preserve"/>
      </w:r>
    </w:p>
    <w:p>
      <w:pPr>
        <w:pStyle w:val="Heading2"/>
        <w:spacing w:after="80" w:before="240"/>
      </w:pPr>
      <w:r>
        <w:rPr>
          <w:rFonts w:ascii="Arial" w:cs="Arial" w:eastAsia="Arial" w:hAnsi="Arial"/>
          <w:b/>
          <w:bCs/>
          <w:color w:val="2E75B6"/>
          <w:sz w:val="24"/>
          <w:szCs w:val="24"/>
        </w:rPr>
        <w:t xml:space="preserve">Consolidated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Performance Indicator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Implication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Overall Churn Rate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20.4%</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Above EU benchmark of 10–15%; sector-wide structural concern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Germany Churn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32.4%</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Requires country-specific regulatory investigation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France Churn Rate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16.2%</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Closest to benchmark; model for best practice study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Spain Churn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16.7%</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Stable; monitor for deterioration as fintech penetration grows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30–45 Age Cohort Churn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65.9% of total</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Core productive demographic; priority for financial inclusion policy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Female Customer Churn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25.1%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Gender gap demands inclusive product design mandate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Long-Term Customer Churn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61.4% of total</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Systemic lifecycle management failure across institutions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Premium Tier Churn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54.3%</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Critical revenue risk; urgent private banking governance review</w:t>
            </w:r>
          </w:p>
        </w:tc>
      </w:tr>
    </w:tbl>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1. Policy Context &amp; Regulatory Relevance</w:t>
      </w:r>
    </w:p>
    <w:p>
      <w:pPr>
        <w:spacing w:after="100" w:before="60"/>
        <w:jc w:val="both"/>
      </w:pPr>
      <w:r>
        <w:rPr>
          <w:rFonts w:ascii="Arial" w:cs="Arial" w:eastAsia="Arial" w:hAnsi="Arial"/>
          <w:color w:val="404040"/>
          <w:sz w:val="22"/>
          <w:szCs w:val="22"/>
        </w:rPr>
        <w:t xml:space="preserve">Customer churn in retail banking is not merely a commercial metric — it is a structural indicator of market health, consumer financial welfare, and the effectiveness of existing regulatory frameworks. Elevated churn rates impose direct costs on both institutions and consumers:</w:t>
      </w:r>
    </w:p>
    <w:p>
      <w:pPr>
        <w:spacing w:after="0" w:before="60"/>
      </w:pPr>
      <w:r>
        <w:t xml:space="preserve"/>
      </w:r>
    </w:p>
    <w:p>
      <w:pPr>
        <w:pStyle w:val="ListParagraph"/>
        <w:numPr>
          <w:ilvl w:val="0"/>
          <w:numId w:val="2"/>
        </w:numPr>
        <w:spacing w:after="40" w:before="40"/>
      </w:pPr>
      <w:r>
        <w:rPr>
          <w:rFonts w:ascii="Arial" w:cs="Arial" w:eastAsia="Arial" w:hAnsi="Arial"/>
          <w:color w:val="404040"/>
          <w:sz w:val="22"/>
          <w:szCs w:val="22"/>
        </w:rPr>
        <w:t xml:space="preserve">Institutions bear customer acquisition costs five to seven times higher than retention costs, eroding profitability and creating pressure on capital reserves.</w:t>
      </w:r>
    </w:p>
    <w:p>
      <w:pPr>
        <w:pStyle w:val="ListParagraph"/>
        <w:numPr>
          <w:ilvl w:val="0"/>
          <w:numId w:val="2"/>
        </w:numPr>
        <w:spacing w:after="40" w:before="40"/>
      </w:pPr>
      <w:r>
        <w:rPr>
          <w:rFonts w:ascii="Arial" w:cs="Arial" w:eastAsia="Arial" w:hAnsi="Arial"/>
          <w:color w:val="404040"/>
          <w:sz w:val="22"/>
          <w:szCs w:val="22"/>
        </w:rPr>
        <w:t xml:space="preserve">Consumers — particularly financially vulnerable groups — may experience service disruption, credit access discontinuity, and loss of established banking relationships.</w:t>
      </w:r>
    </w:p>
    <w:p>
      <w:pPr>
        <w:pStyle w:val="ListParagraph"/>
        <w:numPr>
          <w:ilvl w:val="0"/>
          <w:numId w:val="2"/>
        </w:numPr>
        <w:spacing w:after="40" w:before="40"/>
      </w:pPr>
      <w:r>
        <w:rPr>
          <w:rFonts w:ascii="Arial" w:cs="Arial" w:eastAsia="Arial" w:hAnsi="Arial"/>
          <w:color w:val="404040"/>
          <w:sz w:val="22"/>
          <w:szCs w:val="22"/>
        </w:rPr>
        <w:t xml:space="preserve">Regional banking stability is undermined when high-value customer segments migrate to less-regulated fintech and challenger bank competitors, reducing the deposit base of systemically important institutions.</w:t>
      </w:r>
    </w:p>
    <w:p>
      <w:pPr>
        <w:spacing w:after="0" w:before="120"/>
      </w:pPr>
      <w:r>
        <w:t xml:space="preserve"/>
      </w:r>
    </w:p>
    <w:p>
      <w:pPr>
        <w:spacing w:after="100" w:before="60"/>
        <w:jc w:val="both"/>
      </w:pPr>
      <w:r>
        <w:rPr>
          <w:rFonts w:ascii="Arial" w:cs="Arial" w:eastAsia="Arial" w:hAnsi="Arial"/>
          <w:color w:val="404040"/>
          <w:sz w:val="22"/>
          <w:szCs w:val="22"/>
        </w:rPr>
        <w:t xml:space="preserve">Under the European Union's Payment Services Directive 2 (PSD2) and associated open banking mandates, account portability has been materially simplified, accelerating switching behaviour. While competition-enabling by design, PSD2 has heightened the urgency for retail banks to develop sophisticated retention capabilities — a gap this analysis quantifies in measurable terms.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CCCCC" w:sz="1"/>
              <w:right w:val="single" w:color="CCCCCC" w:sz="1"/>
            </w:tcBorders>
            <w:shd w:fill="FFF2F2" w:val="clear"/>
            <w:tcMar>
              <w:top w:type="dxa" w:w="120"/>
              <w:left w:type="dxa" w:w="200"/>
              <w:bottom w:type="dxa" w:w="120"/>
              <w:right w:type="dxa" w:w="200"/>
            </w:tcMar>
          </w:tcPr>
          <w:p>
            <w:r>
              <w:rPr>
                <w:rFonts w:ascii="Arial" w:cs="Arial" w:eastAsia="Arial" w:hAnsi="Arial"/>
                <w:b/>
                <w:bCs/>
                <w:color w:val="C00000"/>
                <w:sz w:val="20"/>
                <w:szCs w:val="20"/>
              </w:rPr>
              <w:t xml:space="preserve">Regulatory Signal</w:t>
            </w:r>
          </w:p>
          <w:p>
            <w:pPr>
              <w:spacing w:before="60"/>
            </w:pPr>
            <w:r>
              <w:rPr>
                <w:rFonts w:ascii="Arial" w:cs="Arial" w:eastAsia="Arial" w:hAnsi="Arial"/>
                <w:color w:val="404040"/>
                <w:sz w:val="20"/>
                <w:szCs w:val="20"/>
              </w:rPr>
              <w:t xml:space="preserve">An overall churn rate of 20.4% — significantly above the EU benchmark of 10–15% — suggests that existing consumer engagement frameworks are insufficient. Regulatory bodies should consider mandating minimum customer retention analytics and segmentation reporting standards across licensed European banking institutions.</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2. Geographic Risk Assessment</w:t>
      </w:r>
    </w:p>
    <w:p>
      <w:pPr>
        <w:spacing w:after="100" w:before="60"/>
        <w:jc w:val="both"/>
      </w:pPr>
      <w:r>
        <w:rPr>
          <w:rFonts w:ascii="Arial" w:cs="Arial" w:eastAsia="Arial" w:hAnsi="Arial"/>
          <w:color w:val="404040"/>
          <w:sz w:val="22"/>
          <w:szCs w:val="22"/>
        </w:rPr>
        <w:t xml:space="preserve">The geographic segmentation reveals a pronounced regional divergence in churn behaviour that carries direct implications for country-level banking supervision.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Country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Churn 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Germany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32.4% — Critical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Spain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16.7% — Stable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France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16.2% — Benchmark</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2.1 Germany: High-Alert Geography</w:t>
      </w:r>
    </w:p>
    <w:p>
      <w:pPr>
        <w:spacing w:after="100" w:before="60"/>
        <w:jc w:val="both"/>
      </w:pPr>
      <w:r>
        <w:rPr>
          <w:rFonts w:ascii="Arial" w:cs="Arial" w:eastAsia="Arial" w:hAnsi="Arial"/>
          <w:color w:val="404040"/>
          <w:sz w:val="22"/>
          <w:szCs w:val="22"/>
        </w:rPr>
        <w:t xml:space="preserve">Germany's churn rate of 32.4% is the single most significant geographic finding in this study. Despite accounting for approximately 25% of the customer population, Germany contributes 40% of all churned customers. Key policy considerations include:</w:t>
      </w:r>
    </w:p>
    <w:p>
      <w:pPr>
        <w:pStyle w:val="ListParagraph"/>
        <w:numPr>
          <w:ilvl w:val="0"/>
          <w:numId w:val="2"/>
        </w:numPr>
        <w:spacing w:after="40" w:before="40"/>
      </w:pPr>
      <w:r>
        <w:rPr>
          <w:rFonts w:ascii="Arial" w:cs="Arial" w:eastAsia="Arial" w:hAnsi="Arial"/>
          <w:color w:val="404040"/>
          <w:sz w:val="22"/>
          <w:szCs w:val="22"/>
        </w:rPr>
        <w:t xml:space="preserve">Germany's fragmented banking landscape — characterised by a large number of regional Sparkassen, cooperative banks, and growing neobank penetration — creates structural conditions for elevated switching behaviour.</w:t>
      </w:r>
    </w:p>
    <w:p>
      <w:pPr>
        <w:pStyle w:val="ListParagraph"/>
        <w:numPr>
          <w:ilvl w:val="0"/>
          <w:numId w:val="2"/>
        </w:numPr>
        <w:spacing w:after="40" w:before="40"/>
      </w:pPr>
      <w:r>
        <w:rPr>
          <w:rFonts w:ascii="Arial" w:cs="Arial" w:eastAsia="Arial" w:hAnsi="Arial"/>
          <w:color w:val="404040"/>
          <w:sz w:val="22"/>
          <w:szCs w:val="22"/>
        </w:rPr>
        <w:t xml:space="preserve">German consumers demonstrate above-average financial sophistication and price sensitivity, making them particularly responsive to competitive offers from digital-native institutions.</w:t>
      </w:r>
    </w:p>
    <w:p>
      <w:pPr>
        <w:pStyle w:val="ListParagraph"/>
        <w:numPr>
          <w:ilvl w:val="0"/>
          <w:numId w:val="2"/>
        </w:numPr>
        <w:spacing w:after="40" w:before="40"/>
      </w:pPr>
      <w:r>
        <w:rPr>
          <w:rFonts w:ascii="Arial" w:cs="Arial" w:eastAsia="Arial" w:hAnsi="Arial"/>
          <w:color w:val="404040"/>
          <w:sz w:val="22"/>
          <w:szCs w:val="22"/>
        </w:rPr>
        <w:t xml:space="preserve">BaFin (Germany's Federal Financial Supervisory Authority) should be engaged to conduct a targeted review of customer retention practices among Germany's top retail banks, with findings benchmarked against France and Spain.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CCCCC" w:sz="1"/>
              <w:right w:val="single" w:color="CCCCCC" w:sz="1"/>
            </w:tcBorders>
            <w:shd w:fill="FFF2F2" w:val="clear"/>
            <w:tcMar>
              <w:top w:type="dxa" w:w="120"/>
              <w:left w:type="dxa" w:w="200"/>
              <w:bottom w:type="dxa" w:w="120"/>
              <w:right w:type="dxa" w:w="200"/>
            </w:tcMar>
          </w:tcPr>
          <w:p>
            <w:r>
              <w:rPr>
                <w:rFonts w:ascii="Arial" w:cs="Arial" w:eastAsia="Arial" w:hAnsi="Arial"/>
                <w:b/>
                <w:bCs/>
                <w:color w:val="C00000"/>
                <w:sz w:val="20"/>
                <w:szCs w:val="20"/>
              </w:rPr>
              <w:t xml:space="preserve">Policy Recommendation 1 — Germany</w:t>
            </w:r>
          </w:p>
          <w:p>
            <w:pPr>
              <w:spacing w:before="60"/>
            </w:pPr>
            <w:r>
              <w:rPr>
                <w:rFonts w:ascii="Arial" w:cs="Arial" w:eastAsia="Arial" w:hAnsi="Arial"/>
                <w:color w:val="404040"/>
                <w:sz w:val="20"/>
                <w:szCs w:val="20"/>
              </w:rPr>
              <w:t xml:space="preserve">Mandate quarterly churn reporting disaggregated by customer value tier for all licensed German retail banking institutions. Commission a dedicated market study on competitive banking dynamics contributing to the Germany churn premium.</w:t>
            </w:r>
          </w:p>
        </w:tc>
      </w:tr>
    </w:tbl>
    <w:p>
      <w:pPr>
        <w:spacing w:after="0" w:before="100"/>
      </w:pPr>
      <w:r>
        <w:t xml:space="preserve"/>
      </w:r>
    </w:p>
    <w:p>
      <w:pPr>
        <w:pStyle w:val="Heading2"/>
        <w:spacing w:after="80" w:before="240"/>
      </w:pPr>
      <w:r>
        <w:rPr>
          <w:rFonts w:ascii="Arial" w:cs="Arial" w:eastAsia="Arial" w:hAnsi="Arial"/>
          <w:b/>
          <w:bCs/>
          <w:color w:val="2E75B6"/>
          <w:sz w:val="24"/>
          <w:szCs w:val="24"/>
        </w:rPr>
        <w:t xml:space="preserve">2.2 France &amp; Spain: Relative Stability with Vigilance Required</w:t>
      </w:r>
    </w:p>
    <w:p>
      <w:pPr>
        <w:spacing w:after="100" w:before="60"/>
        <w:jc w:val="both"/>
      </w:pPr>
      <w:r>
        <w:rPr>
          <w:rFonts w:ascii="Arial" w:cs="Arial" w:eastAsia="Arial" w:hAnsi="Arial"/>
          <w:color w:val="404040"/>
          <w:sz w:val="22"/>
          <w:szCs w:val="22"/>
        </w:rPr>
        <w:t xml:space="preserve">France and Spain maintain churn rates (16.2% and 16.7% respectively) within a range approximating the upper boundary of European benchmarks. Both markets exhibit stable patterns but remain vulnerable to fintech disruption, particularly among younger customer cohorts. France, given its population dominance in this dataset (50% of customers), contributes 53% of churned customers by volume despite a lower rate — making it the single largest contributor to total churn in absolute terms.</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3. Demographic Vulnerability Analysis</w:t>
      </w:r>
    </w:p>
    <w:p>
      <w:pPr>
        <w:pStyle w:val="Heading2"/>
        <w:spacing w:after="80" w:before="240"/>
      </w:pPr>
      <w:r>
        <w:rPr>
          <w:rFonts w:ascii="Arial" w:cs="Arial" w:eastAsia="Arial" w:hAnsi="Arial"/>
          <w:b/>
          <w:bCs/>
          <w:color w:val="2E75B6"/>
          <w:sz w:val="24"/>
          <w:szCs w:val="24"/>
        </w:rPr>
        <w:t xml:space="preserve">3.1 Age Cohort: The 30–45 Priority Segment</w:t>
      </w:r>
    </w:p>
    <w:p>
      <w:pPr>
        <w:spacing w:after="100" w:before="60"/>
        <w:jc w:val="both"/>
      </w:pPr>
      <w:r>
        <w:rPr>
          <w:rFonts w:ascii="Arial" w:cs="Arial" w:eastAsia="Arial" w:hAnsi="Arial"/>
          <w:color w:val="404040"/>
          <w:sz w:val="22"/>
          <w:szCs w:val="22"/>
        </w:rPr>
        <w:t xml:space="preserve">The 30–45 age cohort — the bank's largest and most economically active customer segment — accounts for 65.9% of total churn. This cohort represents:</w:t>
      </w:r>
    </w:p>
    <w:p>
      <w:pPr>
        <w:pStyle w:val="ListParagraph"/>
        <w:numPr>
          <w:ilvl w:val="0"/>
          <w:numId w:val="2"/>
        </w:numPr>
        <w:spacing w:after="40" w:before="40"/>
      </w:pPr>
      <w:r>
        <w:rPr>
          <w:rFonts w:ascii="Arial" w:cs="Arial" w:eastAsia="Arial" w:hAnsi="Arial"/>
          <w:color w:val="404040"/>
          <w:sz w:val="22"/>
          <w:szCs w:val="22"/>
        </w:rPr>
        <w:t xml:space="preserve">Peak mortgage, investment, and wealth management product demand — the highest lifetime value phase of a banking relationship.</w:t>
      </w:r>
    </w:p>
    <w:p>
      <w:pPr>
        <w:pStyle w:val="ListParagraph"/>
        <w:numPr>
          <w:ilvl w:val="0"/>
          <w:numId w:val="2"/>
        </w:numPr>
        <w:spacing w:after="40" w:before="40"/>
      </w:pPr>
      <w:r>
        <w:rPr>
          <w:rFonts w:ascii="Arial" w:cs="Arial" w:eastAsia="Arial" w:hAnsi="Arial"/>
          <w:color w:val="404040"/>
          <w:sz w:val="22"/>
          <w:szCs w:val="22"/>
        </w:rPr>
        <w:t xml:space="preserve">The demographic most actively comparing digital banking alternatives, including neobanks and fintech platforms.</w:t>
      </w:r>
    </w:p>
    <w:p>
      <w:pPr>
        <w:pStyle w:val="ListParagraph"/>
        <w:numPr>
          <w:ilvl w:val="0"/>
          <w:numId w:val="2"/>
        </w:numPr>
        <w:spacing w:after="40" w:before="40"/>
      </w:pPr>
      <w:r>
        <w:rPr>
          <w:rFonts w:ascii="Arial" w:cs="Arial" w:eastAsia="Arial" w:hAnsi="Arial"/>
          <w:color w:val="404040"/>
          <w:sz w:val="22"/>
          <w:szCs w:val="22"/>
        </w:rPr>
        <w:t xml:space="preserve">A policy priority for financial inclusion: disrupted banking relationships in the 30–45 cohort can have cascading effects on access to credit, mortgage eligibility, and long-term savings products.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CCCCC" w:sz="1"/>
              <w:right w:val="single" w:color="CCCCCC" w:sz="1"/>
            </w:tcBorders>
            <w:shd w:fill="FFF2F2" w:val="clear"/>
            <w:tcMar>
              <w:top w:type="dxa" w:w="120"/>
              <w:left w:type="dxa" w:w="200"/>
              <w:bottom w:type="dxa" w:w="120"/>
              <w:right w:type="dxa" w:w="200"/>
            </w:tcMar>
          </w:tcPr>
          <w:p>
            <w:r>
              <w:rPr>
                <w:rFonts w:ascii="Arial" w:cs="Arial" w:eastAsia="Arial" w:hAnsi="Arial"/>
                <w:b/>
                <w:bCs/>
                <w:color w:val="C00000"/>
                <w:sz w:val="20"/>
                <w:szCs w:val="20"/>
              </w:rPr>
              <w:t xml:space="preserve">Policy Recommendation 2 — Age-Based Financial Inclusion</w:t>
            </w:r>
          </w:p>
          <w:p>
            <w:pPr>
              <w:spacing w:before="60"/>
            </w:pPr>
            <w:r>
              <w:rPr>
                <w:rFonts w:ascii="Arial" w:cs="Arial" w:eastAsia="Arial" w:hAnsi="Arial"/>
                <w:color w:val="404040"/>
                <w:sz w:val="20"/>
                <w:szCs w:val="20"/>
              </w:rPr>
              <w:t xml:space="preserve">Develop regulatory guidance encouraging banks to implement lifecycle-sensitive customer engagement programmes targeting the 30–45 cohort. Financial literacy and banking relationship continuity initiatives should be incorporated into national financial inclusion strategies.</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3.2 Gender Disparity: A Systemic Inequity</w:t>
      </w:r>
    </w:p>
    <w:p>
      <w:pPr>
        <w:spacing w:after="100" w:before="60"/>
        <w:jc w:val="both"/>
      </w:pPr>
      <w:r>
        <w:rPr>
          <w:rFonts w:ascii="Arial" w:cs="Arial" w:eastAsia="Arial" w:hAnsi="Arial"/>
          <w:color w:val="404040"/>
          <w:sz w:val="22"/>
          <w:szCs w:val="22"/>
        </w:rPr>
        <w:t xml:space="preserve">Female customers churn at 25.1% versus 16.5% for male customers — a gap of approximately 8.6 percentage points. Female customers, despite representing a minority of the total customer base, account for 55.9% of all churned customers.</w:t>
      </w:r>
    </w:p>
    <w:p>
      <w:pPr>
        <w:spacing w:after="0" w:before="80"/>
      </w:pPr>
      <w:r>
        <w:t xml:space="preserve"/>
      </w:r>
    </w:p>
    <w:p>
      <w:pPr>
        <w:spacing w:after="100" w:before="60"/>
        <w:jc w:val="both"/>
      </w:pPr>
      <w:r>
        <w:rPr>
          <w:rFonts w:ascii="Arial" w:cs="Arial" w:eastAsia="Arial" w:hAnsi="Arial"/>
          <w:color w:val="404040"/>
          <w:sz w:val="22"/>
          <w:szCs w:val="22"/>
        </w:rPr>
        <w:t xml:space="preserve">This finding is consistent with international research indicating that mainstream retail banking products are systematically less well-aligned with female customers' financial service preferences, communication expectations, and life-stage financial priorities. The gender churn gap is not a consumer behaviour anomaly — it is an institutional product design failure with measurable consequences.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CCCCC" w:sz="1"/>
              <w:right w:val="single" w:color="CCCCCC" w:sz="1"/>
            </w:tcBorders>
            <w:shd w:fill="FFF2F2" w:val="clear"/>
            <w:tcMar>
              <w:top w:type="dxa" w:w="120"/>
              <w:left w:type="dxa" w:w="200"/>
              <w:bottom w:type="dxa" w:w="120"/>
              <w:right w:type="dxa" w:w="200"/>
            </w:tcMar>
          </w:tcPr>
          <w:p>
            <w:r>
              <w:rPr>
                <w:rFonts w:ascii="Arial" w:cs="Arial" w:eastAsia="Arial" w:hAnsi="Arial"/>
                <w:b/>
                <w:bCs/>
                <w:color w:val="C00000"/>
                <w:sz w:val="20"/>
                <w:szCs w:val="20"/>
              </w:rPr>
              <w:t xml:space="preserve">Policy Recommendation 3 — Gender-Inclusive Banking Standards</w:t>
            </w:r>
          </w:p>
          <w:p>
            <w:pPr>
              <w:spacing w:before="60"/>
            </w:pPr>
            <w:r>
              <w:rPr>
                <w:rFonts w:ascii="Arial" w:cs="Arial" w:eastAsia="Arial" w:hAnsi="Arial"/>
                <w:color w:val="404040"/>
                <w:sz w:val="20"/>
                <w:szCs w:val="20"/>
              </w:rPr>
              <w:t xml:space="preserve">The European Banking Authority (EBA) should incorporate gender-disaggregated churn reporting into its supervisory data requirements. Banks operating with a gender churn gap exceeding 5 percentage points should be required to submit a Gender-Inclusive Banking Action Plan for regulatory review.</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4. High-Value Customer Risk &amp; Financial Sector Stability</w:t>
      </w:r>
    </w:p>
    <w:p>
      <w:pPr>
        <w:spacing w:after="100" w:before="60"/>
        <w:jc w:val="both"/>
      </w:pPr>
      <w:r>
        <w:rPr>
          <w:rFonts w:ascii="Arial" w:cs="Arial" w:eastAsia="Arial" w:hAnsi="Arial"/>
          <w:color w:val="404040"/>
          <w:sz w:val="22"/>
          <w:szCs w:val="22"/>
        </w:rPr>
        <w:t xml:space="preserve">The analysis identifies a critical concentration of churn risk at the apex of the customer value pyramid — a finding with direct implications for banking sector stability and systemic risk management.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Customer Value Tier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Churn 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Premium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54.3% — Critical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High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20.1% — Elevated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18.5% — Moderate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31.5% — High</w:t>
            </w:r>
          </w:p>
        </w:tc>
      </w:tr>
    </w:tbl>
    <w:p>
      <w:pPr>
        <w:spacing w:after="0" w:before="120"/>
      </w:pPr>
      <w:r>
        <w:t xml:space="preserve"/>
      </w:r>
    </w:p>
    <w:p>
      <w:pPr>
        <w:spacing w:after="100" w:before="60"/>
        <w:jc w:val="both"/>
      </w:pPr>
      <w:r>
        <w:rPr>
          <w:rFonts w:ascii="Arial" w:cs="Arial" w:eastAsia="Arial" w:hAnsi="Arial"/>
          <w:color w:val="404040"/>
          <w:sz w:val="22"/>
          <w:szCs w:val="22"/>
        </w:rPr>
        <w:t xml:space="preserve">The Premium tier — characterised by high balances, multi-product relationships, long tenure, and strong credit profiles — churns at 54.3%. This is a counterintuitive and analytically alarming result. Premium customers churn at the highest rate of any tier not despite their sophistication, but because of it: they are the most aware of competitive alternatives and the most capable of acting on them.</w:t>
      </w:r>
    </w:p>
    <w:p>
      <w:pPr>
        <w:spacing w:after="0" w:before="80"/>
      </w:pPr>
      <w:r>
        <w:t xml:space="preserve"/>
      </w:r>
    </w:p>
    <w:p>
      <w:pPr>
        <w:spacing w:after="100" w:before="60"/>
        <w:jc w:val="both"/>
      </w:pPr>
      <w:r>
        <w:rPr>
          <w:rFonts w:ascii="Arial" w:cs="Arial" w:eastAsia="Arial" w:hAnsi="Arial"/>
          <w:color w:val="404040"/>
          <w:sz w:val="22"/>
          <w:szCs w:val="22"/>
        </w:rPr>
        <w:t xml:space="preserve">For banking regulators and finance ministries, this finding carries a specific systemic risk implication: the departure of high-balance, multi-product customers from regulated banking institutions to less-regulated fintech platforms reduces the deposit concentration at systemically important banks, potentially affecting liquidity coverage ratios and stress test outcomes.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CCCCC" w:sz="1"/>
              <w:right w:val="single" w:color="CCCCCC" w:sz="1"/>
            </w:tcBorders>
            <w:shd w:fill="FFF2F2" w:val="clear"/>
            <w:tcMar>
              <w:top w:type="dxa" w:w="120"/>
              <w:left w:type="dxa" w:w="200"/>
              <w:bottom w:type="dxa" w:w="120"/>
              <w:right w:type="dxa" w:w="200"/>
            </w:tcMar>
          </w:tcPr>
          <w:p>
            <w:r>
              <w:rPr>
                <w:rFonts w:ascii="Arial" w:cs="Arial" w:eastAsia="Arial" w:hAnsi="Arial"/>
                <w:b/>
                <w:bCs/>
                <w:color w:val="C00000"/>
                <w:sz w:val="20"/>
                <w:szCs w:val="20"/>
              </w:rPr>
              <w:t xml:space="preserve">Policy Recommendation 4 — High-Value Customer Protection</w:t>
            </w:r>
          </w:p>
          <w:p>
            <w:pPr>
              <w:spacing w:before="60"/>
            </w:pPr>
            <w:r>
              <w:rPr>
                <w:rFonts w:ascii="Arial" w:cs="Arial" w:eastAsia="Arial" w:hAnsi="Arial"/>
                <w:color w:val="404040"/>
                <w:sz w:val="20"/>
                <w:szCs w:val="20"/>
              </w:rPr>
              <w:t xml:space="preserve">The European Central Bank (ECB) and national supervisory authorities should include high-value customer attrition rates in their regular stability assessments of retail banking institutions. Banks with Premium-tier churn rates exceeding 40% should be subject to enhanced supervisory scrutiny of their relationship banking capabilities.</w:t>
            </w:r>
          </w:p>
        </w:tc>
      </w:tr>
    </w:tbl>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5. The Tenure Paradox &amp; Institutional Risk</w:t>
      </w:r>
    </w:p>
    <w:p>
      <w:pPr>
        <w:spacing w:after="100" w:before="60"/>
        <w:jc w:val="both"/>
      </w:pPr>
      <w:r>
        <w:rPr>
          <w:rFonts w:ascii="Arial" w:cs="Arial" w:eastAsia="Arial" w:hAnsi="Arial"/>
          <w:color w:val="404040"/>
          <w:sz w:val="22"/>
          <w:szCs w:val="22"/>
        </w:rPr>
        <w:t xml:space="preserve">One of the most strategically significant findings of this analysis is the Tenure Paradox: long-term customers — those with a banking relationship exceeding seven years — account for 61.4% of all churn.</w:t>
      </w:r>
    </w:p>
    <w:p>
      <w:pPr>
        <w:spacing w:after="0" w:before="80"/>
      </w:pPr>
      <w:r>
        <w:t xml:space="preserve"/>
      </w:r>
    </w:p>
    <w:p>
      <w:pPr>
        <w:spacing w:after="100" w:before="60"/>
        <w:jc w:val="both"/>
      </w:pPr>
      <w:r>
        <w:rPr>
          <w:rFonts w:ascii="Arial" w:cs="Arial" w:eastAsia="Arial" w:hAnsi="Arial"/>
          <w:color w:val="404040"/>
          <w:sz w:val="22"/>
          <w:szCs w:val="22"/>
        </w:rPr>
        <w:t xml:space="preserve">Conventional banking wisdom treats tenure as a proxy for loyalty. This study demonstrates that assumption to be empirically unsupported. Long-tenure customers whose product engagement has stagnated, whose digital platform adoption has not kept pace with modern interfaces, and whose relationship managers have been replaced without adequate continuity planning, are highly vulnerable to a single competitive trigger event.</w:t>
      </w:r>
    </w:p>
    <w:p>
      <w:pPr>
        <w:spacing w:after="0" w:before="80"/>
      </w:pPr>
      <w:r>
        <w:t xml:space="preserve"/>
      </w:r>
    </w:p>
    <w:p>
      <w:pPr>
        <w:spacing w:after="100" w:before="60"/>
        <w:jc w:val="both"/>
      </w:pPr>
      <w:r>
        <w:rPr>
          <w:rFonts w:ascii="Arial" w:cs="Arial" w:eastAsia="Arial" w:hAnsi="Arial"/>
          <w:color w:val="404040"/>
          <w:sz w:val="22"/>
          <w:szCs w:val="22"/>
        </w:rPr>
        <w:t xml:space="preserve">This finding has systemic implications: a large proportion of churned customers are not recent acquisions lost early — they are long-established banking relationships that institutions have silently allowed to erode over years. The regulatory implication is that churn prevention is not merely a commercial challenge; it is a customer relationship stewardship responsibility.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CCCCC" w:sz="1"/>
              <w:right w:val="single" w:color="CCCCCC" w:sz="1"/>
            </w:tcBorders>
            <w:shd w:fill="FFF2F2" w:val="clear"/>
            <w:tcMar>
              <w:top w:type="dxa" w:w="120"/>
              <w:left w:type="dxa" w:w="200"/>
              <w:bottom w:type="dxa" w:w="120"/>
              <w:right w:type="dxa" w:w="200"/>
            </w:tcMar>
          </w:tcPr>
          <w:p>
            <w:r>
              <w:rPr>
                <w:rFonts w:ascii="Arial" w:cs="Arial" w:eastAsia="Arial" w:hAnsi="Arial"/>
                <w:b/>
                <w:bCs/>
                <w:color w:val="C00000"/>
                <w:sz w:val="20"/>
                <w:szCs w:val="20"/>
              </w:rPr>
              <w:t xml:space="preserve">Policy Recommendation 5 — Customer Lifecycle Stewardship Standards</w:t>
            </w:r>
          </w:p>
          <w:p>
            <w:pPr>
              <w:spacing w:before="60"/>
            </w:pPr>
            <w:r>
              <w:rPr>
                <w:rFonts w:ascii="Arial" w:cs="Arial" w:eastAsia="Arial" w:hAnsi="Arial"/>
                <w:color w:val="404040"/>
                <w:sz w:val="20"/>
                <w:szCs w:val="20"/>
              </w:rPr>
              <w:t xml:space="preserve">Regulatory guidance should require banks to implement proactive lifecycle management programmes for customers with tenure exceeding five years. Annual relationship health reviews, digital platform re-engagement initiatives, and product refreshment outreach should be treated as consumer protection obligations, not optional commercial activities.</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6. Strategic Policy Recommendations Summary</w:t>
      </w:r>
    </w:p>
    <w:p>
      <w:pPr>
        <w:spacing w:after="100" w:before="60"/>
        <w:jc w:val="both"/>
      </w:pPr>
      <w:r>
        <w:rPr>
          <w:rFonts w:ascii="Arial" w:cs="Arial" w:eastAsia="Arial" w:hAnsi="Arial"/>
          <w:color w:val="404040"/>
          <w:sz w:val="22"/>
          <w:szCs w:val="22"/>
        </w:rPr>
        <w:t xml:space="preserve">The following six policy recommendations are derived directly from the analytical findings of this study. Each is targeted at a specific regulatory body and associated risk domain.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2160"/>
        <w:gridCol w:w="4140"/>
      </w:tblGrid>
      <w:t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 Authority</w:t>
            </w:r>
          </w:p>
        </w:tc>
        <w:tc>
          <w:tcPr>
            <w:tcW w:type="dxa" w:w="4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Outcome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1</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Mandate quarterly churn reporting by customer value tier — Germany-specific</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BaFin</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Improved transparency; baseline for Germany churn reduction targets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Lifecycle-sensitive engagement guidance for 30–45 age cohort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National Financial Inclusion Bodies</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Reduced churn among highest-value productive demographic</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3</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Gender-disaggregated churn reporting requirement with action plan threshold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European Banking Authority (EBA)</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Systemic reduction in gender churn gap; improved female financial inclusion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Include Premium-tier attrition in stability assessments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ECB / National Supervisory Authorities</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Reduced systemic risk from HVC migration to unregulated platforms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5</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Customer lifecycle stewardship standards for long-tenure clients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National Banking Regulators</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Prevention of silent tenure-based churn; improved consumer protection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Sector-wide segmentation analytics capability standard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EBA / Basel Committee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Industry-wide uplift from reactive to predictive retention management</w:t>
            </w:r>
          </w:p>
        </w:tc>
      </w:tr>
    </w:tbl>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7. Limitations &amp; Analytical Boundaries</w:t>
      </w:r>
    </w:p>
    <w:p>
      <w:pPr>
        <w:spacing w:after="100" w:before="60"/>
        <w:jc w:val="both"/>
      </w:pPr>
      <w:r>
        <w:rPr>
          <w:rFonts w:ascii="Arial" w:cs="Arial" w:eastAsia="Arial" w:hAnsi="Arial"/>
          <w:color w:val="404040"/>
          <w:sz w:val="22"/>
          <w:szCs w:val="22"/>
        </w:rPr>
        <w:t xml:space="preserve">Policy recommendations in this report are grounded in exploratory data analysis (EDA). The following limitations should be acknowledged by any regulatory body utilising these findings:</w:t>
      </w:r>
    </w:p>
    <w:p>
      <w:pPr>
        <w:pStyle w:val="ListParagraph"/>
        <w:numPr>
          <w:ilvl w:val="0"/>
          <w:numId w:val="2"/>
        </w:numPr>
        <w:spacing w:after="40" w:before="40"/>
      </w:pPr>
      <w:r>
        <w:rPr>
          <w:rFonts w:ascii="Arial" w:cs="Arial" w:eastAsia="Arial" w:hAnsi="Arial"/>
          <w:color w:val="404040"/>
          <w:sz w:val="22"/>
          <w:szCs w:val="22"/>
        </w:rPr>
        <w:t xml:space="preserve">This study is descriptive and segmentation-based, not predictive. Individual-level churn probability modelling (using machine learning methods) would enhance targeting precision for regulatory interventions.</w:t>
      </w:r>
    </w:p>
    <w:p>
      <w:pPr>
        <w:pStyle w:val="ListParagraph"/>
        <w:numPr>
          <w:ilvl w:val="0"/>
          <w:numId w:val="2"/>
        </w:numPr>
        <w:spacing w:after="40" w:before="40"/>
      </w:pPr>
      <w:r>
        <w:rPr>
          <w:rFonts w:ascii="Arial" w:cs="Arial" w:eastAsia="Arial" w:hAnsi="Arial"/>
          <w:color w:val="404040"/>
          <w:sz w:val="22"/>
          <w:szCs w:val="22"/>
        </w:rPr>
        <w:t xml:space="preserve">The dataset does not include temporal transaction history; longitudinal enrichment would improve the causality of churn attribution across segments.</w:t>
      </w:r>
    </w:p>
    <w:p>
      <w:pPr>
        <w:pStyle w:val="ListParagraph"/>
        <w:numPr>
          <w:ilvl w:val="0"/>
          <w:numId w:val="2"/>
        </w:numPr>
        <w:spacing w:after="40" w:before="40"/>
      </w:pPr>
      <w:r>
        <w:rPr>
          <w:rFonts w:ascii="Arial" w:cs="Arial" w:eastAsia="Arial" w:hAnsi="Arial"/>
          <w:color w:val="404040"/>
          <w:sz w:val="22"/>
          <w:szCs w:val="22"/>
        </w:rPr>
        <w:t xml:space="preserve">Geographic analysis is at the country level; sub-national regional analysis may reveal additional heterogeneity requiring localised policy responses.</w:t>
      </w:r>
    </w:p>
    <w:p>
      <w:pPr>
        <w:pStyle w:val="ListParagraph"/>
        <w:numPr>
          <w:ilvl w:val="0"/>
          <w:numId w:val="2"/>
        </w:numPr>
        <w:spacing w:after="40" w:before="40"/>
      </w:pPr>
      <w:r>
        <w:rPr>
          <w:rFonts w:ascii="Arial" w:cs="Arial" w:eastAsia="Arial" w:hAnsi="Arial"/>
          <w:color w:val="404040"/>
          <w:sz w:val="22"/>
          <w:szCs w:val="22"/>
        </w:rPr>
        <w:t xml:space="preserve">The salary variable is estimated rather than verified, introducing potential measurement error in financial stability scoring.</w:t>
      </w:r>
    </w:p>
    <w:p>
      <w:pPr>
        <w:spacing w:after="0" w:before="120"/>
      </w:pPr>
      <w:r>
        <w:t xml:space="preserve"/>
      </w:r>
    </w:p>
    <w:p>
      <w:pPr>
        <w:spacing w:after="100" w:before="60"/>
        <w:jc w:val="both"/>
      </w:pPr>
      <w:r>
        <w:rPr>
          <w:rFonts w:ascii="Arial" w:cs="Arial" w:eastAsia="Arial" w:hAnsi="Arial"/>
          <w:color w:val="404040"/>
          <w:sz w:val="22"/>
          <w:szCs w:val="22"/>
        </w:rPr>
        <w:t xml:space="preserve">Future analytical phases should incorporate predictive modelling, Customer Lifetime Value (CLV) quantification, and A/B testing of retention interventions to move from diagnostic insight to measurable policy impact.</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8. Conclusion</w:t>
      </w:r>
    </w:p>
    <w:p>
      <w:pPr>
        <w:spacing w:after="100" w:before="60"/>
        <w:jc w:val="both"/>
      </w:pPr>
      <w:r>
        <w:rPr>
          <w:rFonts w:ascii="Arial" w:cs="Arial" w:eastAsia="Arial" w:hAnsi="Arial"/>
          <w:color w:val="404040"/>
          <w:sz w:val="22"/>
          <w:szCs w:val="22"/>
        </w:rPr>
        <w:t xml:space="preserve">European retail banking faces a structurally elevated churn challenge that is neither uniform nor random. It is concentrated in specific geographies (Germany), demographics (30–45 cohort, female customers), customer value tiers (Premium), and tenure groups (long-term customers) — each representing a distinct, analytically identifiable, and policy-addressable risk.</w:t>
      </w:r>
    </w:p>
    <w:p>
      <w:pPr>
        <w:spacing w:after="0" w:before="80"/>
      </w:pPr>
      <w:r>
        <w:t xml:space="preserve"/>
      </w:r>
    </w:p>
    <w:p>
      <w:pPr>
        <w:spacing w:after="100" w:before="60"/>
        <w:jc w:val="both"/>
      </w:pPr>
      <w:r>
        <w:rPr>
          <w:rFonts w:ascii="Arial" w:cs="Arial" w:eastAsia="Arial" w:hAnsi="Arial"/>
          <w:color w:val="404040"/>
          <w:sz w:val="22"/>
          <w:szCs w:val="22"/>
        </w:rPr>
        <w:t xml:space="preserve">The overall churn rate of 20.4% — above the European industry benchmark — is a sector-wide signal that existing retention frameworks, product alignment strategies, and customer lifecycle management practices are insufficient. Without coordinated regulatory action, this structural churn will continue to erode banking sector profitability, compromise consumer financial welfare, and accelerate the migration of high-value customers to less-regulated financial platforms.</w:t>
      </w:r>
    </w:p>
    <w:p>
      <w:pPr>
        <w:spacing w:after="0" w:before="80"/>
      </w:pPr>
      <w:r>
        <w:t xml:space="preserve"/>
      </w:r>
    </w:p>
    <w:p>
      <w:pPr>
        <w:spacing w:after="100" w:before="60"/>
        <w:jc w:val="both"/>
      </w:pPr>
      <w:r>
        <w:rPr>
          <w:rFonts w:ascii="Arial" w:cs="Arial" w:eastAsia="Arial" w:hAnsi="Arial"/>
          <w:color w:val="404040"/>
          <w:sz w:val="22"/>
          <w:szCs w:val="22"/>
        </w:rPr>
        <w:t xml:space="preserve">This report recommends that European financial regulatory authorities treat elevated customer churn not as a commercial inconvenience but as a financial stability indicator warranting supervisory attention, disclosure mandates, and targeted intervention frameworks aligned with existing consumer protection and financial inclusion objectives.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8"/>
              <w:left w:val="none" w:color="FFFFFF" w:sz="0"/>
              <w:bottom w:val="single" w:color="1F3864" w:sz="8"/>
              <w:right w:val="none" w:color="FFFFFF" w:sz="0"/>
            </w:tcBorders>
            <w:shd w:fill="D6E4F0" w:val="clear"/>
            <w:tcMar>
              <w:top w:type="dxa" w:w="160"/>
              <w:left w:type="dxa" w:w="300"/>
              <w:bottom w:type="dxa" w:w="160"/>
              <w:right w:type="dxa" w:w="300"/>
            </w:tcMar>
          </w:tcPr>
          <w:p>
            <w:pPr>
              <w:spacing w:after="80"/>
              <w:jc w:val="center"/>
            </w:pPr>
            <w:r>
              <w:rPr>
                <w:rFonts w:ascii="Arial" w:cs="Arial" w:eastAsia="Arial" w:hAnsi="Arial"/>
                <w:b/>
                <w:bCs/>
                <w:color w:val="1F3864"/>
                <w:sz w:val="22"/>
                <w:szCs w:val="22"/>
              </w:rPr>
              <w:t xml:space="preserve">Prepared by: Piyush Pant</w:t>
            </w:r>
          </w:p>
          <w:p>
            <w:pPr>
              <w:spacing w:after="80"/>
              <w:jc w:val="center"/>
            </w:pPr>
            <w:r>
              <w:rPr>
                <w:rFonts w:ascii="Arial" w:cs="Arial" w:eastAsia="Arial" w:hAnsi="Arial"/>
                <w:color w:val="404040"/>
                <w:sz w:val="20"/>
                <w:szCs w:val="20"/>
              </w:rPr>
              <w:t xml:space="preserve">In Association with Unified Mentor Pvt. Ltd.  |  Under the Guidance of Mr. Saiprasad Kagne</w:t>
            </w:r>
          </w:p>
          <w:p>
            <w:pPr>
              <w:jc w:val="center"/>
            </w:pPr>
            <w:r>
              <w:rPr>
                <w:rFonts w:ascii="Arial" w:cs="Arial" w:eastAsia="Arial" w:hAnsi="Arial"/>
                <w:color w:val="888888"/>
                <w:sz w:val="20"/>
                <w:szCs w:val="20"/>
              </w:rPr>
              <w:t xml:space="preserve">May 2026  |  Analytical Domain: Retail Banking • Customer Intelligence • Churn Analytics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Customer Segmentation &amp; Churn Analytics in European Banking</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6"/>
        <w:szCs w:val="16"/>
      </w:rPr>
      <w:t xml:space="preserve">GOVERNMENT STAKEHOLDER REPORT  |  CONFIDENTIAL</w:t>
    </w:r>
    <w:r>
      <w:rPr>
        <w:rFonts w:ascii="Arial" w:cs="Arial" w:eastAsia="Arial" w:hAnsi="Arial"/>
        <w:sz w:val="16"/>
        <w:szCs w:val="16"/>
      </w:rPr>
      <w:t xml:space="preserve">	</w:t>
    </w:r>
    <w:r>
      <w:rPr>
        <w:rFonts w:ascii="Arial" w:cs="Arial" w:eastAsia="Arial" w:hAnsi="Arial"/>
        <w:color w:val="888888"/>
        <w:sz w:val="16"/>
        <w:szCs w:val="16"/>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2026-05-09T18:53:59.418Z</dcterms:created>
  <dcterms:modified xsi:type="dcterms:W3CDTF">2026-05-09T18:53:59.431Z</dcterms:modified>
</cp:coreProperties>
</file>

<file path=docProps/custom.xml><?xml version="1.0" encoding="utf-8"?>
<Properties xmlns="http://schemas.openxmlformats.org/officeDocument/2006/custom-properties" xmlns:vt="http://schemas.openxmlformats.org/officeDocument/2006/docPropsVTypes"/>
</file>