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Spike: công thức MathType (OLE), bộ mở rộng</w:t>
      </w:r>
    </w:p>
    <w:p>
      <w:pPr>
        <w:pStyle w:val="BodyText"/>
      </w:pPr>
      <w:r>
        <w:t xml:space="preserve">Phần A, B: mỗi dòng một công thức. Phần C: các trường hợp đặc biệt.</w:t>
      </w:r>
    </w:p>
    <w:p>
      <w:pPr>
        <w:pStyle w:val="BodyText"/>
      </w:pPr>
      <w:r>
        <w:rPr>
          <w:b/>
          <w:bCs/>
        </w:rPr>
        <w:t xml:space="preserve">Phần A. 40 biểu thức Toán THCS</w:t>
      </w:r>
    </w:p>
    <w:p>
      <w:pPr>
        <w:pStyle w:val="BodyText"/>
      </w:pPr>
      <w:r>
        <w:t xml:space="preserve">A11.</w:t>
      </w:r>
      <w:r>
        <w:t xml:space="preserve"> </w:t>
      </w:r>
      <m:oMath>
        <m:rad>
          <m:deg>
            <m:r>
              <m:t>3</m:t>
            </m:r>
          </m:deg>
          <m:e>
            <m:r>
              <m:t>27</m:t>
            </m:r>
          </m:e>
        </m:rad>
      </m:oMath>
    </w:p>
    <w:p>
      <w:pPr>
        <w:pStyle w:val="BodyText"/>
      </w:pPr>
      <w:r>
        <w:t xml:space="preserve">A12.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A13.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</m:oMath>
    </w:p>
    <w:p>
      <w:pPr>
        <w:pStyle w:val="BodyText"/>
      </w:pPr>
      <w:r>
        <w:t xml:space="preserve">A14.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Δ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</w:p>
    <w:p>
      <w:pPr>
        <w:pStyle w:val="BodyText"/>
      </w:pPr>
      <w:r>
        <w:t xml:space="preserve">A15.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3</m:t>
        </m:r>
      </m:oMath>
    </w:p>
    <w:p>
      <w:pPr>
        <w:pStyle w:val="BodyText"/>
      </w:pPr>
      <w:r>
        <w:t xml:space="preserve">A16.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</m:num>
          <m:den>
            <m:r>
              <m:t>c</m:t>
            </m:r>
          </m:den>
        </m:f>
      </m:oMath>
    </w:p>
    <w:p>
      <w:pPr>
        <w:pStyle w:val="BodyText"/>
      </w:pPr>
      <w:r>
        <w:t xml:space="preserve">A17.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A18.</w:t>
      </w:r>
      <w:r>
        <w:t xml:space="preserve"> </w:t>
      </w:r>
      <m:oMath>
        <m:r>
          <m:rPr>
            <m:sty m:val="p"/>
          </m:rPr>
          <m:t>tan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A19.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  <m:r>
          <m:rPr>
            <m:sty m:val="p"/>
          </m:rPr>
          <m:t>∼</m:t>
        </m:r>
        <m:r>
          <m:rPr>
            <m:sty m:val="p"/>
          </m:rPr>
          <m:t>△</m:t>
        </m:r>
        <m:r>
          <m:t>D</m:t>
        </m:r>
        <m:r>
          <m:t>E</m:t>
        </m:r>
        <m:r>
          <m:t>F</m:t>
        </m:r>
      </m:oMath>
    </w:p>
    <w:p>
      <w:pPr>
        <w:pStyle w:val="BodyText"/>
      </w:pPr>
      <w:r>
        <w:t xml:space="preserve">A20.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∥</m:t>
        </m:r>
        <m:r>
          <m:t>C</m:t>
        </m:r>
        <m:r>
          <m:t>D</m:t>
        </m:r>
      </m:oMath>
    </w:p>
    <w:p>
      <w:pPr>
        <w:pStyle w:val="BodyText"/>
      </w:pPr>
      <w:r>
        <w:t xml:space="preserve">A21.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⟂</m:t>
        </m:r>
        <m:r>
          <m:t>C</m:t>
        </m:r>
        <m:r>
          <m:t>D</m:t>
        </m:r>
      </m:oMath>
    </w:p>
    <w:p>
      <w:pPr>
        <w:pStyle w:val="BodyText"/>
      </w:pPr>
      <w:r>
        <w:t xml:space="preserve">A22.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b</m:t>
            </m:r>
            <m:r>
              <m:t>c</m:t>
            </m:r>
          </m:e>
        </m:bar>
      </m:oMath>
    </w:p>
    <w:p>
      <w:pPr>
        <w:pStyle w:val="BodyText"/>
      </w:pPr>
      <w:r>
        <w:t xml:space="preserve">A23.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</w:p>
    <w:p>
      <w:pPr>
        <w:pStyle w:val="BodyText"/>
      </w:pPr>
      <w:r>
        <w:t xml:space="preserve">A24.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</w:p>
    <w:p>
      <w:pPr>
        <w:pStyle w:val="BodyText"/>
      </w:pPr>
      <w:r>
        <w:t xml:space="preserve">A25.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⌀</m:t>
        </m:r>
      </m:oMath>
    </w:p>
    <w:p>
      <w:pPr>
        <w:pStyle w:val="BodyText"/>
      </w:pPr>
      <w:r>
        <w:t xml:space="preserve">A26.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A27.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;</m:t>
        </m:r>
        <m:r>
          <m:t>b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A28.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 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A29.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h</m:t>
        </m:r>
      </m:oMath>
    </w:p>
    <w:p>
      <w:pPr>
        <w:pStyle w:val="BodyText"/>
      </w:pPr>
      <w:r>
        <w:t xml:space="preserve">A30.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414</m:t>
        </m:r>
      </m:oMath>
    </w:p>
    <w:p>
      <w:pPr>
        <w:pStyle w:val="BodyText"/>
      </w:pPr>
      <w:r>
        <w:t xml:space="preserve">A31.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A32.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≤</m:t>
        </m:r>
        <m:r>
          <m:t>12</m:t>
        </m:r>
      </m:oMath>
    </w:p>
    <w:p>
      <w:pPr>
        <w:pStyle w:val="BodyText"/>
      </w:pPr>
      <w:r>
        <w:t xml:space="preserve">A33.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t xml:space="preserve">A34.</w:t>
      </w:r>
      <w:r>
        <w:t xml:space="preserve"> </w:t>
      </w:r>
      <m:oMath>
        <m:d>
          <m:dPr>
            <m:begChr m:val="[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left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mr>
            </m:m>
          </m:e>
        </m:d>
      </m:oMath>
    </w:p>
    <w:p>
      <w:pPr>
        <w:pStyle w:val="BodyText"/>
      </w:pPr>
      <w:r>
        <w:t xml:space="preserve">A35.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A36.</w:t>
      </w:r>
      <w:r>
        <w:t xml:space="preserve"> </w:t>
      </w:r>
      <m:oMath>
        <m:sSup>
          <m:e>
            <m:r>
              <m:rPr>
                <m:nor/>
              </m:rPr>
              <m:t>cm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A37.</w:t>
      </w:r>
      <w:r>
        <w:t xml:space="preserve"> </w:t>
      </w:r>
      <m:oMath>
        <m:r>
          <m:rPr>
            <m:sty m:val="p"/>
          </m:rPr>
          <m:t>∠</m:t>
        </m:r>
        <m:r>
          <m:t>x</m:t>
        </m:r>
        <m:r>
          <m:t>O</m:t>
        </m:r>
        <m:r>
          <m:t>y</m:t>
        </m:r>
      </m:oMath>
    </w:p>
    <w:p>
      <w:pPr>
        <w:pStyle w:val="BodyText"/>
      </w:pPr>
      <w:r>
        <w:t xml:space="preserve">A38.</w:t>
      </w:r>
      <w:r>
        <w:t xml:space="preserve"> </w:t>
      </w:r>
      <m:oMath>
        <m:limUpp>
          <m:e>
            <m:r>
              <m:t>A</m:t>
            </m:r>
            <m:r>
              <m:t>B</m:t>
            </m:r>
          </m:e>
          <m:lim>
            <m:r>
              <m:rPr>
                <m:sty m:val="p"/>
              </m:rPr>
              <m:t>⌢</m:t>
            </m:r>
          </m:lim>
        </m:limUpp>
      </m:oMath>
    </w:p>
    <w:p>
      <w:pPr>
        <w:pStyle w:val="BodyText"/>
      </w:pPr>
      <w:r>
        <w:t xml:space="preserve">A39.</w:t>
      </w:r>
      <w:r>
        <w:t xml:space="preserve"> </w:t>
      </w:r>
      <m:oMath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p>
        </m:sSup>
      </m:oMath>
    </w:p>
    <w:p>
      <w:pPr>
        <w:pStyle w:val="BodyText"/>
      </w:pPr>
      <w:r>
        <w:t xml:space="preserve">A40.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den>
        </m:f>
      </m:oMath>
    </w:p>
    <w:p>
      <w:pPr>
        <w:pStyle w:val="BodyText"/>
      </w:pPr>
      <w:r>
        <w:t xml:space="preserve">A41.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A42.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3</m:t>
        </m:r>
      </m:oMath>
    </w:p>
    <w:p>
      <w:pPr>
        <w:pStyle w:val="BodyText"/>
      </w:pPr>
      <w:r>
        <w:t xml:space="preserve">A43.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5</m:t>
        </m:r>
      </m:oMath>
    </w:p>
    <w:p>
      <w:pPr>
        <w:pStyle w:val="BodyText"/>
      </w:pPr>
      <w:r>
        <w:t xml:space="preserve">A44.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A45.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i</m:t>
            </m:r>
          </m:e>
        </m:nary>
      </m:oMath>
    </w:p>
    <w:p>
      <w:pPr>
        <w:pStyle w:val="BodyText"/>
      </w:pPr>
      <w:r>
        <w:t xml:space="preserve">A46.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</w:p>
    <w:p>
      <w:pPr>
        <w:pStyle w:val="BodyText"/>
      </w:pPr>
      <w:r>
        <w:t xml:space="preserve">A47.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</w:p>
    <w:p>
      <w:pPr>
        <w:pStyle w:val="BodyText"/>
      </w:pPr>
      <w:r>
        <w:t xml:space="preserve">A48.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</w:p>
    <w:p>
      <w:pPr>
        <w:pStyle w:val="BodyText"/>
      </w:pPr>
      <w:r>
        <w:t xml:space="preserve">A49.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5</m:t>
        </m:r>
        <m:r>
          <m:rPr>
            <m:nor/>
          </m:rPr>
          <m:t> cm</m:t>
        </m:r>
      </m:oMath>
    </w:p>
    <w:p>
      <w:pPr>
        <w:pStyle w:val="BodyText"/>
      </w:pPr>
      <w:r>
        <w:t xml:space="preserve">A50.</w:t>
      </w:r>
      <w:r>
        <w:t xml:space="preserve"> </w:t>
      </w:r>
      <m:oMath>
        <m:r>
          <m:t>a</m:t>
        </m:r>
        <m:r>
          <m:rPr>
            <m:sty m:val="p"/>
          </m:rPr>
          <m:t>⋮</m:t>
        </m:r>
        <m:r>
          <m:t>b</m:t>
        </m:r>
      </m:oMath>
    </w:p>
    <w:p>
      <w:pPr>
        <w:pStyle w:val="BodyText"/>
      </w:pPr>
      <w:r>
        <w:rPr>
          <w:b/>
          <w:bCs/>
        </w:rPr>
        <w:t xml:space="preserve">Phần B. Ký hiệu và cấu trúc</w:t>
      </w:r>
    </w:p>
    <w:p>
      <w:pPr>
        <w:pStyle w:val="BodyText"/>
      </w:pPr>
      <w:r>
        <w:t xml:space="preserve">B1.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</w:p>
    <w:p>
      <w:pPr>
        <w:pStyle w:val="BodyText"/>
      </w:pPr>
      <w:r>
        <w:t xml:space="preserve">B2.</w:t>
      </w:r>
      <w:r>
        <w:t xml:space="preserve"> </w:t>
      </w:r>
      <m:oMath>
        <m:r>
          <m:t>a</m:t>
        </m:r>
        <m:r>
          <m:rPr>
            <m:sty m:val="p"/>
          </m:rPr>
          <m:t>÷</m:t>
        </m:r>
        <m:r>
          <m:t>b</m:t>
        </m:r>
      </m:oMath>
    </w:p>
    <w:p>
      <w:pPr>
        <w:pStyle w:val="BodyText"/>
      </w:pPr>
      <w:r>
        <w:t xml:space="preserve">B3.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b</m:t>
        </m:r>
      </m:oMath>
    </w:p>
    <w:p>
      <w:pPr>
        <w:pStyle w:val="BodyText"/>
      </w:pPr>
      <w:r>
        <w:t xml:space="preserve">B4.</w:t>
      </w:r>
      <w:r>
        <w:t xml:space="preserve"> </w:t>
      </w:r>
      <m:oMath>
        <m:r>
          <m:t>a</m:t>
        </m:r>
        <m:r>
          <m:rPr>
            <m:sty m:val="p"/>
          </m:rPr>
          <m:t>±</m:t>
        </m:r>
        <m:r>
          <m:t>b</m:t>
        </m:r>
      </m:oMath>
    </w:p>
    <w:p>
      <w:pPr>
        <w:pStyle w:val="BodyText"/>
      </w:pPr>
      <w:r>
        <w:t xml:space="preserve">B5.</w:t>
      </w:r>
      <w:r>
        <w:t xml:space="preserve"> </w:t>
      </w:r>
      <m:oMath>
        <m:r>
          <m:t>a</m:t>
        </m:r>
        <m:r>
          <m:rPr>
            <m:sty m:val="p"/>
          </m:rPr>
          <m:t>∓</m:t>
        </m:r>
        <m:r>
          <m:t>b</m:t>
        </m:r>
      </m:oMath>
    </w:p>
    <w:p>
      <w:pPr>
        <w:pStyle w:val="BodyText"/>
      </w:pPr>
      <w:r>
        <w:t xml:space="preserve">B6.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</w:p>
    <w:p>
      <w:pPr>
        <w:pStyle w:val="BodyText"/>
      </w:pPr>
      <w:r>
        <w:t xml:space="preserve">B7.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b</m:t>
        </m:r>
      </m:oMath>
    </w:p>
    <w:p>
      <w:pPr>
        <w:pStyle w:val="BodyText"/>
      </w:pPr>
      <w:r>
        <w:t xml:space="preserve">B8.</w:t>
      </w:r>
      <w:r>
        <w:t xml:space="preserve"> </w:t>
      </w:r>
      <m:oMath>
        <m:r>
          <m:t>a</m:t>
        </m:r>
        <m:r>
          <m:rPr>
            <m:sty m:val="p"/>
          </m:rPr>
          <m:t>≈</m:t>
        </m:r>
        <m:r>
          <m:t>b</m:t>
        </m:r>
      </m:oMath>
    </w:p>
    <w:p>
      <w:pPr>
        <w:pStyle w:val="BodyText"/>
      </w:pPr>
      <w:r>
        <w:t xml:space="preserve">B9.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</w:p>
    <w:p>
      <w:pPr>
        <w:pStyle w:val="BodyText"/>
      </w:pPr>
      <w:r>
        <w:t xml:space="preserve">B10.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</w:p>
    <w:p>
      <w:pPr>
        <w:pStyle w:val="BodyText"/>
      </w:pPr>
      <w:r>
        <w:t xml:space="preserve">B11.</w:t>
      </w:r>
      <w:r>
        <w:t xml:space="preserve"> </w:t>
      </w:r>
      <m:oMath>
        <m:r>
          <m:t>a</m:t>
        </m:r>
        <m:r>
          <m:rPr>
            <m:sty m:val="p"/>
          </m:rPr>
          <m:t>≅</m:t>
        </m:r>
        <m:r>
          <m:t>b</m:t>
        </m:r>
      </m:oMath>
    </w:p>
    <w:p>
      <w:pPr>
        <w:pStyle w:val="BodyText"/>
      </w:pPr>
      <w:r>
        <w:t xml:space="preserve">B12.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</w:p>
    <w:p>
      <w:pPr>
        <w:pStyle w:val="BodyText"/>
      </w:pPr>
      <w:r>
        <w:t xml:space="preserve">B13.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t>B</m:t>
        </m:r>
      </m:oMath>
    </w:p>
    <w:p>
      <w:pPr>
        <w:pStyle w:val="BodyText"/>
      </w:pPr>
      <w:r>
        <w:t xml:space="preserve">B14.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</w:p>
    <w:p>
      <w:pPr>
        <w:pStyle w:val="BodyText"/>
      </w:pPr>
      <w:r>
        <w:t xml:space="preserve">B15.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</w:p>
    <w:p>
      <w:pPr>
        <w:pStyle w:val="BodyText"/>
      </w:pPr>
      <w:r>
        <w:t xml:space="preserve">B16.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</w:p>
    <w:p>
      <w:pPr>
        <w:pStyle w:val="BodyText"/>
      </w:pPr>
      <w:r>
        <w:t xml:space="preserve">B17.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</w:p>
    <w:p>
      <w:pPr>
        <w:pStyle w:val="BodyText"/>
      </w:pPr>
      <w:r>
        <w:t xml:space="preserve">B18.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</w:p>
    <w:p>
      <w:pPr>
        <w:pStyle w:val="BodyText"/>
      </w:pPr>
      <w:r>
        <w:t xml:space="preserve">B19.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</w:p>
    <w:p>
      <w:pPr>
        <w:pStyle w:val="BodyText"/>
      </w:pPr>
      <w:r>
        <w:t xml:space="preserve">B20.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</m:oMath>
    </w:p>
    <w:p>
      <w:pPr>
        <w:pStyle w:val="BodyText"/>
      </w:pPr>
      <w:r>
        <w:t xml:space="preserve">B21.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</m:oMath>
    </w:p>
    <w:p>
      <w:pPr>
        <w:pStyle w:val="BodyText"/>
      </w:pPr>
      <w:r>
        <w:t xml:space="preserve">B22.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</w:p>
    <w:p>
      <w:pPr>
        <w:pStyle w:val="BodyText"/>
      </w:pPr>
      <w:r>
        <w:t xml:space="preserve">B23.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</w:p>
    <w:p>
      <w:pPr>
        <w:pStyle w:val="BodyText"/>
      </w:pPr>
      <w:r>
        <w:t xml:space="preserve">B24.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</w:p>
    <w:p>
      <w:pPr>
        <w:pStyle w:val="BodyText"/>
      </w:pPr>
      <w:r>
        <w:t xml:space="preserve">B25.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BodyText"/>
      </w:pPr>
      <w:r>
        <w:t xml:space="preserve">B26.</w:t>
      </w:r>
      <w:r>
        <w:t xml:space="preserve"> </w:t>
      </w:r>
      <m:oMath>
        <m:r>
          <m:t>a</m:t>
        </m:r>
        <m:r>
          <m:t> </m:t>
        </m:r>
        <m:r>
          <m:t>b</m:t>
        </m:r>
      </m:oMath>
    </w:p>
    <w:p>
      <w:pPr>
        <w:pStyle w:val="BodyText"/>
      </w:pPr>
      <w:r>
        <w:t xml:space="preserve">B27.</w:t>
      </w:r>
      <w:r>
        <w:t xml:space="preserve"> </w:t>
      </w:r>
      <m:oMath>
        <m:r>
          <m:t>a</m:t>
        </m:r>
        <m:r>
          <m:t> </m:t>
        </m:r>
        <m:r>
          <m:t>b</m:t>
        </m:r>
      </m:oMath>
    </w:p>
    <w:p>
      <w:pPr>
        <w:pStyle w:val="BodyText"/>
      </w:pPr>
      <w:r>
        <w:t xml:space="preserve">B28.</w:t>
      </w:r>
      <w:r>
        <w:t xml:space="preserve"> </w:t>
      </w:r>
      <m:oMath>
        <m:r>
          <m:t>a</m:t>
        </m:r>
        <m:r>
          <m:t> </m:t>
        </m:r>
        <m:r>
          <m:t>b</m:t>
        </m:r>
      </m:oMath>
    </w:p>
    <w:p>
      <w:pPr>
        <w:pStyle w:val="BodyText"/>
      </w:pPr>
      <w:r>
        <w:t xml:space="preserve">B29.</w:t>
      </w:r>
      <w:r>
        <w:t xml:space="preserve"> </w:t>
      </w:r>
      <m:oMath>
        <m:r>
          <m:t>a</m:t>
        </m:r>
        <m:r>
          <m:t> </m:t>
        </m:r>
        <m:r>
          <m:t>b</m:t>
        </m:r>
      </m:oMath>
    </w:p>
    <w:p>
      <w:pPr>
        <w:pStyle w:val="BodyText"/>
      </w:pPr>
      <w:r>
        <w:t xml:space="preserve">B30.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</m:oMath>
    </w:p>
    <w:p>
      <w:pPr>
        <w:pStyle w:val="BodyText"/>
      </w:pPr>
      <w:r>
        <w:t xml:space="preserve">B31.</w:t>
      </w:r>
      <w:r>
        <w:t xml:space="preserve"> </w:t>
      </w:r>
      <m:oMath>
        <m:r>
          <m:t>2.5</m:t>
        </m:r>
      </m:oMath>
    </w:p>
    <w:p>
      <w:pPr>
        <w:pStyle w:val="BodyText"/>
      </w:pPr>
      <w:r>
        <w:t xml:space="preserve">B32.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</m:oMath>
    </w:p>
    <w:p>
      <w:pPr>
        <w:pStyle w:val="BodyText"/>
      </w:pPr>
      <w:r>
        <w:t xml:space="preserve">B33.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B34.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B35.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b</m:t>
        </m:r>
      </m:oMath>
    </w:p>
    <w:p>
      <w:pPr>
        <w:pStyle w:val="BodyText"/>
      </w:pPr>
      <w:r>
        <w:t xml:space="preserve">B36.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</w:p>
    <w:p>
      <w:pPr>
        <w:pStyle w:val="BodyText"/>
      </w:pPr>
      <w:r>
        <w:t xml:space="preserve">B37.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</m:oMath>
    </w:p>
    <w:p>
      <w:pPr>
        <w:pStyle w:val="BodyText"/>
      </w:pPr>
      <w:r>
        <w:t xml:space="preserve">B38.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</m:oMath>
    </w:p>
    <w:p>
      <w:pPr>
        <w:pStyle w:val="BodyText"/>
      </w:pPr>
      <w:r>
        <w:t xml:space="preserve">B39.</w:t>
      </w:r>
      <w:r>
        <w:t xml:space="preserve"> </w:t>
      </w:r>
      <m:oMath>
        <m:r>
          <m:t>α</m:t>
        </m:r>
        <m:r>
          <m:t>β</m:t>
        </m:r>
        <m:r>
          <m:t>γ</m:t>
        </m:r>
        <m:r>
          <m:t>δ</m:t>
        </m:r>
        <m:r>
          <m:t>ε</m:t>
        </m:r>
        <m:r>
          <m:t>θ</m:t>
        </m:r>
        <m:r>
          <m:t>λ</m:t>
        </m:r>
        <m:r>
          <m:t>μ</m:t>
        </m:r>
        <m:r>
          <m:t>ρ</m:t>
        </m:r>
        <m:r>
          <m:t>σ</m:t>
        </m:r>
        <m:r>
          <m:t>φ</m:t>
        </m:r>
        <m:r>
          <m:t>ω</m:t>
        </m:r>
      </m:oMath>
    </w:p>
    <w:p>
      <w:pPr>
        <w:pStyle w:val="BodyText"/>
      </w:pPr>
      <w:r>
        <w:t xml:space="preserve">B40.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Λ</m:t>
        </m:r>
        <m:r>
          <m:rPr>
            <m:sty m:val="p"/>
          </m:rPr>
          <m:t>Ω</m:t>
        </m:r>
        <m:r>
          <m:rPr>
            <m:sty m:val="p"/>
          </m:rPr>
          <m:t>Σ</m:t>
        </m:r>
        <m:r>
          <m:rPr>
            <m:sty m:val="p"/>
          </m:rPr>
          <m:t>Φ</m:t>
        </m:r>
        <m:r>
          <m:rPr>
            <m:sty m:val="p"/>
          </m:rPr>
          <m:t>Π</m:t>
        </m:r>
        <m:r>
          <m:rPr>
            <m:sty m:val="p"/>
          </m:rPr>
          <m:t>Θ</m:t>
        </m:r>
      </m:oMath>
    </w:p>
    <w:p>
      <w:pPr>
        <w:pStyle w:val="BodyText"/>
      </w:pPr>
      <w:r>
        <w:t xml:space="preserve">B41.</w:t>
      </w:r>
      <w:r>
        <w:t xml:space="preserve"> </w:t>
      </w:r>
      <m:oMath>
        <m:r>
          <m:rPr>
            <m:nor/>
          </m:rPr>
          <m:t>Vậy </m:t>
        </m:r>
        <m:r>
          <m:t>x</m:t>
        </m:r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w:r>
        <w:t xml:space="preserve">B42.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8</m:t>
        </m:r>
      </m:oMath>
    </w:p>
    <w:p>
      <w:pPr>
        <w:pStyle w:val="BodyText"/>
      </w:pPr>
      <w:r>
        <w:t xml:space="preserve">B43.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</m:oMath>
    </w:p>
    <w:p>
      <w:pPr>
        <w:pStyle w:val="BodyText"/>
      </w:pPr>
      <w:r>
        <w:t xml:space="preserve">B44.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</w:p>
    <w:p>
      <w:pPr>
        <w:pStyle w:val="BodyText"/>
      </w:pPr>
      <w:r>
        <w:t xml:space="preserve">B45.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</w:p>
    <w:p>
      <w:pPr>
        <w:pStyle w:val="BodyText"/>
      </w:pPr>
      <w:r>
        <w:t xml:space="preserve">B46.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BodyText"/>
      </w:pPr>
      <w:r>
        <w:t xml:space="preserve">B47.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</w:p>
    <w:p>
      <w:pPr>
        <w:pStyle w:val="BodyText"/>
      </w:pPr>
      <w:r>
        <w:t xml:space="preserve">B48.</w:t>
      </w:r>
      <w:r>
        <w:t xml:space="preserve"> </w:t>
      </w:r>
      <m:oMath>
        <m:acc>
          <m:accPr>
            <m:chr m:val="̇"/>
          </m:accPr>
          <m:e>
            <m:r>
              <m:t>x</m:t>
            </m:r>
          </m:e>
        </m:acc>
      </m:oMath>
    </w:p>
    <w:p>
      <w:pPr>
        <w:pStyle w:val="BodyText"/>
      </w:pPr>
      <w:r>
        <w:t xml:space="preserve">B49.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</m:oMath>
    </w:p>
    <w:p>
      <w:pPr>
        <w:pStyle w:val="BodyText"/>
      </w:pPr>
      <w:r>
        <w:t xml:space="preserve">B50.</w:t>
      </w:r>
      <w:r>
        <w:t xml:space="preserve"> </w:t>
      </w:r>
      <m:oMath>
        <m:rad>
          <m:deg>
            <m:r>
              <m:t>n</m:t>
            </m:r>
          </m:deg>
          <m:e>
            <m:r>
              <m:t>a</m:t>
            </m:r>
          </m:e>
        </m:rad>
      </m:oMath>
    </w:p>
    <w:p>
      <w:pPr>
        <w:pStyle w:val="BodyText"/>
      </w:pPr>
      <w:r>
        <w:t xml:space="preserve">B51.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t xml:space="preserve">B52.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den>
        </m:f>
      </m:oMath>
    </w:p>
    <w:p>
      <w:pPr>
        <w:pStyle w:val="BodyText"/>
      </w:pPr>
      <w:r>
        <w:t xml:space="preserve">B53.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</w:p>
    <w:p>
      <w:pPr>
        <w:pStyle w:val="BodyText"/>
      </w:pPr>
      <w:r>
        <w:t xml:space="preserve">B54.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</m:oMath>
    </w:p>
    <w:p>
      <w:pPr>
        <w:pStyle w:val="BodyText"/>
      </w:pPr>
      <w:r>
        <w:t xml:space="preserve">B55.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</w:p>
    <w:p>
      <w:pPr>
        <w:pStyle w:val="BodyText"/>
      </w:pPr>
      <w:r>
        <w:t xml:space="preserve">B56.</w:t>
      </w:r>
      <w:r>
        <w:t xml:space="preserve"> </w:t>
      </w:r>
      <m:oMath>
        <m:r>
          <m:rPr>
            <m:sty m:val="p"/>
          </m:rPr>
          <m:t>⌊</m:t>
        </m:r>
        <m:r>
          <m:t>x</m:t>
        </m:r>
        <m:r>
          <m:rPr>
            <m:sty m:val="p"/>
          </m:rPr>
          <m:t>⌋</m:t>
        </m:r>
      </m:oMath>
    </w:p>
    <w:p>
      <w:pPr>
        <w:pStyle w:val="BodyText"/>
      </w:pPr>
      <w:r>
        <w:t xml:space="preserve">B57.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</m:den>
            </m:f>
          </m:e>
        </m:d>
      </m:oMath>
    </w:p>
    <w:p>
      <w:pPr>
        <w:pStyle w:val="BodyText"/>
      </w:pPr>
      <w:r>
        <w:t xml:space="preserve">B58.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</w:p>
    <w:p>
      <w:pPr>
        <w:pStyle w:val="BodyText"/>
      </w:pPr>
      <w:r>
        <w:t xml:space="preserve">B59.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</m:oMath>
    </w:p>
    <w:p>
      <w:pPr>
        <w:pStyle w:val="BodyText"/>
      </w:pPr>
      <w:r>
        <w:t xml:space="preserve">B60.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B61.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</w:p>
    <w:p>
      <w:pPr>
        <w:pStyle w:val="BodyText"/>
      </w:pPr>
      <w:r>
        <w:t xml:space="preserve">B62.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</w:p>
    <w:p>
      <w:pPr>
        <w:pStyle w:val="BodyText"/>
      </w:pPr>
      <w:r>
        <w:t xml:space="preserve">B63.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pStyle w:val="BodyText"/>
      </w:pPr>
      <w:r>
        <w:t xml:space="preserve">B64.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C</m:t>
        </m:r>
        <m:r>
          <m:t>D</m:t>
        </m:r>
      </m:oMath>
    </w:p>
    <w:p>
      <w:pPr>
        <w:pStyle w:val="BodyText"/>
      </w:pPr>
      <w:r>
        <w:t xml:space="preserve">B65.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</w:p>
    <w:p>
      <w:pPr>
        <w:pStyle w:val="BodyText"/>
      </w:pPr>
      <w:r>
        <w:t xml:space="preserve">B66.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</w:p>
    <w:p>
      <w:pPr>
        <w:pStyle w:val="BodyText"/>
      </w:pPr>
      <w:r>
        <w:t xml:space="preserve">B67.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ad>
          <m:radPr>
            <m:degHide m:val="on"/>
          </m:radPr>
          <m:deg/>
          <m:e>
            <m:r>
              <m:t>b</m:t>
            </m:r>
          </m:e>
        </m:rad>
      </m:oMath>
    </w:p>
    <w:p>
      <w:pPr>
        <w:pStyle w:val="BodyText"/>
      </w:pPr>
      <w:r>
        <w:t xml:space="preserve">B68.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</w:p>
    <w:p>
      <w:pPr>
        <w:pStyle w:val="BodyText"/>
      </w:pPr>
      <w:r>
        <w:rPr>
          <w:b/>
          <w:bCs/>
        </w:rPr>
        <w:t xml:space="preserve">Phần C. Trường hợp đặc biệt</w:t>
      </w:r>
    </w:p>
    <w:p>
      <w:pPr>
        <w:pStyle w:val="BodyText"/>
      </w:pPr>
      <w:r>
        <w:t xml:space="preserve">C1. Chữ tiếng Việt trong công thức:</w:t>
      </w:r>
      <w:r>
        <w:t xml:space="preserve"> </w:t>
      </w:r>
      <m:oMath>
        <m:r>
          <m:rPr>
            <m:nor/>
          </m:rPr>
          <m:t>Vậy 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12</m:t>
        </m:r>
        <m:sSup>
          <m:e>
            <m:r>
              <m:rPr>
                <m:nor/>
              </m:rPr>
              <m:t> cm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nor/>
          </m:rPr>
          <m:t>Số học sinh</m:t>
        </m:r>
        <m:r>
          <m:rPr>
            <m:sty m:val="p"/>
          </m:rPr>
          <m:t>=</m:t>
        </m:r>
        <m:r>
          <m:t>35</m:t>
        </m:r>
      </m:oMath>
      <w:r>
        <w:t xml:space="preserve">.</w:t>
      </w:r>
    </w:p>
    <w:p>
      <w:pPr>
        <w:pStyle w:val="BodyText"/>
      </w:pPr>
      <w:r>
        <w:t xml:space="preserve">C2. Công thức hiển thị riêng dòng (căn giữa):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Δ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C3. Phương án trắc nghiệm trên một dòng: A.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D.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w:r>
        <w:t xml:space="preserve">C4. Công thức chưa hỗ trợ, cố ý giữ dạng Equation của Word:</w:t>
      </w:r>
      <w:r>
        <w:t xml:space="preserve"> </w:t>
      </w:r>
      <m:oMath>
        <m:r>
          <m:rPr>
            <m:sty m:val="p"/>
          </m:rPr>
          <m:t>⌊</m:t>
        </m:r>
        <m:r>
          <m:t>x</m:t>
        </m:r>
        <m:r>
          <m:rPr>
            <m:sty m:val="p"/>
          </m:rPr>
          <m:t>⌋</m:t>
        </m:r>
      </m:oMath>
      <w:r>
        <w:t xml:space="preserve">.</w:t>
      </w:r>
    </w:p>
    <w:p>
      <w:pPr>
        <w:pStyle w:val="BodyText"/>
      </w:pPr>
      <w:r>
        <w:t xml:space="preserve">C5. Tích phân có lũy thừa trong thân: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</m:oMath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6"/>
        <w:szCs w:val="26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2026-10-24T09:52:00Z</dcterms:created>
  <dcterms:modified xsi:type="dcterms:W3CDTF">2026-10-24T09:52:00Z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