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Spike: công thức là đối tượng MathType (OLE), 10 biểu thức mẫu</w:t>
      </w:r>
    </w:p>
    <w:p>
      <w:pPr>
        <w:pStyle w:val="BodyText"/>
      </w:pPr>
      <w:r>
        <w:t xml:space="preserve">Mỗi dòng có chữ trước và sau công thức để xem công thức có nằm đúng dòng chữ không.</w:t>
      </w:r>
    </w:p>
    <w:p>
      <w:pPr>
        <w:pStyle w:val="FirstParagraph"/>
        <w:numPr>
          <w:ilvl w:val="0"/>
          <w:numId w:val="1001"/>
        </w:numPr>
      </w:pP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của số đó.</w:t>
      </w:r>
    </w:p>
    <w:p>
      <w:pPr>
        <w:pStyle w:val="FirstParagraph"/>
        <w:numPr>
          <w:ilvl w:val="0"/>
          <w:numId w:val="1001"/>
        </w:numPr>
      </w:pPr>
      <w:r>
        <w:t xml:space="preserve">Căn thức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luôn dương.</w:t>
      </w:r>
    </w:p>
    <w:p>
      <w:pPr>
        <w:pStyle w:val="FirstParagraph"/>
        <w:numPr>
          <w:ilvl w:val="0"/>
          <w:numId w:val="1001"/>
        </w:numPr>
      </w:pPr>
      <w:r>
        <w:t xml:space="preserve">Nghiệm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là số nguyên.</w:t>
      </w:r>
    </w:p>
    <w:p>
      <w:pPr>
        <w:pStyle w:val="FirstParagraph"/>
        <w:numPr>
          <w:ilvl w:val="0"/>
          <w:numId w:val="1001"/>
        </w:numPr>
      </w:pPr>
      <w:r>
        <w:t xml:space="preserve">Lũy thừa</w:t>
      </w:r>
      <w:r>
        <w:t xml:space="preserve"> </w:t>
      </w:r>
      <m:oMath>
        <m:sSup>
          <m:e>
            <m:r>
              <m:t>2</m:t>
            </m:r>
          </m:e>
          <m:sup>
            <m:r>
              <m:t>10</m:t>
            </m:r>
          </m:sup>
        </m:sSup>
      </m:oMath>
      <w:r>
        <w:t xml:space="preserve"> </w:t>
      </w:r>
      <w:r>
        <w:t xml:space="preserve">bằng 1024.</w:t>
      </w:r>
    </w:p>
    <w:p>
      <w:pPr>
        <w:pStyle w:val="FirstParagraph"/>
        <w:numPr>
          <w:ilvl w:val="0"/>
          <w:numId w:val="1001"/>
        </w:numPr>
      </w:pPr>
      <w:r>
        <w:t xml:space="preserve">Biết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nên tam giác đều.</w:t>
      </w:r>
    </w:p>
    <w:p>
      <w:pPr>
        <w:pStyle w:val="FirstParagraph"/>
        <w:numPr>
          <w:ilvl w:val="0"/>
          <w:numId w:val="1001"/>
        </w:numPr>
      </w:pPr>
      <w:r>
        <w:t xml:space="preserve">Xét tam giác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 A.</w:t>
      </w:r>
    </w:p>
    <w:p>
      <w:pPr>
        <w:pStyle w:val="FirstParagraph"/>
        <w:numPr>
          <w:ilvl w:val="0"/>
          <w:numId w:val="1001"/>
        </w:numPr>
      </w:pPr>
      <w:r>
        <w:t xml:space="preserve">Giả sử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 </w:t>
      </w:r>
      <w:r>
        <w:t xml:space="preserve">thì phân số xác định.</w:t>
      </w:r>
    </w:p>
    <w:p>
      <w:pPr>
        <w:pStyle w:val="FirstParagraph"/>
        <w:numPr>
          <w:ilvl w:val="0"/>
          <w:numId w:val="1001"/>
        </w:numPr>
      </w:pPr>
      <w:r>
        <w:t xml:space="preserve">Bình phương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không âm.</w:t>
      </w:r>
    </w:p>
    <w:p>
      <w:pPr>
        <w:pStyle w:val="FirstParagraph"/>
        <w:numPr>
          <w:ilvl w:val="0"/>
          <w:numId w:val="1001"/>
        </w:numPr>
      </w:pPr>
      <w:r>
        <w:t xml:space="preserve">Giải hệ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ta được nghiệm.</w:t>
      </w:r>
    </w:p>
    <w:p>
      <w:pPr>
        <w:pStyle w:val="FirstParagraph"/>
        <w:numPr>
          <w:ilvl w:val="0"/>
          <w:numId w:val="1001"/>
        </w:numPr>
      </w:pPr>
      <w:r>
        <w:t xml:space="preserve">Diện tích hình tròn là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(đơn vị diện tích).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2026-10-24T09:46:55Z</dcterms:created>
  <dcterms:modified xsi:type="dcterms:W3CDTF">2026-10-24T09:46:55Z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