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  <w:lang w:val="fr-FR"/>
        </w:rPr>
        <w:id w:val="148744031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5871AC" w:rsidRPr="00D14B1F" w:rsidRDefault="005871AC" w:rsidP="00D14B1F">
          <w:pPr>
            <w:pStyle w:val="NoSpacing"/>
            <w:jc w:val="both"/>
            <w:rPr>
              <w:sz w:val="2"/>
              <w:lang w:val="fr-FR"/>
            </w:rPr>
          </w:pPr>
        </w:p>
        <w:p w:rsidR="005871AC" w:rsidRPr="00D14B1F" w:rsidRDefault="005871AC" w:rsidP="00D14B1F">
          <w:pPr>
            <w:jc w:val="both"/>
            <w:rPr>
              <w:lang w:val="fr-FR"/>
            </w:rPr>
          </w:pPr>
          <w:r w:rsidRPr="00D14B1F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6FA0C0" w:themeColor="text2" w:themeTint="99"/>
                                    <w:sz w:val="64"/>
                                    <w:szCs w:val="64"/>
                                    <w:lang w:val="fr-FR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5871AC" w:rsidRPr="00F54673" w:rsidRDefault="005871AC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6FA0C0" w:themeColor="text2" w:themeTint="99"/>
                                        <w:sz w:val="68"/>
                                        <w:szCs w:val="68"/>
                                        <w:lang w:val="fr-FR"/>
                                      </w:rPr>
                                    </w:pPr>
                                    <w:r w:rsidRPr="00F54673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6FA0C0" w:themeColor="text2" w:themeTint="99"/>
                                        <w:sz w:val="64"/>
                                        <w:szCs w:val="64"/>
                                        <w:lang w:val="fr-FR"/>
                                      </w:rPr>
                                      <w:t>INF15107 – Bases de données</w:t>
                                    </w:r>
                                  </w:p>
                                </w:sdtContent>
                              </w:sdt>
                              <w:p w:rsidR="005871AC" w:rsidRPr="00F54673" w:rsidRDefault="0000502C">
                                <w:pPr>
                                  <w:pStyle w:val="NoSpacing"/>
                                  <w:spacing w:before="120"/>
                                  <w:rPr>
                                    <w:color w:val="1CADE4" w:themeColor="accent1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36"/>
                                      <w:szCs w:val="36"/>
                                      <w:lang w:val="fr-FR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871AC" w:rsidRPr="00F54673">
                                      <w:rPr>
                                        <w:color w:val="1CADE4" w:themeColor="accent1"/>
                                        <w:sz w:val="36"/>
                                        <w:szCs w:val="36"/>
                                        <w:lang w:val="fr-FR"/>
                                      </w:rPr>
                                      <w:t>TP1</w:t>
                                    </w:r>
                                  </w:sdtContent>
                                </w:sdt>
                                <w:r w:rsidR="005871AC" w:rsidRPr="00F54673">
                                  <w:rPr>
                                    <w:noProof/>
                                    <w:lang w:val="fr-FR"/>
                                  </w:rPr>
                                  <w:t xml:space="preserve"> </w:t>
                                </w:r>
                              </w:p>
                              <w:p w:rsidR="005871AC" w:rsidRPr="00F54673" w:rsidRDefault="005871AC">
                                <w:pPr>
                                  <w:rPr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6FA0C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5871AC" w:rsidRDefault="005871AC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6FA0C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6FA0C0" w:themeColor="text2" w:themeTint="99"/>
                                  <w:sz w:val="64"/>
                                  <w:szCs w:val="64"/>
                                </w:rPr>
                                <w:t>INF15107 – Bases de données</w:t>
                              </w:r>
                            </w:p>
                          </w:sdtContent>
                        </w:sdt>
                        <w:p w:rsidR="005871AC" w:rsidRDefault="005871AC">
                          <w:pPr>
                            <w:pStyle w:val="NoSpacing"/>
                            <w:spacing w:before="120"/>
                            <w:rPr>
                              <w:color w:val="1CADE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CADE4" w:themeColor="accent1"/>
                                  <w:sz w:val="36"/>
                                  <w:szCs w:val="36"/>
                                </w:rPr>
                                <w:t>TP1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5871AC" w:rsidRDefault="005871AC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D14B1F">
            <w:rPr>
              <w:noProof/>
              <w:color w:val="1CADE4" w:themeColor="accent1"/>
              <w:sz w:val="36"/>
              <w:szCs w:val="36"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AB23249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D14B1F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871AC" w:rsidRDefault="0000502C">
                                <w:pPr>
                                  <w:pStyle w:val="NoSpacing"/>
                                  <w:jc w:val="right"/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871AC">
                                      <w:rPr>
                                        <w:color w:val="1CADE4" w:themeColor="accent1"/>
                                        <w:sz w:val="36"/>
                                        <w:szCs w:val="36"/>
                                      </w:rPr>
                                      <w:t>ELLIE Etienne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871AC" w:rsidRDefault="005871AC">
                                    <w:pPr>
                                      <w:pStyle w:val="NoSpacing"/>
                                      <w:jc w:val="right"/>
                                      <w:rPr>
                                        <w:color w:val="1CADE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CADE4" w:themeColor="accent1"/>
                                        <w:sz w:val="36"/>
                                        <w:szCs w:val="36"/>
                                      </w:rPr>
                                      <w:t>PANTZER Brendan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5871AC" w:rsidRDefault="005871AC">
                          <w:pPr>
                            <w:pStyle w:val="NoSpacing"/>
                            <w:jc w:val="right"/>
                            <w:rPr>
                              <w:color w:val="1CADE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1CADE4" w:themeColor="accent1"/>
                                  <w:sz w:val="36"/>
                                  <w:szCs w:val="36"/>
                                </w:rPr>
                                <w:t>ELLIE Etienne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CADE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5871AC" w:rsidRDefault="005871AC">
                              <w:pPr>
                                <w:pStyle w:val="NoSpacing"/>
                                <w:jc w:val="right"/>
                                <w:rPr>
                                  <w:color w:val="1CADE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CADE4" w:themeColor="accent1"/>
                                  <w:sz w:val="36"/>
                                  <w:szCs w:val="36"/>
                                </w:rPr>
                                <w:t>PANTZER Brendan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5871AC" w:rsidRPr="00D14B1F" w:rsidRDefault="005871AC" w:rsidP="00D14B1F">
          <w:pPr>
            <w:jc w:val="both"/>
            <w:rPr>
              <w:rFonts w:asciiTheme="majorHAnsi" w:eastAsiaTheme="majorEastAsia" w:hAnsiTheme="majorHAnsi" w:cstheme="majorBidi"/>
              <w:spacing w:val="-10"/>
              <w:kern w:val="28"/>
              <w:sz w:val="72"/>
              <w:szCs w:val="72"/>
              <w:lang w:val="fr-FR"/>
            </w:rPr>
          </w:pPr>
          <w:r w:rsidRPr="00D14B1F">
            <w:rPr>
              <w:lang w:val="fr-FR"/>
            </w:rPr>
            <w:br w:type="page"/>
          </w:r>
        </w:p>
      </w:sdtContent>
    </w:sdt>
    <w:p w:rsidR="00EA764D" w:rsidRPr="00D14B1F" w:rsidRDefault="005871AC" w:rsidP="00D14B1F">
      <w:pPr>
        <w:pStyle w:val="Title"/>
        <w:jc w:val="both"/>
        <w:rPr>
          <w:sz w:val="52"/>
          <w:lang w:val="fr-FR"/>
        </w:rPr>
      </w:pPr>
      <w:r w:rsidRPr="00D14B1F">
        <w:rPr>
          <w:sz w:val="52"/>
          <w:lang w:val="fr-FR"/>
        </w:rPr>
        <w:lastRenderedPageBreak/>
        <w:t>TP1 : Conception de base de données</w:t>
      </w:r>
    </w:p>
    <w:p w:rsidR="00DD2E73" w:rsidRDefault="00DD2E73" w:rsidP="00D14B1F">
      <w:pPr>
        <w:pStyle w:val="Heading1"/>
        <w:jc w:val="both"/>
        <w:rPr>
          <w:lang w:val="fr-FR"/>
        </w:rPr>
      </w:pPr>
      <w:r>
        <w:rPr>
          <w:lang w:val="fr-FR"/>
        </w:rPr>
        <w:t>Introduction</w:t>
      </w:r>
    </w:p>
    <w:p w:rsidR="00DD2E73" w:rsidRDefault="00DD2E73" w:rsidP="00DD2E73">
      <w:pPr>
        <w:rPr>
          <w:lang w:val="fr-FR"/>
        </w:rPr>
      </w:pPr>
    </w:p>
    <w:p w:rsidR="00DD2E73" w:rsidRDefault="00DD2E73" w:rsidP="00DD2E73">
      <w:pPr>
        <w:rPr>
          <w:lang w:val="fr-FR"/>
        </w:rPr>
      </w:pPr>
      <w:r>
        <w:rPr>
          <w:lang w:val="fr-FR"/>
        </w:rPr>
        <w:t xml:space="preserve">Ce rapport est le résultat de la conception </w:t>
      </w:r>
      <w:r w:rsidR="00F04E66">
        <w:rPr>
          <w:lang w:val="fr-FR"/>
        </w:rPr>
        <w:t>du modèle «entité association» pour une ferme apicole afin d’informatiser la gestion de ces ruchers. Le but final est le suivi et la gestion des ruchers de manière automatisée.</w:t>
      </w:r>
    </w:p>
    <w:p w:rsidR="00F04E66" w:rsidRPr="00DD2E73" w:rsidRDefault="00F04E66" w:rsidP="00DD2E73">
      <w:pPr>
        <w:rPr>
          <w:lang w:val="fr-FR"/>
        </w:rPr>
      </w:pPr>
      <w:r>
        <w:rPr>
          <w:lang w:val="fr-FR"/>
        </w:rPr>
        <w:t>De plus, nous y présentons les éléments qui peuvent sembler ambigus lors de la lecture du diagramme, notamment vis-à-vis du choix des types ou des relations entre les tables.</w:t>
      </w:r>
    </w:p>
    <w:p w:rsidR="00EA764D" w:rsidRPr="00D14B1F" w:rsidRDefault="008748C4" w:rsidP="00D14B1F">
      <w:pPr>
        <w:pStyle w:val="Heading1"/>
        <w:jc w:val="both"/>
        <w:rPr>
          <w:lang w:val="fr-FR"/>
        </w:rPr>
      </w:pPr>
      <w:r w:rsidRPr="00D14B1F">
        <w:rPr>
          <w:lang w:val="fr-FR"/>
        </w:rPr>
        <w:t>Informations</w:t>
      </w:r>
      <w:r w:rsidR="00426897" w:rsidRPr="00D14B1F">
        <w:rPr>
          <w:lang w:val="fr-FR"/>
        </w:rPr>
        <w:t xml:space="preserve"> g</w:t>
      </w:r>
      <w:r w:rsidR="00426897" w:rsidRPr="00D14B1F">
        <w:rPr>
          <w:rFonts w:ascii="Calibri" w:hAnsi="Calibri"/>
          <w:lang w:val="fr-FR"/>
        </w:rPr>
        <w:t>é</w:t>
      </w:r>
      <w:r w:rsidR="00426897" w:rsidRPr="00D14B1F">
        <w:rPr>
          <w:lang w:val="fr-FR"/>
        </w:rPr>
        <w:t>nérales</w:t>
      </w:r>
    </w:p>
    <w:p w:rsidR="00DD2E73" w:rsidRDefault="00DD2E73" w:rsidP="00D14B1F">
      <w:pPr>
        <w:jc w:val="both"/>
        <w:rPr>
          <w:lang w:val="fr-FR"/>
        </w:rPr>
      </w:pPr>
    </w:p>
    <w:p w:rsidR="008748C4" w:rsidRPr="00D14B1F" w:rsidRDefault="005871AC" w:rsidP="00D14B1F">
      <w:pPr>
        <w:jc w:val="both"/>
        <w:rPr>
          <w:lang w:val="fr-FR"/>
        </w:rPr>
      </w:pPr>
      <w:r w:rsidRPr="00D14B1F">
        <w:rPr>
          <w:lang w:val="fr-FR"/>
        </w:rPr>
        <w:t>Nous avons mis les clés minimales en gras, car nous n</w:t>
      </w:r>
      <w:r w:rsidR="008748C4" w:rsidRPr="00D14B1F">
        <w:rPr>
          <w:lang w:val="fr-FR"/>
        </w:rPr>
        <w:t>’avons pas pu trouver l’option pour souligner le texte.</w:t>
      </w:r>
    </w:p>
    <w:p w:rsidR="008748C4" w:rsidRDefault="00DA551D" w:rsidP="00D14B1F">
      <w:pPr>
        <w:jc w:val="both"/>
        <w:rPr>
          <w:lang w:val="fr-FR"/>
        </w:rPr>
      </w:pPr>
      <w:r w:rsidRPr="00D14B1F">
        <w:rPr>
          <w:lang w:val="fr-FR"/>
        </w:rPr>
        <w:t>Certaines entité</w:t>
      </w:r>
      <w:r w:rsidR="0027710C" w:rsidRPr="00D14B1F">
        <w:rPr>
          <w:lang w:val="fr-FR"/>
        </w:rPr>
        <w:t>s sont ré</w:t>
      </w:r>
      <w:r w:rsidRPr="00D14B1F">
        <w:rPr>
          <w:lang w:val="fr-FR"/>
        </w:rPr>
        <w:t>utilisé</w:t>
      </w:r>
      <w:r w:rsidR="00957742" w:rsidRPr="00D14B1F">
        <w:rPr>
          <w:lang w:val="fr-FR"/>
        </w:rPr>
        <w:t>es, ell</w:t>
      </w:r>
      <w:r w:rsidR="00720E13" w:rsidRPr="00D14B1F">
        <w:rPr>
          <w:lang w:val="fr-FR"/>
        </w:rPr>
        <w:t>es ont donc ét</w:t>
      </w:r>
      <w:r w:rsidR="00720E13" w:rsidRPr="00D14B1F">
        <w:rPr>
          <w:rFonts w:ascii="Candara" w:hAnsi="Candara"/>
          <w:lang w:val="fr-FR"/>
        </w:rPr>
        <w:t>é</w:t>
      </w:r>
      <w:r w:rsidRPr="00D14B1F">
        <w:rPr>
          <w:lang w:val="fr-FR"/>
        </w:rPr>
        <w:t xml:space="preserve"> redé</w:t>
      </w:r>
      <w:r w:rsidR="00CD0936" w:rsidRPr="00D14B1F">
        <w:rPr>
          <w:lang w:val="fr-FR"/>
        </w:rPr>
        <w:t>finies sous la forme</w:t>
      </w:r>
      <w:r w:rsidR="00957742" w:rsidRPr="00D14B1F">
        <w:rPr>
          <w:lang w:val="fr-FR"/>
        </w:rPr>
        <w:t>: “</w:t>
      </w:r>
      <w:r w:rsidRPr="00D14B1F">
        <w:rPr>
          <w:lang w:val="fr-FR"/>
        </w:rPr>
        <w:t>Nom entité (</w:t>
      </w:r>
      <w:r w:rsidR="00D14B1F" w:rsidRPr="00D14B1F">
        <w:rPr>
          <w:lang w:val="fr-FR"/>
        </w:rPr>
        <w:t>déjà</w:t>
      </w:r>
      <w:r w:rsidRPr="00D14B1F">
        <w:rPr>
          <w:lang w:val="fr-FR"/>
        </w:rPr>
        <w:t xml:space="preserve"> dé</w:t>
      </w:r>
      <w:r w:rsidR="00957742" w:rsidRPr="00D14B1F">
        <w:rPr>
          <w:lang w:val="fr-FR"/>
        </w:rPr>
        <w:t>finie)”</w:t>
      </w:r>
      <w:r w:rsidR="00D14B1F" w:rsidRPr="00D14B1F">
        <w:rPr>
          <w:lang w:val="fr-FR"/>
        </w:rPr>
        <w:t xml:space="preserve"> (par exemple : on utilise la même table pour représenter l’adresse de l’employé/client/fournisseur et les ruchers).</w:t>
      </w:r>
    </w:p>
    <w:p w:rsidR="00D14B1F" w:rsidRPr="00D14B1F" w:rsidRDefault="00D14B1F" w:rsidP="00D14B1F">
      <w:pPr>
        <w:jc w:val="both"/>
        <w:rPr>
          <w:rFonts w:ascii="Arial" w:hAnsi="Arial" w:cs="Arial"/>
          <w:lang w:val="fr-FR"/>
        </w:rPr>
      </w:pPr>
      <w:r>
        <w:rPr>
          <w:lang w:val="fr-FR"/>
        </w:rPr>
        <w:t xml:space="preserve">Le document contenant le diagramme est un fichier *.dia, à ouvrir avec </w:t>
      </w:r>
      <w:hyperlink r:id="rId9" w:history="1">
        <w:r w:rsidRPr="00D14B1F">
          <w:rPr>
            <w:rStyle w:val="Hyperlink"/>
            <w:lang w:val="fr-FR"/>
          </w:rPr>
          <w:t>DIA</w:t>
        </w:r>
      </w:hyperlink>
      <w:r>
        <w:rPr>
          <w:lang w:val="fr-FR"/>
        </w:rPr>
        <w:t>.</w:t>
      </w:r>
    </w:p>
    <w:p w:rsidR="008748C4" w:rsidRPr="00D14B1F" w:rsidRDefault="00D14B1F" w:rsidP="00D14B1F">
      <w:pPr>
        <w:pStyle w:val="Heading1"/>
        <w:jc w:val="both"/>
        <w:rPr>
          <w:lang w:val="fr-FR"/>
        </w:rPr>
      </w:pPr>
      <w:r w:rsidRPr="00D14B1F">
        <w:rPr>
          <w:lang w:val="fr-FR"/>
        </w:rPr>
        <w:t>Précisions</w:t>
      </w:r>
    </w:p>
    <w:p w:rsidR="00426897" w:rsidRPr="00D14B1F" w:rsidRDefault="00426897" w:rsidP="00D14B1F">
      <w:pPr>
        <w:jc w:val="both"/>
        <w:rPr>
          <w:lang w:val="fr-FR"/>
        </w:rPr>
      </w:pPr>
    </w:p>
    <w:p w:rsidR="00426897" w:rsidRDefault="00397CC6" w:rsidP="00D14B1F">
      <w:pPr>
        <w:pStyle w:val="ListParagraph"/>
        <w:numPr>
          <w:ilvl w:val="0"/>
          <w:numId w:val="13"/>
        </w:numPr>
        <w:jc w:val="both"/>
        <w:rPr>
          <w:lang w:val="fr-FR"/>
        </w:rPr>
      </w:pPr>
      <w:r w:rsidRPr="00D14B1F">
        <w:rPr>
          <w:lang w:val="fr-FR"/>
        </w:rPr>
        <w:t xml:space="preserve">Lorsque l’attribut </w:t>
      </w:r>
      <w:r w:rsidRPr="00D14B1F">
        <w:rPr>
          <w:b/>
          <w:color w:val="7EC492" w:themeColor="accent5" w:themeTint="99"/>
          <w:u w:val="single"/>
          <w:lang w:val="fr-FR"/>
        </w:rPr>
        <w:t>active</w:t>
      </w:r>
      <w:r w:rsidRPr="00D14B1F">
        <w:rPr>
          <w:lang w:val="fr-FR"/>
        </w:rPr>
        <w:t xml:space="preserve"> de la table </w:t>
      </w:r>
      <w:r w:rsidRPr="00D14B1F">
        <w:rPr>
          <w:b/>
          <w:color w:val="1D99A0" w:themeColor="accent3" w:themeShade="BF"/>
          <w:lang w:val="fr-FR"/>
        </w:rPr>
        <w:t>Ruches</w:t>
      </w:r>
      <w:r w:rsidRPr="00D14B1F">
        <w:rPr>
          <w:lang w:val="fr-FR"/>
        </w:rPr>
        <w:t xml:space="preserve"> est a </w:t>
      </w:r>
      <w:r w:rsidR="00426897" w:rsidRPr="00D14B1F">
        <w:rPr>
          <w:i/>
          <w:color w:val="65757D" w:themeColor="background2" w:themeShade="80"/>
          <w:lang w:val="fr-FR"/>
        </w:rPr>
        <w:t>false</w:t>
      </w:r>
      <w:r w:rsidRPr="00D14B1F">
        <w:rPr>
          <w:lang w:val="fr-FR"/>
        </w:rPr>
        <w:t xml:space="preserve">, aucun lien entre </w:t>
      </w:r>
      <w:r w:rsidRPr="00D14B1F">
        <w:rPr>
          <w:b/>
          <w:color w:val="1D99A0" w:themeColor="accent3" w:themeShade="BF"/>
          <w:lang w:val="fr-FR"/>
        </w:rPr>
        <w:t>Ruches</w:t>
      </w:r>
      <w:r w:rsidRPr="00D14B1F">
        <w:rPr>
          <w:lang w:val="fr-FR"/>
        </w:rPr>
        <w:t xml:space="preserve"> et </w:t>
      </w:r>
      <w:r w:rsidRPr="00D14B1F">
        <w:rPr>
          <w:b/>
          <w:color w:val="1D99A0" w:themeColor="accent3" w:themeShade="BF"/>
          <w:lang w:val="fr-FR"/>
        </w:rPr>
        <w:t>Disparition_colonie</w:t>
      </w:r>
      <w:r w:rsidRPr="00D14B1F">
        <w:rPr>
          <w:lang w:val="fr-FR"/>
        </w:rPr>
        <w:t xml:space="preserve"> n’est défini, dès que cet </w:t>
      </w:r>
      <w:r w:rsidR="00D14B1F" w:rsidRPr="00D14B1F">
        <w:rPr>
          <w:lang w:val="fr-FR"/>
        </w:rPr>
        <w:t>attribut</w:t>
      </w:r>
      <w:r w:rsidRPr="00D14B1F">
        <w:rPr>
          <w:lang w:val="fr-FR"/>
        </w:rPr>
        <w:t xml:space="preserve"> passe a </w:t>
      </w:r>
      <w:r w:rsidRPr="00D14B1F">
        <w:rPr>
          <w:i/>
          <w:color w:val="65757D" w:themeColor="background2" w:themeShade="80"/>
          <w:lang w:val="fr-FR"/>
        </w:rPr>
        <w:t>true</w:t>
      </w:r>
      <w:r w:rsidRPr="00D14B1F">
        <w:rPr>
          <w:color w:val="65757D" w:themeColor="background2" w:themeShade="80"/>
          <w:lang w:val="fr-FR"/>
        </w:rPr>
        <w:t xml:space="preserve"> </w:t>
      </w:r>
      <w:r w:rsidRPr="00D14B1F">
        <w:rPr>
          <w:lang w:val="fr-FR"/>
        </w:rPr>
        <w:t>une liaison entre ces deux tables est définie et on peut donc savoir la raison de la disparition de la colonie dans la ruche.</w:t>
      </w:r>
    </w:p>
    <w:p w:rsidR="00DD2E73" w:rsidRPr="00DD2E73" w:rsidRDefault="00DD2E73" w:rsidP="00DD2E73">
      <w:pPr>
        <w:pStyle w:val="ListParagraph"/>
        <w:jc w:val="both"/>
        <w:rPr>
          <w:lang w:val="fr-FR"/>
        </w:rPr>
      </w:pPr>
    </w:p>
    <w:p w:rsidR="00DD2E73" w:rsidRDefault="00397CC6" w:rsidP="00DD2E73">
      <w:pPr>
        <w:pStyle w:val="ListParagraph"/>
        <w:numPr>
          <w:ilvl w:val="0"/>
          <w:numId w:val="13"/>
        </w:numPr>
        <w:jc w:val="both"/>
        <w:rPr>
          <w:lang w:val="fr-FR"/>
        </w:rPr>
      </w:pPr>
      <w:r w:rsidRPr="00D14B1F">
        <w:rPr>
          <w:lang w:val="fr-FR"/>
        </w:rPr>
        <w:t xml:space="preserve">Pour </w:t>
      </w:r>
      <w:r w:rsidRPr="00D14B1F">
        <w:rPr>
          <w:b/>
          <w:color w:val="1D99A0" w:themeColor="accent3" w:themeShade="BF"/>
          <w:lang w:val="fr-FR"/>
        </w:rPr>
        <w:t>l’employé</w:t>
      </w:r>
      <w:r w:rsidRPr="00D14B1F">
        <w:rPr>
          <w:lang w:val="fr-FR"/>
        </w:rPr>
        <w:t xml:space="preserve">, le </w:t>
      </w:r>
      <w:r w:rsidRPr="00D14B1F">
        <w:rPr>
          <w:b/>
          <w:color w:val="1D99A0" w:themeColor="accent3" w:themeShade="BF"/>
          <w:lang w:val="fr-FR"/>
        </w:rPr>
        <w:t>fournisseur</w:t>
      </w:r>
      <w:r w:rsidRPr="00D14B1F">
        <w:rPr>
          <w:color w:val="1D99A0" w:themeColor="accent3" w:themeShade="BF"/>
          <w:lang w:val="fr-FR"/>
        </w:rPr>
        <w:t xml:space="preserve"> </w:t>
      </w:r>
      <w:r w:rsidRPr="00D14B1F">
        <w:rPr>
          <w:lang w:val="fr-FR"/>
        </w:rPr>
        <w:t xml:space="preserve">et le </w:t>
      </w:r>
      <w:r w:rsidRPr="00D14B1F">
        <w:rPr>
          <w:b/>
          <w:color w:val="1D99A0" w:themeColor="accent3" w:themeShade="BF"/>
          <w:lang w:val="fr-FR"/>
        </w:rPr>
        <w:t>client</w:t>
      </w:r>
      <w:r w:rsidRPr="00D14B1F">
        <w:rPr>
          <w:lang w:val="fr-FR"/>
        </w:rPr>
        <w:t xml:space="preserve">, la clé minimale </w:t>
      </w:r>
      <w:r w:rsidR="00D14B1F" w:rsidRPr="00D14B1F">
        <w:rPr>
          <w:lang w:val="fr-FR"/>
        </w:rPr>
        <w:t>est</w:t>
      </w:r>
      <w:r w:rsidRPr="00D14B1F">
        <w:rPr>
          <w:lang w:val="fr-FR"/>
        </w:rPr>
        <w:t xml:space="preserve"> </w:t>
      </w:r>
      <w:r w:rsidR="00D14B1F" w:rsidRPr="00D14B1F">
        <w:rPr>
          <w:lang w:val="fr-FR"/>
        </w:rPr>
        <w:t>constituée</w:t>
      </w:r>
      <w:r w:rsidRPr="00D14B1F">
        <w:rPr>
          <w:lang w:val="fr-FR"/>
        </w:rPr>
        <w:t xml:space="preserve"> de </w:t>
      </w:r>
      <w:r w:rsidRPr="00D14B1F">
        <w:rPr>
          <w:b/>
          <w:color w:val="7EC492" w:themeColor="accent5" w:themeTint="99"/>
          <w:u w:val="single"/>
          <w:lang w:val="fr-FR"/>
        </w:rPr>
        <w:t>l’adresse mail</w:t>
      </w:r>
      <w:r w:rsidRPr="00D14B1F">
        <w:rPr>
          <w:color w:val="7EC492" w:themeColor="accent5" w:themeTint="99"/>
          <w:lang w:val="fr-FR"/>
        </w:rPr>
        <w:t xml:space="preserve"> </w:t>
      </w:r>
      <w:r w:rsidRPr="00D14B1F">
        <w:rPr>
          <w:lang w:val="fr-FR"/>
        </w:rPr>
        <w:t xml:space="preserve">et du </w:t>
      </w:r>
      <w:r w:rsidR="00D14B1F" w:rsidRPr="00D14B1F">
        <w:rPr>
          <w:b/>
          <w:color w:val="7EC492" w:themeColor="accent5" w:themeTint="99"/>
          <w:u w:val="single"/>
          <w:lang w:val="fr-FR"/>
        </w:rPr>
        <w:t>numéro</w:t>
      </w:r>
      <w:r w:rsidRPr="00D14B1F">
        <w:rPr>
          <w:b/>
          <w:color w:val="7EC492" w:themeColor="accent5" w:themeTint="99"/>
          <w:u w:val="single"/>
          <w:lang w:val="fr-FR"/>
        </w:rPr>
        <w:t xml:space="preserve"> de t</w:t>
      </w:r>
      <w:r w:rsidR="00426897" w:rsidRPr="00D14B1F">
        <w:rPr>
          <w:b/>
          <w:color w:val="7EC492" w:themeColor="accent5" w:themeTint="99"/>
          <w:u w:val="single"/>
          <w:lang w:val="fr-FR"/>
        </w:rPr>
        <w:t>élé</w:t>
      </w:r>
      <w:r w:rsidRPr="00D14B1F">
        <w:rPr>
          <w:b/>
          <w:color w:val="7EC492" w:themeColor="accent5" w:themeTint="99"/>
          <w:u w:val="single"/>
          <w:lang w:val="fr-FR"/>
        </w:rPr>
        <w:t>phone</w:t>
      </w:r>
      <w:r w:rsidRPr="00D14B1F">
        <w:rPr>
          <w:lang w:val="fr-FR"/>
        </w:rPr>
        <w:t xml:space="preserve">, car ces deux éléments sont uniques, il se peut que l’un des deux champs ne soit pas renseigné, </w:t>
      </w:r>
      <w:r w:rsidR="00426897" w:rsidRPr="00D14B1F">
        <w:rPr>
          <w:lang w:val="fr-FR"/>
        </w:rPr>
        <w:t>mais nous estimons qu’un moyen de contact est n</w:t>
      </w:r>
      <w:r w:rsidR="00426897" w:rsidRPr="00D14B1F">
        <w:rPr>
          <w:rFonts w:ascii="Segoe UI Symbol" w:eastAsia="Segoe UI Symbol" w:hAnsi="Segoe UI Symbol"/>
          <w:lang w:val="fr-FR" w:eastAsia="ko-KR"/>
        </w:rPr>
        <w:t>é</w:t>
      </w:r>
      <w:r w:rsidR="00426897" w:rsidRPr="00D14B1F">
        <w:rPr>
          <w:lang w:val="fr-FR"/>
        </w:rPr>
        <w:t>cessaire. Une entrée dans une de ces trois tables peut avoir un numéro de téléphone mais pas d’adresse mail et vice-versa.</w:t>
      </w:r>
    </w:p>
    <w:p w:rsidR="00DD2E73" w:rsidRPr="00DD2E73" w:rsidRDefault="00DD2E73" w:rsidP="00DD2E73">
      <w:pPr>
        <w:pStyle w:val="ListParagraph"/>
        <w:jc w:val="both"/>
        <w:rPr>
          <w:lang w:val="fr-FR"/>
        </w:rPr>
      </w:pPr>
    </w:p>
    <w:p w:rsidR="00DD2E73" w:rsidRPr="00DD2E73" w:rsidRDefault="00BA42F2" w:rsidP="00DD2E73">
      <w:pPr>
        <w:pStyle w:val="ListParagraph"/>
        <w:numPr>
          <w:ilvl w:val="0"/>
          <w:numId w:val="13"/>
        </w:numPr>
        <w:jc w:val="both"/>
        <w:rPr>
          <w:lang w:val="fr-FR"/>
        </w:rPr>
      </w:pPr>
      <w:r w:rsidRPr="00D14B1F">
        <w:rPr>
          <w:lang w:val="fr-FR"/>
        </w:rPr>
        <w:t xml:space="preserve">Dans la table </w:t>
      </w:r>
      <w:r w:rsidRPr="00D14B1F">
        <w:rPr>
          <w:b/>
          <w:color w:val="1D99A0" w:themeColor="accent3" w:themeShade="BF"/>
          <w:lang w:val="fr-FR"/>
        </w:rPr>
        <w:t>Visite</w:t>
      </w:r>
      <w:r w:rsidRPr="00D14B1F">
        <w:rPr>
          <w:lang w:val="fr-FR"/>
        </w:rPr>
        <w:t xml:space="preserve">, l’attribut </w:t>
      </w:r>
      <w:r w:rsidR="00D14B1F" w:rsidRPr="00F54673">
        <w:rPr>
          <w:b/>
          <w:color w:val="7EC492" w:themeColor="accent5" w:themeTint="99"/>
          <w:u w:val="single"/>
          <w:lang w:val="fr-FR"/>
        </w:rPr>
        <w:t>tempérament</w:t>
      </w:r>
      <w:r w:rsidRPr="00D14B1F">
        <w:rPr>
          <w:color w:val="7EC492" w:themeColor="accent5" w:themeTint="99"/>
          <w:lang w:val="fr-FR"/>
        </w:rPr>
        <w:t xml:space="preserve"> </w:t>
      </w:r>
      <w:r w:rsidRPr="00D14B1F">
        <w:rPr>
          <w:lang w:val="fr-FR"/>
        </w:rPr>
        <w:t xml:space="preserve">est un booléen; ainsi </w:t>
      </w:r>
      <w:r w:rsidR="00D14B1F" w:rsidRPr="00D14B1F">
        <w:rPr>
          <w:lang w:val="fr-FR"/>
        </w:rPr>
        <w:t>lorsqu’il</w:t>
      </w:r>
      <w:r w:rsidRPr="00D14B1F">
        <w:rPr>
          <w:lang w:val="fr-FR"/>
        </w:rPr>
        <w:t xml:space="preserve"> est </w:t>
      </w:r>
      <w:r w:rsidR="00D14B1F" w:rsidRPr="00D14B1F">
        <w:rPr>
          <w:lang w:val="fr-FR"/>
        </w:rPr>
        <w:t>à</w:t>
      </w:r>
      <w:r w:rsidRPr="00D14B1F">
        <w:rPr>
          <w:lang w:val="fr-FR"/>
        </w:rPr>
        <w:t xml:space="preserve"> </w:t>
      </w:r>
      <w:r w:rsidRPr="00D14B1F">
        <w:rPr>
          <w:i/>
          <w:color w:val="65757D" w:themeColor="background2" w:themeShade="80"/>
          <w:lang w:val="fr-FR"/>
        </w:rPr>
        <w:t>true</w:t>
      </w:r>
      <w:r w:rsidRPr="00D14B1F">
        <w:rPr>
          <w:lang w:val="fr-FR"/>
        </w:rPr>
        <w:t xml:space="preserve">, la colonie était </w:t>
      </w:r>
      <w:r w:rsidR="00D14B1F" w:rsidRPr="00D14B1F">
        <w:rPr>
          <w:lang w:val="fr-FR"/>
        </w:rPr>
        <w:t>agressives</w:t>
      </w:r>
      <w:r w:rsidRPr="00D14B1F">
        <w:rPr>
          <w:lang w:val="fr-FR"/>
        </w:rPr>
        <w:t xml:space="preserve"> lors de la visite et </w:t>
      </w:r>
      <w:r w:rsidR="00D14B1F" w:rsidRPr="00D14B1F">
        <w:rPr>
          <w:lang w:val="fr-FR"/>
        </w:rPr>
        <w:t>lorsqu’il</w:t>
      </w:r>
      <w:r w:rsidRPr="00D14B1F">
        <w:rPr>
          <w:lang w:val="fr-FR"/>
        </w:rPr>
        <w:t xml:space="preserve"> est a </w:t>
      </w:r>
      <w:r w:rsidRPr="00D14B1F">
        <w:rPr>
          <w:i/>
          <w:color w:val="65757D" w:themeColor="background2" w:themeShade="80"/>
          <w:lang w:val="fr-FR"/>
        </w:rPr>
        <w:t>false</w:t>
      </w:r>
      <w:r w:rsidRPr="00D14B1F">
        <w:rPr>
          <w:lang w:val="fr-FR"/>
        </w:rPr>
        <w:t>, elle était calme.</w:t>
      </w:r>
    </w:p>
    <w:p w:rsidR="00DD2E73" w:rsidRPr="00DD2E73" w:rsidRDefault="00DD2E73" w:rsidP="00DD2E73">
      <w:pPr>
        <w:pStyle w:val="ListParagraph"/>
        <w:jc w:val="both"/>
        <w:rPr>
          <w:lang w:val="fr-FR"/>
        </w:rPr>
      </w:pPr>
    </w:p>
    <w:p w:rsidR="00BA42F2" w:rsidRPr="00D14B1F" w:rsidRDefault="00BA42F2" w:rsidP="00D14B1F">
      <w:pPr>
        <w:pStyle w:val="ListParagraph"/>
        <w:numPr>
          <w:ilvl w:val="0"/>
          <w:numId w:val="13"/>
        </w:numPr>
        <w:jc w:val="both"/>
        <w:rPr>
          <w:lang w:val="fr-FR"/>
        </w:rPr>
      </w:pPr>
      <w:r w:rsidRPr="00D14B1F">
        <w:rPr>
          <w:lang w:val="fr-FR"/>
        </w:rPr>
        <w:t>Nous avons jugé que le climat pouvait avoir plusieurs visites (</w:t>
      </w:r>
      <w:r w:rsidR="00D959A3">
        <w:rPr>
          <w:lang w:val="fr-FR"/>
        </w:rPr>
        <w:t>cardinalité</w:t>
      </w:r>
      <w:r w:rsidR="00D959A3" w:rsidRPr="00D959A3">
        <w:rPr>
          <w:lang w:val="fr-FR"/>
        </w:rPr>
        <w:t xml:space="preserve"> </w:t>
      </w:r>
      <w:r w:rsidR="00D959A3" w:rsidRPr="00D14B1F">
        <w:rPr>
          <w:lang w:val="fr-FR"/>
        </w:rPr>
        <w:t>à</w:t>
      </w:r>
      <w:bookmarkStart w:id="0" w:name="_GoBack"/>
      <w:bookmarkEnd w:id="0"/>
      <w:r w:rsidRPr="00D14B1F">
        <w:rPr>
          <w:lang w:val="fr-FR"/>
        </w:rPr>
        <w:t xml:space="preserve"> N), car on peut avoir plusieurs visites effectuées en même temps ou dans un court intervalle, et pas forcément par le même employé. Il en est de même </w:t>
      </w:r>
      <w:r w:rsidR="00ED53D8" w:rsidRPr="00D14B1F">
        <w:rPr>
          <w:lang w:val="fr-FR"/>
        </w:rPr>
        <w:t>pour les traitements : plusieurs traitements peuvent être administrés dans le même climat.</w:t>
      </w:r>
    </w:p>
    <w:sectPr w:rsidR="00BA42F2" w:rsidRPr="00D14B1F" w:rsidSect="005871AC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02C" w:rsidRDefault="0000502C">
      <w:pPr>
        <w:spacing w:after="0" w:line="240" w:lineRule="auto"/>
      </w:pPr>
      <w:r>
        <w:separator/>
      </w:r>
    </w:p>
  </w:endnote>
  <w:endnote w:type="continuationSeparator" w:id="0">
    <w:p w:rsidR="0000502C" w:rsidRDefault="00005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02C" w:rsidRDefault="0000502C">
      <w:pPr>
        <w:spacing w:after="0" w:line="240" w:lineRule="auto"/>
      </w:pPr>
      <w:r>
        <w:separator/>
      </w:r>
    </w:p>
  </w:footnote>
  <w:footnote w:type="continuationSeparator" w:id="0">
    <w:p w:rsidR="0000502C" w:rsidRDefault="000050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9A52F2"/>
    <w:multiLevelType w:val="multilevel"/>
    <w:tmpl w:val="68FCFF0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A40D9"/>
    <w:multiLevelType w:val="hybridMultilevel"/>
    <w:tmpl w:val="F258C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1AC"/>
    <w:rsid w:val="0000502C"/>
    <w:rsid w:val="0027710C"/>
    <w:rsid w:val="00397CC6"/>
    <w:rsid w:val="003D6CB0"/>
    <w:rsid w:val="00426897"/>
    <w:rsid w:val="005871AC"/>
    <w:rsid w:val="005C2A94"/>
    <w:rsid w:val="00720E13"/>
    <w:rsid w:val="008748C4"/>
    <w:rsid w:val="009031F5"/>
    <w:rsid w:val="00957742"/>
    <w:rsid w:val="00BA42F2"/>
    <w:rsid w:val="00CD0936"/>
    <w:rsid w:val="00D14B1F"/>
    <w:rsid w:val="00D959A3"/>
    <w:rsid w:val="00DA551D"/>
    <w:rsid w:val="00DD2E73"/>
    <w:rsid w:val="00E1603A"/>
    <w:rsid w:val="00EA764D"/>
    <w:rsid w:val="00ED53D8"/>
    <w:rsid w:val="00F04E66"/>
    <w:rsid w:val="00F5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9D906F-E978-46B2-8489-9206B4BA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748C4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8C4"/>
    <w:rPr>
      <w:rFonts w:asciiTheme="majorHAnsi" w:eastAsiaTheme="majorEastAsia" w:hAnsiTheme="majorHAnsi" w:cstheme="majorBidi"/>
      <w:b/>
      <w:bCs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14B1F"/>
    <w:rPr>
      <w:color w:val="6EAC1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4B1F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tp1.di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ntze_b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FADA87-7886-42F8-B8E7-B107B82EF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75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INF15107 – Bases de données</vt:lpstr>
    </vt:vector>
  </TitlesOfParts>
  <Company>ELLIE Etienne</Company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INF15107 – Bases de données</dc:title>
  <dc:subject>TP1</dc:subject>
  <dc:creator>pantze_b-EPITECH</dc:creator>
  <cp:keywords/>
  <dc:description/>
  <cp:lastModifiedBy>pantze_b-EPITECH</cp:lastModifiedBy>
  <cp:revision>14</cp:revision>
  <dcterms:created xsi:type="dcterms:W3CDTF">2016-02-13T01:32:00Z</dcterms:created>
  <dcterms:modified xsi:type="dcterms:W3CDTF">2016-02-15T03:18:00Z</dcterms:modified>
  <cp:category>PANTZER Brendan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