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DDE984">
      <w:pPr>
        <w:spacing w:after="49" w:afterLines="16"/>
        <w:jc w:val="both"/>
        <w:rPr>
          <w:rFonts w:hint="eastAsia" w:ascii="华文宋体" w:hAnsi="华文宋体" w:eastAsia="华文宋体" w:cs="华文宋体"/>
          <w:b/>
          <w:bCs/>
          <w:sz w:val="52"/>
          <w:szCs w:val="52"/>
        </w:rPr>
      </w:pPr>
    </w:p>
    <w:p w14:paraId="2071B9B8">
      <w:pPr>
        <w:spacing w:after="49" w:afterLines="16"/>
        <w:jc w:val="center"/>
        <w:rPr>
          <w:rFonts w:hint="default" w:eastAsiaTheme="minorEastAsia"/>
          <w:sz w:val="72"/>
          <w:szCs w:val="72"/>
          <w:lang w:val="en-US" w:eastAsia="zh-CN"/>
        </w:rPr>
      </w:pPr>
      <w:r>
        <w:rPr>
          <w:rFonts w:hint="eastAsia"/>
          <w:sz w:val="72"/>
          <w:szCs w:val="72"/>
          <w:lang w:val="en-US" w:eastAsia="zh-CN"/>
        </w:rPr>
        <w:t>宏友智慧办公平台</w:t>
      </w:r>
    </w:p>
    <w:p w14:paraId="6DE5F858"/>
    <w:p w14:paraId="37806446"/>
    <w:p w14:paraId="7BA74A9B"/>
    <w:p w14:paraId="4B6BDCFD"/>
    <w:p w14:paraId="0B1954C6"/>
    <w:p w14:paraId="1A18F87C"/>
    <w:p w14:paraId="7668EEF1"/>
    <w:p w14:paraId="1D82000B"/>
    <w:p w14:paraId="032C7603"/>
    <w:p w14:paraId="30453076"/>
    <w:p w14:paraId="23E6FE61"/>
    <w:p w14:paraId="27256019"/>
    <w:p w14:paraId="2268A0B7"/>
    <w:p w14:paraId="564BF7E1"/>
    <w:p w14:paraId="069A6959"/>
    <w:p w14:paraId="5FE26973"/>
    <w:p w14:paraId="4E0887AC"/>
    <w:p w14:paraId="34FA7D64"/>
    <w:p w14:paraId="03B855DB"/>
    <w:p w14:paraId="54EF487C"/>
    <w:p w14:paraId="75E7E85E"/>
    <w:p w14:paraId="516C68B3"/>
    <w:p w14:paraId="2AF8B5D9"/>
    <w:p w14:paraId="3E4A7DF5"/>
    <w:p w14:paraId="58276D6C"/>
    <w:p w14:paraId="1FE8D06D"/>
    <w:p w14:paraId="009358E1"/>
    <w:p w14:paraId="7F3F2813"/>
    <w:p w14:paraId="40B8FEDC"/>
    <w:p w14:paraId="14A47BB6">
      <w:pPr>
        <w:jc w:val="center"/>
        <w:rPr>
          <w:rFonts w:ascii="Times New Roman" w:hAnsi="Times New Roman" w:eastAsia="宋体"/>
          <w:sz w:val="44"/>
          <w:szCs w:val="44"/>
        </w:rPr>
      </w:pPr>
      <w:r>
        <w:rPr>
          <w:rFonts w:hint="eastAsia" w:ascii="Times New Roman" w:hAnsi="Times New Roman" w:eastAsia="宋体"/>
          <w:sz w:val="44"/>
          <w:szCs w:val="44"/>
        </w:rPr>
        <w:t>内蒙古宏友软件技术服务有限公司</w:t>
      </w:r>
    </w:p>
    <w:p w14:paraId="38C4F6B3">
      <w:pPr>
        <w:jc w:val="center"/>
        <w:rPr>
          <w:rFonts w:ascii="Times New Roman" w:hAnsi="Times New Roman" w:eastAsia="宋体"/>
          <w:sz w:val="44"/>
          <w:szCs w:val="44"/>
        </w:rPr>
      </w:pPr>
    </w:p>
    <w:p w14:paraId="2EDCD20B">
      <w:pPr>
        <w:jc w:val="center"/>
      </w:pPr>
      <w:r>
        <w:rPr>
          <w:rFonts w:hint="eastAsia" w:ascii="Times New Roman" w:hAnsi="Times New Roman" w:eastAsia="宋体"/>
          <w:sz w:val="44"/>
          <w:szCs w:val="44"/>
        </w:rPr>
        <w:t>二〇二</w:t>
      </w:r>
      <w:r>
        <w:rPr>
          <w:rFonts w:hint="eastAsia" w:ascii="Times New Roman" w:hAnsi="Times New Roman" w:eastAsia="宋体"/>
          <w:sz w:val="44"/>
          <w:szCs w:val="44"/>
          <w:lang w:val="en-US" w:eastAsia="zh-CN"/>
        </w:rPr>
        <w:t>六</w:t>
      </w:r>
      <w:r>
        <w:rPr>
          <w:rFonts w:hint="eastAsia" w:ascii="Times New Roman" w:hAnsi="Times New Roman" w:eastAsia="宋体"/>
          <w:sz w:val="44"/>
          <w:szCs w:val="44"/>
        </w:rPr>
        <w:t>年</w:t>
      </w:r>
      <w:r>
        <w:rPr>
          <w:rFonts w:hint="eastAsia" w:ascii="Times New Roman" w:hAnsi="Times New Roman" w:eastAsia="宋体"/>
          <w:sz w:val="44"/>
          <w:szCs w:val="44"/>
          <w:lang w:val="en-US" w:eastAsia="zh-CN"/>
        </w:rPr>
        <w:t>八</w:t>
      </w:r>
      <w:r>
        <w:rPr>
          <w:rFonts w:hint="eastAsia" w:ascii="Times New Roman" w:hAnsi="Times New Roman" w:eastAsia="宋体"/>
          <w:sz w:val="44"/>
          <w:szCs w:val="44"/>
        </w:rPr>
        <w:t>月</w:t>
      </w:r>
    </w:p>
    <w:p w14:paraId="51BF3B48"/>
    <w:p w14:paraId="0F87B951"/>
    <w:p w14:paraId="3434BE54"/>
    <w:p w14:paraId="419EC011"/>
    <w:sdt>
      <w:sdtPr>
        <w:rPr>
          <w:rFonts w:ascii="宋体" w:hAnsi="宋体" w:eastAsia="宋体" w:cstheme="minorBidi"/>
          <w:kern w:val="2"/>
          <w:sz w:val="32"/>
          <w:szCs w:val="40"/>
          <w:lang w:val="en-US" w:eastAsia="zh-CN" w:bidi="ar-SA"/>
        </w:rPr>
        <w:id w:val="147456564"/>
        <w15:color w:val="DBDBDB"/>
        <w:docPartObj>
          <w:docPartGallery w:val="Table of Contents"/>
          <w:docPartUnique/>
        </w:docPartObj>
      </w:sdtPr>
      <w:sdtEndPr>
        <w:rPr>
          <w:rFonts w:ascii="宋体" w:hAnsi="宋体" w:eastAsia="宋体" w:cstheme="minorBidi"/>
          <w:b/>
          <w:kern w:val="2"/>
          <w:sz w:val="32"/>
          <w:szCs w:val="40"/>
          <w:lang w:val="en-US" w:eastAsia="zh-CN" w:bidi="ar-SA"/>
        </w:rPr>
      </w:sdtEndPr>
      <w:sdtContent>
        <w:p w14:paraId="6C3EFEB3">
          <w:pPr>
            <w:spacing w:before="0" w:beforeLines="0" w:after="0" w:afterLines="0" w:line="480" w:lineRule="auto"/>
            <w:ind w:left="0" w:leftChars="0" w:right="0" w:rightChars="0" w:firstLine="0" w:firstLineChars="0"/>
            <w:jc w:val="center"/>
            <w:rPr>
              <w:sz w:val="32"/>
              <w:szCs w:val="40"/>
            </w:rPr>
          </w:pPr>
          <w:r>
            <w:rPr>
              <w:rFonts w:ascii="宋体" w:hAnsi="宋体" w:eastAsia="宋体"/>
              <w:sz w:val="32"/>
              <w:szCs w:val="40"/>
            </w:rPr>
            <w:t>目</w:t>
          </w:r>
          <w:r>
            <w:rPr>
              <w:rFonts w:hint="eastAsia" w:ascii="宋体" w:hAnsi="宋体" w:eastAsia="宋体"/>
              <w:sz w:val="32"/>
              <w:szCs w:val="40"/>
              <w:lang w:val="en-US" w:eastAsia="zh-CN"/>
            </w:rPr>
            <w:t xml:space="preserve"> </w:t>
          </w:r>
          <w:r>
            <w:rPr>
              <w:rFonts w:ascii="宋体" w:hAnsi="宋体" w:eastAsia="宋体"/>
              <w:sz w:val="32"/>
              <w:szCs w:val="40"/>
            </w:rPr>
            <w:t>录</w:t>
          </w:r>
        </w:p>
        <w:p w14:paraId="54171435">
          <w:pPr>
            <w:pStyle w:val="4"/>
            <w:tabs>
              <w:tab w:val="right" w:leader="dot" w:pos="8306"/>
            </w:tabs>
          </w:pPr>
          <w:r>
            <w:fldChar w:fldCharType="begin"/>
          </w:r>
          <w:r>
            <w:instrText xml:space="preserve">TOC \o "1-2" \h \u </w:instrText>
          </w:r>
          <w:r>
            <w:fldChar w:fldCharType="separate"/>
          </w:r>
          <w:r>
            <w:fldChar w:fldCharType="begin"/>
          </w:r>
          <w:r>
            <w:instrText xml:space="preserve"> HYPERLINK \l _Toc12955 </w:instrText>
          </w:r>
          <w:r>
            <w:fldChar w:fldCharType="separate"/>
          </w:r>
          <w:r>
            <w:rPr>
              <w:rFonts w:hint="eastAsia"/>
              <w:lang w:val="en-US" w:eastAsia="zh-CN"/>
            </w:rPr>
            <w:t>一、 平台登录</w:t>
          </w:r>
          <w:r>
            <w:tab/>
          </w:r>
          <w:r>
            <w:fldChar w:fldCharType="begin"/>
          </w:r>
          <w:r>
            <w:instrText xml:space="preserve"> PAGEREF _Toc12955 \h </w:instrText>
          </w:r>
          <w:r>
            <w:fldChar w:fldCharType="separate"/>
          </w:r>
          <w:r>
            <w:t>3</w:t>
          </w:r>
          <w:r>
            <w:fldChar w:fldCharType="end"/>
          </w:r>
          <w:r>
            <w:fldChar w:fldCharType="end"/>
          </w:r>
        </w:p>
        <w:p w14:paraId="639E8E04">
          <w:pPr>
            <w:pStyle w:val="4"/>
            <w:tabs>
              <w:tab w:val="right" w:leader="dot" w:pos="8306"/>
            </w:tabs>
          </w:pPr>
          <w:r>
            <w:fldChar w:fldCharType="begin"/>
          </w:r>
          <w:r>
            <w:instrText xml:space="preserve"> HYPERLINK \l _Toc18975 </w:instrText>
          </w:r>
          <w:r>
            <w:fldChar w:fldCharType="separate"/>
          </w:r>
          <w:r>
            <w:rPr>
              <w:rFonts w:hint="eastAsia"/>
              <w:lang w:val="en-US" w:eastAsia="zh-CN"/>
            </w:rPr>
            <w:t>二、 办公管理</w:t>
          </w:r>
          <w:r>
            <w:tab/>
          </w:r>
          <w:r>
            <w:fldChar w:fldCharType="begin"/>
          </w:r>
          <w:r>
            <w:instrText xml:space="preserve"> PAGEREF _Toc18975 \h </w:instrText>
          </w:r>
          <w:r>
            <w:fldChar w:fldCharType="separate"/>
          </w:r>
          <w:r>
            <w:t>4</w:t>
          </w:r>
          <w:r>
            <w:fldChar w:fldCharType="end"/>
          </w:r>
          <w:r>
            <w:fldChar w:fldCharType="end"/>
          </w:r>
        </w:p>
        <w:p w14:paraId="7DFFF43B">
          <w:pPr>
            <w:pStyle w:val="4"/>
            <w:tabs>
              <w:tab w:val="right" w:leader="dot" w:pos="8306"/>
            </w:tabs>
          </w:pPr>
          <w:r>
            <w:fldChar w:fldCharType="begin"/>
          </w:r>
          <w:r>
            <w:instrText xml:space="preserve"> HYPERLINK \l _Toc17147 </w:instrText>
          </w:r>
          <w:r>
            <w:fldChar w:fldCharType="separate"/>
          </w:r>
          <w:r>
            <w:rPr>
              <w:rFonts w:hint="eastAsia"/>
              <w:lang w:val="en-US" w:eastAsia="zh-CN"/>
            </w:rPr>
            <w:t>三、 系统设置</w:t>
          </w:r>
          <w:r>
            <w:tab/>
          </w:r>
          <w:r>
            <w:fldChar w:fldCharType="begin"/>
          </w:r>
          <w:r>
            <w:instrText xml:space="preserve"> PAGEREF _Toc17147 \h </w:instrText>
          </w:r>
          <w:r>
            <w:fldChar w:fldCharType="separate"/>
          </w:r>
          <w:r>
            <w:t>10</w:t>
          </w:r>
          <w:r>
            <w:fldChar w:fldCharType="end"/>
          </w:r>
          <w:r>
            <w:fldChar w:fldCharType="end"/>
          </w:r>
        </w:p>
        <w:p w14:paraId="7B035ADF">
          <w:pPr>
            <w:spacing w:line="480" w:lineRule="auto"/>
            <w:rPr>
              <w:b/>
            </w:rPr>
          </w:pPr>
          <w:r>
            <w:fldChar w:fldCharType="end"/>
          </w:r>
        </w:p>
      </w:sdtContent>
    </w:sdt>
    <w:p w14:paraId="27D591CE">
      <w:pPr>
        <w:rPr>
          <w:b/>
        </w:rPr>
      </w:pPr>
    </w:p>
    <w:p w14:paraId="6487DBF0">
      <w:pPr>
        <w:rPr>
          <w:b/>
        </w:rPr>
      </w:pPr>
    </w:p>
    <w:p w14:paraId="1DC54AD5">
      <w:pPr>
        <w:rPr>
          <w:b/>
        </w:rPr>
      </w:pPr>
    </w:p>
    <w:p w14:paraId="4B93DD4C">
      <w:pPr>
        <w:rPr>
          <w:b/>
        </w:rPr>
      </w:pPr>
    </w:p>
    <w:p w14:paraId="32008E98">
      <w:pPr>
        <w:rPr>
          <w:b/>
        </w:rPr>
      </w:pPr>
    </w:p>
    <w:p w14:paraId="51B4CD6E">
      <w:pPr>
        <w:rPr>
          <w:b/>
        </w:rPr>
      </w:pPr>
    </w:p>
    <w:p w14:paraId="53D19C26">
      <w:pPr>
        <w:rPr>
          <w:b/>
        </w:rPr>
      </w:pPr>
    </w:p>
    <w:p w14:paraId="100CA327">
      <w:pPr>
        <w:rPr>
          <w:b/>
        </w:rPr>
      </w:pPr>
    </w:p>
    <w:p w14:paraId="66FA4FBA">
      <w:pPr>
        <w:rPr>
          <w:b/>
        </w:rPr>
      </w:pPr>
    </w:p>
    <w:p w14:paraId="43FDCE59">
      <w:pPr>
        <w:rPr>
          <w:b/>
        </w:rPr>
      </w:pPr>
    </w:p>
    <w:p w14:paraId="426990F8">
      <w:pPr>
        <w:rPr>
          <w:b/>
        </w:rPr>
      </w:pPr>
    </w:p>
    <w:p w14:paraId="4617C1CB">
      <w:pPr>
        <w:rPr>
          <w:b/>
        </w:rPr>
      </w:pPr>
    </w:p>
    <w:p w14:paraId="601851A0">
      <w:pPr>
        <w:rPr>
          <w:b/>
        </w:rPr>
      </w:pPr>
    </w:p>
    <w:p w14:paraId="2EA10D98">
      <w:pPr>
        <w:rPr>
          <w:rFonts w:hint="eastAsia"/>
          <w:lang w:val="en-US" w:eastAsia="zh-CN"/>
        </w:rPr>
      </w:pPr>
      <w:r>
        <w:rPr>
          <w:rFonts w:hint="eastAsia"/>
          <w:lang w:val="en-US" w:eastAsia="zh-CN"/>
        </w:rPr>
        <w:br w:type="page"/>
      </w:r>
    </w:p>
    <w:p w14:paraId="2107546A">
      <w:pPr>
        <w:numPr>
          <w:ilvl w:val="0"/>
          <w:numId w:val="1"/>
        </w:numPr>
        <w:outlineLvl w:val="0"/>
        <w:rPr>
          <w:rFonts w:hint="eastAsia"/>
          <w:lang w:val="en-US" w:eastAsia="zh-CN"/>
        </w:rPr>
      </w:pPr>
      <w:bookmarkStart w:id="0" w:name="_Toc12955"/>
      <w:r>
        <w:rPr>
          <w:rFonts w:hint="eastAsia"/>
          <w:lang w:val="en-US" w:eastAsia="zh-CN"/>
        </w:rPr>
        <w:t>平台登录</w:t>
      </w:r>
      <w:bookmarkEnd w:id="0"/>
    </w:p>
    <w:p w14:paraId="47F3692E">
      <w:pPr>
        <w:numPr>
          <w:ilvl w:val="0"/>
          <w:numId w:val="2"/>
        </w:numPr>
        <w:rPr>
          <w:rFonts w:hint="eastAsia"/>
          <w:lang w:val="en-US" w:eastAsia="zh-CN"/>
        </w:rPr>
      </w:pPr>
      <w:r>
        <w:rPr>
          <w:rFonts w:hint="eastAsia"/>
          <w:lang w:val="en-US" w:eastAsia="zh-CN"/>
        </w:rPr>
        <w:t>登录界面</w:t>
      </w:r>
    </w:p>
    <w:p w14:paraId="01E2C451">
      <w:pPr>
        <w:numPr>
          <w:ilvl w:val="0"/>
          <w:numId w:val="0"/>
        </w:numPr>
        <w:ind w:left="630" w:hanging="630" w:hangingChars="300"/>
        <w:jc w:val="left"/>
      </w:pPr>
      <w:r>
        <w:drawing>
          <wp:inline distT="0" distB="0" distL="114300" distR="114300">
            <wp:extent cx="5272405" cy="2624455"/>
            <wp:effectExtent l="0" t="0" r="4445" b="444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5"/>
                    <a:stretch>
                      <a:fillRect/>
                    </a:stretch>
                  </pic:blipFill>
                  <pic:spPr>
                    <a:xfrm>
                      <a:off x="0" y="0"/>
                      <a:ext cx="5272405" cy="2624455"/>
                    </a:xfrm>
                    <a:prstGeom prst="rect">
                      <a:avLst/>
                    </a:prstGeom>
                    <a:noFill/>
                    <a:ln>
                      <a:noFill/>
                    </a:ln>
                  </pic:spPr>
                </pic:pic>
              </a:graphicData>
            </a:graphic>
          </wp:inline>
        </w:drawing>
      </w:r>
    </w:p>
    <w:p w14:paraId="7200116D">
      <w:pPr>
        <w:numPr>
          <w:ilvl w:val="0"/>
          <w:numId w:val="0"/>
        </w:numPr>
        <w:ind w:left="630" w:hanging="630" w:hangingChars="300"/>
        <w:jc w:val="left"/>
        <w:rPr>
          <w:rFonts w:hint="eastAsia"/>
          <w:lang w:val="en-US" w:eastAsia="zh-CN"/>
        </w:rPr>
      </w:pPr>
    </w:p>
    <w:p w14:paraId="434CB9B9">
      <w:pPr>
        <w:numPr>
          <w:ilvl w:val="0"/>
          <w:numId w:val="0"/>
        </w:numPr>
        <w:ind w:left="630" w:hanging="630" w:hangingChars="300"/>
        <w:jc w:val="left"/>
        <w:rPr>
          <w:rFonts w:hint="eastAsia"/>
          <w:lang w:val="en-US" w:eastAsia="zh-CN"/>
        </w:rPr>
      </w:pPr>
      <w:r>
        <w:rPr>
          <w:rFonts w:hint="eastAsia"/>
          <w:lang w:val="en-US" w:eastAsia="zh-CN"/>
        </w:rPr>
        <w:t>打开平台网址，输入登录账号、登录密码、验证码，点击登录进入平台。</w:t>
      </w:r>
    </w:p>
    <w:p w14:paraId="1C287A88">
      <w:pPr>
        <w:numPr>
          <w:ilvl w:val="0"/>
          <w:numId w:val="0"/>
        </w:numPr>
        <w:ind w:left="630" w:hanging="630" w:hangingChars="300"/>
        <w:jc w:val="left"/>
        <w:rPr>
          <w:rFonts w:hint="default"/>
          <w:lang w:val="en-US" w:eastAsia="zh-CN"/>
        </w:rPr>
      </w:pPr>
    </w:p>
    <w:p w14:paraId="29AD6174">
      <w:pPr>
        <w:numPr>
          <w:ilvl w:val="0"/>
          <w:numId w:val="2"/>
        </w:numPr>
        <w:rPr>
          <w:rFonts w:hint="default"/>
          <w:lang w:val="en-US" w:eastAsia="zh-CN"/>
        </w:rPr>
      </w:pPr>
      <w:r>
        <w:rPr>
          <w:rFonts w:hint="eastAsia"/>
          <w:lang w:val="en-US" w:eastAsia="zh-CN"/>
        </w:rPr>
        <w:t>登录首页</w:t>
      </w:r>
    </w:p>
    <w:p w14:paraId="000C502C">
      <w:pPr>
        <w:numPr>
          <w:ilvl w:val="0"/>
          <w:numId w:val="0"/>
        </w:numPr>
      </w:pPr>
      <w:r>
        <w:drawing>
          <wp:inline distT="0" distB="0" distL="114300" distR="114300">
            <wp:extent cx="5267325" cy="2364740"/>
            <wp:effectExtent l="0" t="0" r="952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325" cy="2364740"/>
                    </a:xfrm>
                    <a:prstGeom prst="rect">
                      <a:avLst/>
                    </a:prstGeom>
                    <a:noFill/>
                    <a:ln>
                      <a:noFill/>
                    </a:ln>
                  </pic:spPr>
                </pic:pic>
              </a:graphicData>
            </a:graphic>
          </wp:inline>
        </w:drawing>
      </w:r>
    </w:p>
    <w:p w14:paraId="6685EDD9">
      <w:pPr>
        <w:numPr>
          <w:ilvl w:val="0"/>
          <w:numId w:val="0"/>
        </w:numPr>
      </w:pPr>
    </w:p>
    <w:p w14:paraId="1EF8A882">
      <w:pPr>
        <w:numPr>
          <w:ilvl w:val="0"/>
          <w:numId w:val="0"/>
        </w:numPr>
        <w:rPr>
          <w:rFonts w:hint="default"/>
          <w:lang w:val="en-US" w:eastAsia="zh-CN"/>
        </w:rPr>
      </w:pPr>
      <w:r>
        <w:rPr>
          <w:rFonts w:hint="eastAsia"/>
          <w:lang w:val="en-US" w:eastAsia="zh-CN"/>
        </w:rPr>
        <w:t>成功登录后显示首页内容。可以看到左侧的菜单区包含两个一级菜单，分别是办公管理以及系统设置。办公管理的一级菜单下包括OA办公、工具入库、消息中心这三个二级菜单。系统管理的一级菜单下包括员工管理、操作日志这两个二级菜单。同时在右上角可以看到写有自己名字的账号信息，点击下拉箭头可以更换头像以及修改密码。</w:t>
      </w:r>
    </w:p>
    <w:p w14:paraId="791ECF91">
      <w:pPr>
        <w:numPr>
          <w:ilvl w:val="0"/>
          <w:numId w:val="0"/>
        </w:numPr>
        <w:rPr>
          <w:rFonts w:hint="default" w:eastAsiaTheme="minorEastAsia"/>
          <w:lang w:val="en-US" w:eastAsia="zh-CN"/>
        </w:rPr>
      </w:pPr>
    </w:p>
    <w:p w14:paraId="2577BCE3">
      <w:pPr>
        <w:numPr>
          <w:ilvl w:val="0"/>
          <w:numId w:val="0"/>
        </w:numPr>
        <w:rPr>
          <w:rFonts w:hint="default" w:eastAsiaTheme="minorEastAsia"/>
          <w:lang w:val="en-US" w:eastAsia="zh-CN"/>
        </w:rPr>
      </w:pPr>
    </w:p>
    <w:p w14:paraId="0FE2D65E">
      <w:pPr>
        <w:numPr>
          <w:ilvl w:val="0"/>
          <w:numId w:val="0"/>
        </w:numPr>
        <w:rPr>
          <w:rFonts w:hint="default" w:eastAsiaTheme="minorEastAsia"/>
          <w:lang w:val="en-US" w:eastAsia="zh-CN"/>
        </w:rPr>
      </w:pPr>
    </w:p>
    <w:p w14:paraId="2CB358FE">
      <w:pPr>
        <w:numPr>
          <w:ilvl w:val="0"/>
          <w:numId w:val="0"/>
        </w:numPr>
        <w:rPr>
          <w:rFonts w:hint="default" w:eastAsiaTheme="minorEastAsia"/>
          <w:lang w:val="en-US" w:eastAsia="zh-CN"/>
        </w:rPr>
      </w:pPr>
    </w:p>
    <w:p w14:paraId="75C774D4">
      <w:pPr>
        <w:numPr>
          <w:ilvl w:val="0"/>
          <w:numId w:val="0"/>
        </w:numPr>
        <w:rPr>
          <w:rFonts w:hint="default" w:eastAsiaTheme="minorEastAsia"/>
          <w:lang w:val="en-US" w:eastAsia="zh-CN"/>
        </w:rPr>
      </w:pPr>
    </w:p>
    <w:p w14:paraId="35A07D69">
      <w:pPr>
        <w:numPr>
          <w:ilvl w:val="0"/>
          <w:numId w:val="0"/>
        </w:numPr>
        <w:rPr>
          <w:rFonts w:hint="default" w:eastAsiaTheme="minorEastAsia"/>
          <w:lang w:val="en-US" w:eastAsia="zh-CN"/>
        </w:rPr>
      </w:pPr>
    </w:p>
    <w:p w14:paraId="4B8FBB02">
      <w:pPr>
        <w:numPr>
          <w:ilvl w:val="0"/>
          <w:numId w:val="1"/>
        </w:numPr>
        <w:outlineLvl w:val="0"/>
        <w:rPr>
          <w:rFonts w:hint="eastAsia"/>
          <w:lang w:val="en-US" w:eastAsia="zh-CN"/>
        </w:rPr>
      </w:pPr>
      <w:bookmarkStart w:id="1" w:name="_Toc18975"/>
      <w:r>
        <w:rPr>
          <w:rFonts w:hint="eastAsia"/>
          <w:lang w:val="en-US" w:eastAsia="zh-CN"/>
        </w:rPr>
        <w:t>办公管理</w:t>
      </w:r>
      <w:bookmarkEnd w:id="1"/>
    </w:p>
    <w:p w14:paraId="19DB34D0">
      <w:pPr>
        <w:numPr>
          <w:ilvl w:val="0"/>
          <w:numId w:val="3"/>
        </w:numPr>
        <w:rPr>
          <w:rFonts w:hint="eastAsia"/>
          <w:lang w:val="en-US" w:eastAsia="zh-CN"/>
        </w:rPr>
      </w:pPr>
      <w:r>
        <w:rPr>
          <w:rFonts w:hint="eastAsia"/>
          <w:lang w:val="en-US" w:eastAsia="zh-CN"/>
        </w:rPr>
        <w:t>OA办公</w:t>
      </w:r>
    </w:p>
    <w:p w14:paraId="0CAB4589">
      <w:pPr>
        <w:numPr>
          <w:ilvl w:val="0"/>
          <w:numId w:val="0"/>
        </w:numPr>
        <w:rPr>
          <w:rFonts w:hint="eastAsia"/>
          <w:lang w:val="en-US" w:eastAsia="zh-CN"/>
        </w:rPr>
      </w:pPr>
      <w:r>
        <w:drawing>
          <wp:inline distT="0" distB="0" distL="114300" distR="114300">
            <wp:extent cx="5264150" cy="2204085"/>
            <wp:effectExtent l="0" t="0" r="1270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4150" cy="2204085"/>
                    </a:xfrm>
                    <a:prstGeom prst="rect">
                      <a:avLst/>
                    </a:prstGeom>
                    <a:noFill/>
                    <a:ln>
                      <a:noFill/>
                    </a:ln>
                  </pic:spPr>
                </pic:pic>
              </a:graphicData>
            </a:graphic>
          </wp:inline>
        </w:drawing>
      </w:r>
    </w:p>
    <w:p w14:paraId="7D26D4BF">
      <w:pPr>
        <w:numPr>
          <w:ilvl w:val="0"/>
          <w:numId w:val="0"/>
        </w:numPr>
        <w:rPr>
          <w:rFonts w:hint="eastAsia"/>
          <w:lang w:val="en-US" w:eastAsia="zh-CN"/>
        </w:rPr>
      </w:pPr>
    </w:p>
    <w:p w14:paraId="6526D719">
      <w:pPr>
        <w:numPr>
          <w:ilvl w:val="0"/>
          <w:numId w:val="0"/>
        </w:numPr>
        <w:rPr>
          <w:rFonts w:hint="eastAsia"/>
          <w:lang w:val="en-US" w:eastAsia="zh-CN"/>
        </w:rPr>
      </w:pPr>
    </w:p>
    <w:p w14:paraId="33C22CF1">
      <w:pPr>
        <w:numPr>
          <w:ilvl w:val="0"/>
          <w:numId w:val="0"/>
        </w:numPr>
        <w:rPr>
          <w:rFonts w:hint="default"/>
          <w:lang w:val="en-US" w:eastAsia="zh-CN"/>
        </w:rPr>
      </w:pPr>
      <w:r>
        <w:rPr>
          <w:rFonts w:hint="eastAsia"/>
          <w:lang w:val="en-US" w:eastAsia="zh-CN"/>
        </w:rPr>
        <w:t>点击办公管理一级菜单下的OA办公即可看到该页面，最上方的四个计数卡片支持查看详细数据，展示方式上支持卡片和表格方式展示数据，支持单条以及多条数据导出，单条导出格式为纸质表格样式，多条导出为csv格式，</w:t>
      </w:r>
    </w:p>
    <w:p w14:paraId="15FBEF3A">
      <w:pPr>
        <w:numPr>
          <w:ilvl w:val="0"/>
          <w:numId w:val="0"/>
        </w:numPr>
        <w:rPr>
          <w:rFonts w:hint="default"/>
          <w:lang w:val="en-US" w:eastAsia="zh-CN"/>
        </w:rPr>
      </w:pPr>
    </w:p>
    <w:p w14:paraId="4F8F6721">
      <w:pPr>
        <w:numPr>
          <w:ilvl w:val="0"/>
          <w:numId w:val="0"/>
        </w:numPr>
      </w:pPr>
      <w:r>
        <w:drawing>
          <wp:inline distT="0" distB="0" distL="114300" distR="114300">
            <wp:extent cx="5269865" cy="2359025"/>
            <wp:effectExtent l="0" t="0" r="698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9865" cy="2359025"/>
                    </a:xfrm>
                    <a:prstGeom prst="rect">
                      <a:avLst/>
                    </a:prstGeom>
                    <a:noFill/>
                    <a:ln>
                      <a:noFill/>
                    </a:ln>
                  </pic:spPr>
                </pic:pic>
              </a:graphicData>
            </a:graphic>
          </wp:inline>
        </w:drawing>
      </w:r>
    </w:p>
    <w:p w14:paraId="6A86203B">
      <w:pPr>
        <w:numPr>
          <w:ilvl w:val="0"/>
          <w:numId w:val="0"/>
        </w:numPr>
      </w:pPr>
    </w:p>
    <w:p w14:paraId="34DA47A0">
      <w:pPr>
        <w:numPr>
          <w:ilvl w:val="0"/>
          <w:numId w:val="0"/>
        </w:numPr>
        <w:rPr>
          <w:rFonts w:hint="default"/>
          <w:lang w:val="en-US" w:eastAsia="zh-CN"/>
        </w:rPr>
      </w:pPr>
    </w:p>
    <w:p w14:paraId="10261610">
      <w:pPr>
        <w:numPr>
          <w:ilvl w:val="0"/>
          <w:numId w:val="0"/>
        </w:numPr>
        <w:rPr>
          <w:rFonts w:hint="default" w:eastAsiaTheme="minorEastAsia"/>
          <w:lang w:val="en-US" w:eastAsia="zh-CN"/>
        </w:rPr>
      </w:pPr>
      <w:r>
        <w:rPr>
          <w:rFonts w:hint="eastAsia"/>
          <w:lang w:val="en-US" w:eastAsia="zh-CN"/>
        </w:rPr>
        <w:t>支持审批其他用户提交的申请单据或者其他用户转发给自己的申请单据，因为我们一般情况下在审批过后，如果没有错误，那么还需要转发到总经理处再次进行审批，所以，我们可以直接选择转发审批，勾选转发审批后，就代表我们已经批准了该审批，只需要选择总经理，那么我们就同时完成了审批加转发两个操作，同时在转发后，还可以在该分类页签下看到这条数据的处理进度。</w:t>
      </w:r>
    </w:p>
    <w:p w14:paraId="0A7821DD">
      <w:pPr>
        <w:numPr>
          <w:ilvl w:val="0"/>
          <w:numId w:val="0"/>
        </w:numPr>
      </w:pPr>
    </w:p>
    <w:p w14:paraId="198DE60C">
      <w:pPr>
        <w:numPr>
          <w:ilvl w:val="0"/>
          <w:numId w:val="0"/>
        </w:numPr>
      </w:pPr>
    </w:p>
    <w:p w14:paraId="713DF922">
      <w:pPr>
        <w:numPr>
          <w:ilvl w:val="0"/>
          <w:numId w:val="0"/>
        </w:numPr>
      </w:pPr>
    </w:p>
    <w:p w14:paraId="32D2C088">
      <w:pPr>
        <w:numPr>
          <w:ilvl w:val="0"/>
          <w:numId w:val="0"/>
        </w:numPr>
      </w:pPr>
    </w:p>
    <w:p w14:paraId="6DC929E6">
      <w:pPr>
        <w:numPr>
          <w:ilvl w:val="0"/>
          <w:numId w:val="0"/>
        </w:numPr>
      </w:pPr>
    </w:p>
    <w:p w14:paraId="1C4496AD">
      <w:pPr>
        <w:numPr>
          <w:ilvl w:val="0"/>
          <w:numId w:val="0"/>
        </w:numPr>
      </w:pPr>
    </w:p>
    <w:p w14:paraId="0CE32803">
      <w:pPr>
        <w:numPr>
          <w:ilvl w:val="0"/>
          <w:numId w:val="0"/>
        </w:numPr>
      </w:pPr>
    </w:p>
    <w:p w14:paraId="6406D2BB">
      <w:pPr>
        <w:numPr>
          <w:ilvl w:val="0"/>
          <w:numId w:val="0"/>
        </w:numPr>
      </w:pPr>
      <w:r>
        <w:drawing>
          <wp:inline distT="0" distB="0" distL="114300" distR="114300">
            <wp:extent cx="5273675" cy="2940685"/>
            <wp:effectExtent l="0" t="0" r="317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3675" cy="2940685"/>
                    </a:xfrm>
                    <a:prstGeom prst="rect">
                      <a:avLst/>
                    </a:prstGeom>
                    <a:noFill/>
                    <a:ln>
                      <a:noFill/>
                    </a:ln>
                  </pic:spPr>
                </pic:pic>
              </a:graphicData>
            </a:graphic>
          </wp:inline>
        </w:drawing>
      </w:r>
    </w:p>
    <w:p w14:paraId="4B60EB25">
      <w:pPr>
        <w:numPr>
          <w:ilvl w:val="0"/>
          <w:numId w:val="0"/>
        </w:numPr>
      </w:pPr>
    </w:p>
    <w:p w14:paraId="2F5E657A">
      <w:pPr>
        <w:numPr>
          <w:ilvl w:val="0"/>
          <w:numId w:val="0"/>
        </w:numPr>
        <w:rPr>
          <w:rFonts w:hint="eastAsia"/>
          <w:lang w:val="en-US" w:eastAsia="zh-CN"/>
        </w:rPr>
      </w:pPr>
      <w:r>
        <w:rPr>
          <w:rFonts w:hint="eastAsia"/>
          <w:lang w:val="en-US" w:eastAsia="zh-CN"/>
        </w:rPr>
        <w:t>下发管理，这是最主要的一个页签，这里显示了所有部门主管和总经理审批后下发给自己的审批单据信息，可以在图中看到，下发管理这个页签下有一个下发申请管理表格区，在表格区中包括全部以及各个申请的页签，在页签下可以查看不同申请的数据，可以看到处理状态为待处理的申请，点击操作列的处理按钮，处理并核对申请信息，核对无误后，可以处理该申请也就是同意接受该申请的处理结果。处理后处理状态变更为已处理，完成申请数据链的最后一步。</w:t>
      </w:r>
    </w:p>
    <w:p w14:paraId="5D4451C4">
      <w:pPr>
        <w:numPr>
          <w:ilvl w:val="0"/>
          <w:numId w:val="0"/>
        </w:numPr>
        <w:rPr>
          <w:rFonts w:hint="eastAsia"/>
          <w:lang w:val="en-US" w:eastAsia="zh-CN"/>
        </w:rPr>
      </w:pPr>
    </w:p>
    <w:p w14:paraId="0FD29E32">
      <w:pPr>
        <w:numPr>
          <w:ilvl w:val="0"/>
          <w:numId w:val="0"/>
        </w:numPr>
        <w:rPr>
          <w:rFonts w:hint="eastAsia"/>
          <w:lang w:val="en-US" w:eastAsia="zh-CN"/>
        </w:rPr>
      </w:pPr>
      <w:bookmarkStart w:id="3" w:name="_GoBack"/>
      <w:bookmarkEnd w:id="3"/>
    </w:p>
    <w:p w14:paraId="292F153C">
      <w:pPr>
        <w:numPr>
          <w:ilvl w:val="0"/>
          <w:numId w:val="0"/>
        </w:numPr>
        <w:rPr>
          <w:rFonts w:hint="eastAsia"/>
          <w:lang w:val="en-US" w:eastAsia="zh-CN"/>
        </w:rPr>
      </w:pPr>
    </w:p>
    <w:p w14:paraId="5D46A38B">
      <w:pPr>
        <w:numPr>
          <w:ilvl w:val="0"/>
          <w:numId w:val="0"/>
        </w:numPr>
      </w:pPr>
      <w:r>
        <w:drawing>
          <wp:inline distT="0" distB="0" distL="114300" distR="114300">
            <wp:extent cx="5270500" cy="1894205"/>
            <wp:effectExtent l="0" t="0" r="6350" b="1079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0"/>
                    <a:stretch>
                      <a:fillRect/>
                    </a:stretch>
                  </pic:blipFill>
                  <pic:spPr>
                    <a:xfrm>
                      <a:off x="0" y="0"/>
                      <a:ext cx="5270500" cy="1894205"/>
                    </a:xfrm>
                    <a:prstGeom prst="rect">
                      <a:avLst/>
                    </a:prstGeom>
                    <a:noFill/>
                    <a:ln>
                      <a:noFill/>
                    </a:ln>
                  </pic:spPr>
                </pic:pic>
              </a:graphicData>
            </a:graphic>
          </wp:inline>
        </w:drawing>
      </w:r>
    </w:p>
    <w:p w14:paraId="60418F6D">
      <w:pPr>
        <w:numPr>
          <w:ilvl w:val="0"/>
          <w:numId w:val="0"/>
        </w:numPr>
      </w:pPr>
    </w:p>
    <w:p w14:paraId="2496D256">
      <w:pPr>
        <w:numPr>
          <w:ilvl w:val="0"/>
          <w:numId w:val="0"/>
        </w:numPr>
      </w:pPr>
    </w:p>
    <w:p w14:paraId="1213FEAF">
      <w:pPr>
        <w:numPr>
          <w:ilvl w:val="0"/>
          <w:numId w:val="0"/>
        </w:numPr>
        <w:rPr>
          <w:rFonts w:hint="default"/>
          <w:lang w:val="en-US"/>
        </w:rPr>
      </w:pPr>
      <w:r>
        <w:rPr>
          <w:rFonts w:hint="eastAsia"/>
          <w:lang w:val="en-US" w:eastAsia="zh-CN"/>
        </w:rPr>
        <w:t>选择下发管理中的请假申请页签，点击之后页面如图上所示，核对无误后，如果想要导出为纸质表格，那么，点击导出按钮即可。</w:t>
      </w:r>
    </w:p>
    <w:p w14:paraId="6E320520">
      <w:pPr>
        <w:numPr>
          <w:ilvl w:val="0"/>
          <w:numId w:val="0"/>
        </w:numPr>
        <w:rPr>
          <w:rFonts w:hint="default"/>
          <w:lang w:val="en-US" w:eastAsia="zh-CN"/>
        </w:rPr>
      </w:pPr>
    </w:p>
    <w:p w14:paraId="65F689BA">
      <w:pPr>
        <w:numPr>
          <w:ilvl w:val="0"/>
          <w:numId w:val="0"/>
        </w:numPr>
        <w:rPr>
          <w:rFonts w:hint="default"/>
          <w:lang w:val="en-US" w:eastAsia="zh-CN"/>
        </w:rPr>
      </w:pPr>
    </w:p>
    <w:p w14:paraId="40D57381">
      <w:pPr>
        <w:numPr>
          <w:ilvl w:val="0"/>
          <w:numId w:val="0"/>
        </w:numPr>
        <w:rPr>
          <w:rFonts w:hint="default"/>
          <w:lang w:val="en-US" w:eastAsia="zh-CN"/>
        </w:rPr>
      </w:pPr>
    </w:p>
    <w:p w14:paraId="38539049">
      <w:pPr>
        <w:numPr>
          <w:ilvl w:val="0"/>
          <w:numId w:val="0"/>
        </w:numPr>
        <w:rPr>
          <w:rFonts w:hint="default"/>
          <w:lang w:val="en-US" w:eastAsia="zh-CN"/>
        </w:rPr>
      </w:pPr>
    </w:p>
    <w:p w14:paraId="2ECD31E7">
      <w:pPr>
        <w:numPr>
          <w:ilvl w:val="0"/>
          <w:numId w:val="0"/>
        </w:numPr>
        <w:rPr>
          <w:rFonts w:hint="default"/>
          <w:lang w:val="en-US" w:eastAsia="zh-CN"/>
        </w:rPr>
      </w:pPr>
    </w:p>
    <w:p w14:paraId="52016B20">
      <w:pPr>
        <w:numPr>
          <w:ilvl w:val="0"/>
          <w:numId w:val="0"/>
        </w:numPr>
        <w:rPr>
          <w:rFonts w:hint="default"/>
          <w:lang w:val="en-US" w:eastAsia="zh-CN"/>
        </w:rPr>
      </w:pPr>
    </w:p>
    <w:p w14:paraId="298E0D9B">
      <w:pPr>
        <w:numPr>
          <w:ilvl w:val="0"/>
          <w:numId w:val="0"/>
        </w:numPr>
        <w:rPr>
          <w:rFonts w:hint="default"/>
          <w:lang w:val="en-US" w:eastAsia="zh-CN"/>
        </w:rPr>
      </w:pPr>
    </w:p>
    <w:p w14:paraId="5E3BA300">
      <w:pPr>
        <w:numPr>
          <w:ilvl w:val="0"/>
          <w:numId w:val="0"/>
        </w:numPr>
      </w:pPr>
      <w:r>
        <w:drawing>
          <wp:inline distT="0" distB="0" distL="114300" distR="114300">
            <wp:extent cx="5268595" cy="1791970"/>
            <wp:effectExtent l="0" t="0" r="8255" b="17780"/>
            <wp:docPr id="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5"/>
                    <pic:cNvPicPr>
                      <a:picLocks noChangeAspect="1"/>
                    </pic:cNvPicPr>
                  </pic:nvPicPr>
                  <pic:blipFill>
                    <a:blip r:embed="rId11"/>
                    <a:stretch>
                      <a:fillRect/>
                    </a:stretch>
                  </pic:blipFill>
                  <pic:spPr>
                    <a:xfrm>
                      <a:off x="0" y="0"/>
                      <a:ext cx="5268595" cy="1791970"/>
                    </a:xfrm>
                    <a:prstGeom prst="rect">
                      <a:avLst/>
                    </a:prstGeom>
                    <a:noFill/>
                    <a:ln>
                      <a:noFill/>
                    </a:ln>
                  </pic:spPr>
                </pic:pic>
              </a:graphicData>
            </a:graphic>
          </wp:inline>
        </w:drawing>
      </w:r>
    </w:p>
    <w:p w14:paraId="7A7EA91F">
      <w:pPr>
        <w:numPr>
          <w:ilvl w:val="0"/>
          <w:numId w:val="0"/>
        </w:numPr>
        <w:rPr>
          <w:rFonts w:hint="eastAsia"/>
          <w:lang w:val="en-US" w:eastAsia="zh-CN"/>
        </w:rPr>
      </w:pPr>
      <w:r>
        <w:rPr>
          <w:rFonts w:hint="eastAsia"/>
          <w:lang w:val="en-US" w:eastAsia="zh-CN"/>
        </w:rPr>
        <w:t>点击请假申请页签下的导出按钮的表格样式如图。</w:t>
      </w:r>
    </w:p>
    <w:p w14:paraId="06922EAC">
      <w:pPr>
        <w:numPr>
          <w:ilvl w:val="0"/>
          <w:numId w:val="0"/>
        </w:numPr>
        <w:rPr>
          <w:rFonts w:hint="eastAsia"/>
          <w:lang w:val="en-US" w:eastAsia="zh-CN"/>
        </w:rPr>
      </w:pPr>
    </w:p>
    <w:p w14:paraId="2BE60D72">
      <w:pPr>
        <w:numPr>
          <w:ilvl w:val="0"/>
          <w:numId w:val="0"/>
        </w:numPr>
      </w:pPr>
      <w:r>
        <w:drawing>
          <wp:inline distT="0" distB="0" distL="114300" distR="114300">
            <wp:extent cx="5270500" cy="2690495"/>
            <wp:effectExtent l="0" t="0" r="6350" b="146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5270500" cy="2690495"/>
                    </a:xfrm>
                    <a:prstGeom prst="rect">
                      <a:avLst/>
                    </a:prstGeom>
                    <a:noFill/>
                    <a:ln>
                      <a:noFill/>
                    </a:ln>
                  </pic:spPr>
                </pic:pic>
              </a:graphicData>
            </a:graphic>
          </wp:inline>
        </w:drawing>
      </w:r>
    </w:p>
    <w:p w14:paraId="55D76421">
      <w:pPr>
        <w:numPr>
          <w:ilvl w:val="0"/>
          <w:numId w:val="0"/>
        </w:numPr>
      </w:pPr>
    </w:p>
    <w:p w14:paraId="5A73AE0C">
      <w:pPr>
        <w:numPr>
          <w:ilvl w:val="0"/>
          <w:numId w:val="0"/>
        </w:numPr>
        <w:rPr>
          <w:rFonts w:hint="default" w:eastAsiaTheme="minorEastAsia"/>
          <w:lang w:val="en-US" w:eastAsia="zh-CN"/>
        </w:rPr>
      </w:pPr>
      <w:r>
        <w:rPr>
          <w:rFonts w:hint="eastAsia"/>
          <w:lang w:val="en-US" w:eastAsia="zh-CN"/>
        </w:rPr>
        <w:t>点击报销管理页签下的导出按钮的表格样式如图，</w:t>
      </w:r>
    </w:p>
    <w:p w14:paraId="77A22B61">
      <w:pPr>
        <w:numPr>
          <w:ilvl w:val="0"/>
          <w:numId w:val="0"/>
        </w:numPr>
        <w:rPr>
          <w:rFonts w:hint="eastAsia"/>
          <w:lang w:val="en-US" w:eastAsia="zh-CN"/>
        </w:rPr>
      </w:pPr>
    </w:p>
    <w:p w14:paraId="51A72357">
      <w:pPr>
        <w:numPr>
          <w:ilvl w:val="0"/>
          <w:numId w:val="0"/>
        </w:numPr>
        <w:rPr>
          <w:rFonts w:hint="eastAsia"/>
          <w:lang w:val="en-US" w:eastAsia="zh-CN"/>
        </w:rPr>
      </w:pPr>
    </w:p>
    <w:p w14:paraId="796818FA">
      <w:pPr>
        <w:numPr>
          <w:ilvl w:val="0"/>
          <w:numId w:val="0"/>
        </w:numPr>
        <w:rPr>
          <w:rFonts w:hint="eastAsia"/>
          <w:lang w:val="en-US" w:eastAsia="zh-CN"/>
        </w:rPr>
      </w:pPr>
    </w:p>
    <w:p w14:paraId="1E2A80E4">
      <w:pPr>
        <w:numPr>
          <w:ilvl w:val="0"/>
          <w:numId w:val="0"/>
        </w:numPr>
        <w:rPr>
          <w:rFonts w:hint="eastAsia"/>
          <w:lang w:val="en-US" w:eastAsia="zh-CN"/>
        </w:rPr>
      </w:pPr>
    </w:p>
    <w:p w14:paraId="3C499739">
      <w:pPr>
        <w:numPr>
          <w:ilvl w:val="0"/>
          <w:numId w:val="0"/>
        </w:numPr>
        <w:rPr>
          <w:rFonts w:hint="eastAsia"/>
          <w:lang w:val="en-US" w:eastAsia="zh-CN"/>
        </w:rPr>
      </w:pPr>
    </w:p>
    <w:p w14:paraId="4C214843">
      <w:pPr>
        <w:numPr>
          <w:ilvl w:val="0"/>
          <w:numId w:val="0"/>
        </w:numPr>
        <w:rPr>
          <w:rFonts w:hint="eastAsia"/>
          <w:lang w:val="en-US" w:eastAsia="zh-CN"/>
        </w:rPr>
      </w:pPr>
    </w:p>
    <w:p w14:paraId="0D503DF0">
      <w:pPr>
        <w:numPr>
          <w:ilvl w:val="0"/>
          <w:numId w:val="0"/>
        </w:numPr>
        <w:rPr>
          <w:rFonts w:hint="eastAsia"/>
          <w:lang w:val="en-US" w:eastAsia="zh-CN"/>
        </w:rPr>
      </w:pPr>
    </w:p>
    <w:p w14:paraId="54E96E79">
      <w:pPr>
        <w:numPr>
          <w:ilvl w:val="0"/>
          <w:numId w:val="0"/>
        </w:numPr>
        <w:rPr>
          <w:rFonts w:hint="eastAsia"/>
          <w:lang w:val="en-US" w:eastAsia="zh-CN"/>
        </w:rPr>
      </w:pPr>
    </w:p>
    <w:p w14:paraId="0D37DCF6">
      <w:pPr>
        <w:numPr>
          <w:ilvl w:val="0"/>
          <w:numId w:val="0"/>
        </w:numPr>
        <w:rPr>
          <w:rFonts w:hint="eastAsia"/>
          <w:lang w:val="en-US" w:eastAsia="zh-CN"/>
        </w:rPr>
      </w:pPr>
    </w:p>
    <w:p w14:paraId="4C6B3FD7">
      <w:pPr>
        <w:numPr>
          <w:ilvl w:val="0"/>
          <w:numId w:val="0"/>
        </w:numPr>
        <w:rPr>
          <w:rFonts w:hint="eastAsia"/>
          <w:lang w:val="en-US" w:eastAsia="zh-CN"/>
        </w:rPr>
      </w:pPr>
    </w:p>
    <w:p w14:paraId="215A6BCC">
      <w:pPr>
        <w:numPr>
          <w:ilvl w:val="0"/>
          <w:numId w:val="0"/>
        </w:numPr>
        <w:rPr>
          <w:rFonts w:hint="eastAsia"/>
          <w:lang w:val="en-US" w:eastAsia="zh-CN"/>
        </w:rPr>
      </w:pPr>
    </w:p>
    <w:p w14:paraId="4F41C7D5">
      <w:pPr>
        <w:numPr>
          <w:ilvl w:val="0"/>
          <w:numId w:val="0"/>
        </w:numPr>
        <w:rPr>
          <w:rFonts w:hint="eastAsia"/>
          <w:lang w:val="en-US" w:eastAsia="zh-CN"/>
        </w:rPr>
      </w:pPr>
    </w:p>
    <w:p w14:paraId="25936823">
      <w:pPr>
        <w:numPr>
          <w:ilvl w:val="0"/>
          <w:numId w:val="0"/>
        </w:numPr>
        <w:rPr>
          <w:rFonts w:hint="eastAsia"/>
          <w:lang w:val="en-US" w:eastAsia="zh-CN"/>
        </w:rPr>
      </w:pPr>
    </w:p>
    <w:p w14:paraId="6B6D0D12">
      <w:pPr>
        <w:numPr>
          <w:ilvl w:val="0"/>
          <w:numId w:val="0"/>
        </w:numPr>
      </w:pPr>
      <w:r>
        <w:drawing>
          <wp:inline distT="0" distB="0" distL="114300" distR="114300">
            <wp:extent cx="5271135" cy="2363470"/>
            <wp:effectExtent l="0" t="0" r="5715" b="1778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3"/>
                    <a:stretch>
                      <a:fillRect/>
                    </a:stretch>
                  </pic:blipFill>
                  <pic:spPr>
                    <a:xfrm>
                      <a:off x="0" y="0"/>
                      <a:ext cx="5271135" cy="2363470"/>
                    </a:xfrm>
                    <a:prstGeom prst="rect">
                      <a:avLst/>
                    </a:prstGeom>
                    <a:noFill/>
                    <a:ln>
                      <a:noFill/>
                    </a:ln>
                  </pic:spPr>
                </pic:pic>
              </a:graphicData>
            </a:graphic>
          </wp:inline>
        </w:drawing>
      </w:r>
    </w:p>
    <w:p w14:paraId="49F33002">
      <w:pPr>
        <w:numPr>
          <w:ilvl w:val="0"/>
          <w:numId w:val="0"/>
        </w:numPr>
      </w:pPr>
    </w:p>
    <w:p w14:paraId="2E09F572">
      <w:pPr>
        <w:numPr>
          <w:ilvl w:val="0"/>
          <w:numId w:val="0"/>
        </w:numPr>
        <w:rPr>
          <w:rFonts w:hint="default" w:eastAsiaTheme="minorEastAsia"/>
          <w:lang w:val="en-US" w:eastAsia="zh-CN"/>
        </w:rPr>
      </w:pPr>
      <w:r>
        <w:rPr>
          <w:rFonts w:hint="eastAsia"/>
          <w:lang w:val="en-US" w:eastAsia="zh-CN"/>
        </w:rPr>
        <w:t>点击出差申请页签下的导出按钮的表格样式如图。</w:t>
      </w:r>
    </w:p>
    <w:p w14:paraId="3C02249E">
      <w:pPr>
        <w:numPr>
          <w:ilvl w:val="0"/>
          <w:numId w:val="0"/>
        </w:numPr>
      </w:pPr>
    </w:p>
    <w:p w14:paraId="6DC29D03">
      <w:pPr>
        <w:numPr>
          <w:ilvl w:val="0"/>
          <w:numId w:val="0"/>
        </w:numPr>
      </w:pPr>
      <w:r>
        <w:drawing>
          <wp:inline distT="0" distB="0" distL="114300" distR="114300">
            <wp:extent cx="5271770" cy="3897630"/>
            <wp:effectExtent l="0" t="0" r="508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4"/>
                    <a:stretch>
                      <a:fillRect/>
                    </a:stretch>
                  </pic:blipFill>
                  <pic:spPr>
                    <a:xfrm>
                      <a:off x="0" y="0"/>
                      <a:ext cx="5271770" cy="3897630"/>
                    </a:xfrm>
                    <a:prstGeom prst="rect">
                      <a:avLst/>
                    </a:prstGeom>
                    <a:noFill/>
                    <a:ln>
                      <a:noFill/>
                    </a:ln>
                  </pic:spPr>
                </pic:pic>
              </a:graphicData>
            </a:graphic>
          </wp:inline>
        </w:drawing>
      </w:r>
    </w:p>
    <w:p w14:paraId="41906826">
      <w:pPr>
        <w:numPr>
          <w:ilvl w:val="0"/>
          <w:numId w:val="0"/>
        </w:numPr>
      </w:pPr>
    </w:p>
    <w:p w14:paraId="7D3078D8">
      <w:pPr>
        <w:numPr>
          <w:ilvl w:val="0"/>
          <w:numId w:val="0"/>
        </w:numPr>
        <w:rPr>
          <w:rFonts w:hint="default" w:eastAsiaTheme="minorEastAsia"/>
          <w:lang w:val="en-US" w:eastAsia="zh-CN"/>
        </w:rPr>
      </w:pPr>
      <w:r>
        <w:rPr>
          <w:rFonts w:hint="eastAsia"/>
          <w:lang w:val="en-US" w:eastAsia="zh-CN"/>
        </w:rPr>
        <w:t>点击出差申请页签下的导出按钮的表格样式如图。</w:t>
      </w:r>
    </w:p>
    <w:p w14:paraId="07EAADFA">
      <w:pPr>
        <w:numPr>
          <w:ilvl w:val="0"/>
          <w:numId w:val="0"/>
        </w:numPr>
        <w:rPr>
          <w:rFonts w:hint="eastAsia"/>
          <w:lang w:val="en-US" w:eastAsia="zh-CN"/>
        </w:rPr>
      </w:pPr>
    </w:p>
    <w:p w14:paraId="5739AC61">
      <w:pPr>
        <w:numPr>
          <w:ilvl w:val="0"/>
          <w:numId w:val="0"/>
        </w:numPr>
        <w:rPr>
          <w:rFonts w:hint="default"/>
          <w:lang w:val="en-US" w:eastAsia="zh-CN"/>
        </w:rPr>
      </w:pPr>
    </w:p>
    <w:p w14:paraId="1016422F">
      <w:pPr>
        <w:numPr>
          <w:ilvl w:val="0"/>
          <w:numId w:val="0"/>
        </w:numPr>
      </w:pPr>
    </w:p>
    <w:p w14:paraId="4CFC3477">
      <w:pPr>
        <w:numPr>
          <w:ilvl w:val="0"/>
          <w:numId w:val="0"/>
        </w:numPr>
      </w:pPr>
    </w:p>
    <w:p w14:paraId="46B8F64B">
      <w:pPr>
        <w:numPr>
          <w:ilvl w:val="0"/>
          <w:numId w:val="0"/>
        </w:numPr>
      </w:pPr>
    </w:p>
    <w:p w14:paraId="5BCF875C">
      <w:pPr>
        <w:numPr>
          <w:ilvl w:val="0"/>
          <w:numId w:val="3"/>
        </w:numPr>
        <w:rPr>
          <w:rFonts w:hint="default"/>
          <w:lang w:val="en-US" w:eastAsia="zh-CN"/>
        </w:rPr>
      </w:pPr>
      <w:r>
        <w:rPr>
          <w:rFonts w:hint="eastAsia"/>
          <w:lang w:val="en-US" w:eastAsia="zh-CN"/>
        </w:rPr>
        <w:t>工具入库</w:t>
      </w:r>
    </w:p>
    <w:p w14:paraId="396D0EB7">
      <w:pPr>
        <w:numPr>
          <w:ilvl w:val="0"/>
          <w:numId w:val="0"/>
        </w:numPr>
      </w:pPr>
      <w:r>
        <w:drawing>
          <wp:inline distT="0" distB="0" distL="114300" distR="114300">
            <wp:extent cx="5267325" cy="1544320"/>
            <wp:effectExtent l="0" t="0" r="9525" b="1778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5"/>
                    <a:stretch>
                      <a:fillRect/>
                    </a:stretch>
                  </pic:blipFill>
                  <pic:spPr>
                    <a:xfrm>
                      <a:off x="0" y="0"/>
                      <a:ext cx="5267325" cy="1544320"/>
                    </a:xfrm>
                    <a:prstGeom prst="rect">
                      <a:avLst/>
                    </a:prstGeom>
                    <a:noFill/>
                    <a:ln>
                      <a:noFill/>
                    </a:ln>
                  </pic:spPr>
                </pic:pic>
              </a:graphicData>
            </a:graphic>
          </wp:inline>
        </w:drawing>
      </w:r>
    </w:p>
    <w:p w14:paraId="049FD498">
      <w:pPr>
        <w:numPr>
          <w:ilvl w:val="0"/>
          <w:numId w:val="0"/>
        </w:numPr>
      </w:pPr>
      <w:r>
        <w:rPr>
          <w:rFonts w:hint="eastAsia"/>
          <w:lang w:val="en-US" w:eastAsia="zh-CN"/>
        </w:rPr>
        <w:t>点击办公管理下的工具入库，界面如图所示，可以按需添加工具并在表格中进行展示</w:t>
      </w:r>
    </w:p>
    <w:p w14:paraId="25AF3905">
      <w:pPr>
        <w:numPr>
          <w:ilvl w:val="0"/>
          <w:numId w:val="3"/>
        </w:numPr>
        <w:rPr>
          <w:rFonts w:hint="default"/>
          <w:lang w:val="en-US" w:eastAsia="zh-CN"/>
        </w:rPr>
      </w:pPr>
      <w:r>
        <w:rPr>
          <w:rFonts w:hint="eastAsia"/>
          <w:lang w:val="en-US" w:eastAsia="zh-CN"/>
        </w:rPr>
        <w:t>消息中心</w:t>
      </w:r>
    </w:p>
    <w:p w14:paraId="7BC9CA60">
      <w:pPr>
        <w:numPr>
          <w:ilvl w:val="0"/>
          <w:numId w:val="0"/>
        </w:numPr>
      </w:pPr>
      <w:r>
        <w:drawing>
          <wp:inline distT="0" distB="0" distL="114300" distR="114300">
            <wp:extent cx="5264785" cy="1231900"/>
            <wp:effectExtent l="0" t="0" r="12065" b="6350"/>
            <wp:docPr id="10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0"/>
                    <pic:cNvPicPr>
                      <a:picLocks noChangeAspect="1"/>
                    </pic:cNvPicPr>
                  </pic:nvPicPr>
                  <pic:blipFill>
                    <a:blip r:embed="rId16"/>
                    <a:stretch>
                      <a:fillRect/>
                    </a:stretch>
                  </pic:blipFill>
                  <pic:spPr>
                    <a:xfrm>
                      <a:off x="0" y="0"/>
                      <a:ext cx="5264785" cy="1231900"/>
                    </a:xfrm>
                    <a:prstGeom prst="rect">
                      <a:avLst/>
                    </a:prstGeom>
                    <a:noFill/>
                    <a:ln>
                      <a:noFill/>
                    </a:ln>
                  </pic:spPr>
                </pic:pic>
              </a:graphicData>
            </a:graphic>
          </wp:inline>
        </w:drawing>
      </w:r>
    </w:p>
    <w:p w14:paraId="1D8BD7D5">
      <w:pPr>
        <w:numPr>
          <w:ilvl w:val="0"/>
          <w:numId w:val="0"/>
        </w:numPr>
      </w:pPr>
    </w:p>
    <w:p w14:paraId="3F5158A6">
      <w:pPr>
        <w:numPr>
          <w:ilvl w:val="0"/>
          <w:numId w:val="0"/>
        </w:numPr>
      </w:pPr>
      <w:r>
        <w:drawing>
          <wp:inline distT="0" distB="0" distL="114300" distR="114300">
            <wp:extent cx="5271770" cy="4121150"/>
            <wp:effectExtent l="0" t="0" r="5080" b="12700"/>
            <wp:docPr id="11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1"/>
                    <pic:cNvPicPr>
                      <a:picLocks noChangeAspect="1"/>
                    </pic:cNvPicPr>
                  </pic:nvPicPr>
                  <pic:blipFill>
                    <a:blip r:embed="rId17"/>
                    <a:stretch>
                      <a:fillRect/>
                    </a:stretch>
                  </pic:blipFill>
                  <pic:spPr>
                    <a:xfrm>
                      <a:off x="0" y="0"/>
                      <a:ext cx="5271770" cy="4121150"/>
                    </a:xfrm>
                    <a:prstGeom prst="rect">
                      <a:avLst/>
                    </a:prstGeom>
                    <a:noFill/>
                    <a:ln>
                      <a:noFill/>
                    </a:ln>
                  </pic:spPr>
                </pic:pic>
              </a:graphicData>
            </a:graphic>
          </wp:inline>
        </w:drawing>
      </w:r>
    </w:p>
    <w:p w14:paraId="753D3224">
      <w:pPr>
        <w:numPr>
          <w:ilvl w:val="0"/>
          <w:numId w:val="0"/>
        </w:numPr>
      </w:pPr>
    </w:p>
    <w:p w14:paraId="5761F911">
      <w:pPr>
        <w:numPr>
          <w:ilvl w:val="0"/>
          <w:numId w:val="0"/>
        </w:numPr>
        <w:rPr>
          <w:rFonts w:hint="eastAsia"/>
          <w:lang w:val="en-US" w:eastAsia="zh-CN"/>
        </w:rPr>
      </w:pPr>
      <w:r>
        <w:rPr>
          <w:rFonts w:hint="eastAsia"/>
          <w:lang w:val="en-US" w:eastAsia="zh-CN"/>
        </w:rPr>
        <w:t>点击办公管理下的消息中心或者点击姓名左侧的小铃铛进入消息列表页面，而且小铃铛会出现红色提醒，消息列可以一键已读并实时刷新。</w:t>
      </w:r>
    </w:p>
    <w:p w14:paraId="7FDCE664">
      <w:pPr>
        <w:numPr>
          <w:ilvl w:val="0"/>
          <w:numId w:val="0"/>
        </w:numPr>
        <w:rPr>
          <w:rFonts w:hint="eastAsia"/>
          <w:lang w:val="en-US" w:eastAsia="zh-CN"/>
        </w:rPr>
      </w:pPr>
    </w:p>
    <w:p w14:paraId="7F15F3CC">
      <w:pPr>
        <w:numPr>
          <w:ilvl w:val="0"/>
          <w:numId w:val="0"/>
        </w:numPr>
      </w:pPr>
    </w:p>
    <w:p w14:paraId="2A26D9CC">
      <w:pPr>
        <w:numPr>
          <w:ilvl w:val="0"/>
          <w:numId w:val="1"/>
        </w:numPr>
        <w:outlineLvl w:val="0"/>
        <w:rPr>
          <w:rFonts w:hint="default"/>
          <w:lang w:val="en-US" w:eastAsia="zh-CN"/>
        </w:rPr>
      </w:pPr>
      <w:bookmarkStart w:id="2" w:name="_Toc17147"/>
      <w:r>
        <w:rPr>
          <w:rFonts w:hint="eastAsia"/>
          <w:lang w:val="en-US" w:eastAsia="zh-CN"/>
        </w:rPr>
        <w:t>系统设置</w:t>
      </w:r>
      <w:bookmarkEnd w:id="2"/>
    </w:p>
    <w:p w14:paraId="16F72322">
      <w:pPr>
        <w:numPr>
          <w:ilvl w:val="0"/>
          <w:numId w:val="4"/>
        </w:numPr>
        <w:rPr>
          <w:rFonts w:hint="eastAsia"/>
          <w:lang w:val="en-US" w:eastAsia="zh-CN"/>
        </w:rPr>
      </w:pPr>
      <w:r>
        <w:rPr>
          <w:rFonts w:hint="eastAsia"/>
          <w:lang w:val="en-US" w:eastAsia="zh-CN"/>
        </w:rPr>
        <w:t>员工管理</w:t>
      </w:r>
    </w:p>
    <w:p w14:paraId="76A8F925">
      <w:pPr>
        <w:numPr>
          <w:ilvl w:val="0"/>
          <w:numId w:val="0"/>
        </w:numPr>
      </w:pPr>
      <w:r>
        <w:drawing>
          <wp:inline distT="0" distB="0" distL="114300" distR="114300">
            <wp:extent cx="5272405" cy="2992120"/>
            <wp:effectExtent l="0" t="0" r="4445" b="1778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8"/>
                    <a:stretch>
                      <a:fillRect/>
                    </a:stretch>
                  </pic:blipFill>
                  <pic:spPr>
                    <a:xfrm>
                      <a:off x="0" y="0"/>
                      <a:ext cx="5272405" cy="2992120"/>
                    </a:xfrm>
                    <a:prstGeom prst="rect">
                      <a:avLst/>
                    </a:prstGeom>
                    <a:noFill/>
                    <a:ln>
                      <a:noFill/>
                    </a:ln>
                  </pic:spPr>
                </pic:pic>
              </a:graphicData>
            </a:graphic>
          </wp:inline>
        </w:drawing>
      </w:r>
    </w:p>
    <w:p w14:paraId="0C45091E">
      <w:pPr>
        <w:numPr>
          <w:ilvl w:val="0"/>
          <w:numId w:val="0"/>
        </w:numPr>
        <w:rPr>
          <w:rFonts w:hint="eastAsia"/>
          <w:lang w:val="en-US" w:eastAsia="zh-CN"/>
        </w:rPr>
      </w:pPr>
      <w:r>
        <w:rPr>
          <w:rFonts w:hint="eastAsia"/>
          <w:lang w:val="en-US" w:eastAsia="zh-CN"/>
        </w:rPr>
        <w:t>可以批量导入和导出员工数据，以及编辑员工信息和删除员工</w:t>
      </w:r>
    </w:p>
    <w:p w14:paraId="04925583">
      <w:pPr>
        <w:numPr>
          <w:ilvl w:val="0"/>
          <w:numId w:val="0"/>
        </w:numPr>
        <w:rPr>
          <w:rFonts w:hint="default"/>
          <w:lang w:val="en-US" w:eastAsia="zh-CN"/>
        </w:rPr>
      </w:pPr>
    </w:p>
    <w:p w14:paraId="45CA9849">
      <w:pPr>
        <w:numPr>
          <w:ilvl w:val="0"/>
          <w:numId w:val="4"/>
        </w:numPr>
        <w:rPr>
          <w:rFonts w:hint="eastAsia"/>
          <w:lang w:val="en-US" w:eastAsia="zh-CN"/>
        </w:rPr>
      </w:pPr>
      <w:r>
        <w:rPr>
          <w:rFonts w:hint="eastAsia"/>
          <w:lang w:val="en-US" w:eastAsia="zh-CN"/>
        </w:rPr>
        <w:t>操作日志</w:t>
      </w:r>
    </w:p>
    <w:p w14:paraId="57B19727">
      <w:pPr>
        <w:widowControl w:val="0"/>
        <w:numPr>
          <w:ilvl w:val="0"/>
          <w:numId w:val="0"/>
        </w:numPr>
        <w:jc w:val="both"/>
        <w:rPr>
          <w:rFonts w:hint="eastAsia"/>
          <w:lang w:val="en-US" w:eastAsia="zh-CN"/>
        </w:rPr>
      </w:pPr>
    </w:p>
    <w:p w14:paraId="5EA06ED4">
      <w:pPr>
        <w:numPr>
          <w:ilvl w:val="0"/>
          <w:numId w:val="0"/>
        </w:numPr>
      </w:pPr>
      <w:r>
        <w:drawing>
          <wp:inline distT="0" distB="0" distL="114300" distR="114300">
            <wp:extent cx="5271770" cy="1313180"/>
            <wp:effectExtent l="0" t="0" r="5080" b="1270"/>
            <wp:docPr id="11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6"/>
                    <pic:cNvPicPr>
                      <a:picLocks noChangeAspect="1"/>
                    </pic:cNvPicPr>
                  </pic:nvPicPr>
                  <pic:blipFill>
                    <a:blip r:embed="rId19"/>
                    <a:stretch>
                      <a:fillRect/>
                    </a:stretch>
                  </pic:blipFill>
                  <pic:spPr>
                    <a:xfrm>
                      <a:off x="0" y="0"/>
                      <a:ext cx="5271770" cy="1313180"/>
                    </a:xfrm>
                    <a:prstGeom prst="rect">
                      <a:avLst/>
                    </a:prstGeom>
                    <a:noFill/>
                    <a:ln>
                      <a:noFill/>
                    </a:ln>
                  </pic:spPr>
                </pic:pic>
              </a:graphicData>
            </a:graphic>
          </wp:inline>
        </w:drawing>
      </w:r>
    </w:p>
    <w:p w14:paraId="7D977711">
      <w:pPr>
        <w:numPr>
          <w:ilvl w:val="0"/>
          <w:numId w:val="0"/>
        </w:numPr>
      </w:pPr>
    </w:p>
    <w:p w14:paraId="60D90057">
      <w:pPr>
        <w:numPr>
          <w:ilvl w:val="0"/>
          <w:numId w:val="0"/>
        </w:numPr>
        <w:rPr>
          <w:rFonts w:hint="default"/>
          <w:lang w:val="en-US" w:eastAsia="zh-CN"/>
        </w:rPr>
      </w:pPr>
      <w:r>
        <w:rPr>
          <w:rFonts w:hint="eastAsia"/>
          <w:lang w:val="en-US" w:eastAsia="zh-CN"/>
        </w:rPr>
        <w:t>点击系统设置下的操作日志，可以看到自己的一系列操作，总经理角色的用户可以看到所有人的操作日志。</w:t>
      </w:r>
    </w:p>
    <w:p w14:paraId="25542FCF">
      <w:pPr>
        <w:widowControl w:val="0"/>
        <w:numPr>
          <w:ilvl w:val="0"/>
          <w:numId w:val="0"/>
        </w:numPr>
        <w:jc w:val="both"/>
        <w:rPr>
          <w:rFonts w:hint="default" w:eastAsiaTheme="minorEastAsia"/>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宋体">
    <w:altName w:val="宋体"/>
    <w:panose1 w:val="02010600040101010101"/>
    <w:charset w:val="86"/>
    <w:family w:val="auto"/>
    <w:pitch w:val="default"/>
    <w:sig w:usb0="00000000" w:usb1="0000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88815">
    <w:pPr>
      <w:pStyle w:val="3"/>
      <w:pBdr>
        <w:bottom w:val="single" w:color="auto" w:sz="4" w:space="1"/>
      </w:pBdr>
      <w:rPr>
        <w:rFonts w:hint="default" w:eastAsiaTheme="minorEastAsia"/>
        <w:u w:val="none"/>
        <w:lang w:val="en-US" w:eastAsia="zh-CN"/>
      </w:rPr>
    </w:pPr>
    <w:r>
      <w:rPr>
        <w:rFonts w:hint="eastAsia"/>
        <w:u w:val="none"/>
        <w:lang w:val="en-US" w:eastAsia="zh-CN"/>
      </w:rPr>
      <w:t>内蒙古宏友软件技术服务有限公司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9E3428"/>
    <w:multiLevelType w:val="singleLevel"/>
    <w:tmpl w:val="A69E3428"/>
    <w:lvl w:ilvl="0" w:tentative="0">
      <w:start w:val="1"/>
      <w:numFmt w:val="chineseCounting"/>
      <w:suff w:val="nothing"/>
      <w:lvlText w:val="%1、"/>
      <w:lvlJc w:val="left"/>
      <w:rPr>
        <w:rFonts w:hint="eastAsia"/>
      </w:rPr>
    </w:lvl>
  </w:abstractNum>
  <w:abstractNum w:abstractNumId="1">
    <w:nsid w:val="174DFD2C"/>
    <w:multiLevelType w:val="singleLevel"/>
    <w:tmpl w:val="174DFD2C"/>
    <w:lvl w:ilvl="0" w:tentative="0">
      <w:start w:val="1"/>
      <w:numFmt w:val="decimal"/>
      <w:suff w:val="nothing"/>
      <w:lvlText w:val="%1、"/>
      <w:lvlJc w:val="left"/>
    </w:lvl>
  </w:abstractNum>
  <w:abstractNum w:abstractNumId="2">
    <w:nsid w:val="4E4F30CF"/>
    <w:multiLevelType w:val="singleLevel"/>
    <w:tmpl w:val="4E4F30CF"/>
    <w:lvl w:ilvl="0" w:tentative="0">
      <w:start w:val="1"/>
      <w:numFmt w:val="decimal"/>
      <w:suff w:val="nothing"/>
      <w:lvlText w:val="（%1）"/>
      <w:lvlJc w:val="left"/>
    </w:lvl>
  </w:abstractNum>
  <w:abstractNum w:abstractNumId="3">
    <w:nsid w:val="731198DB"/>
    <w:multiLevelType w:val="singleLevel"/>
    <w:tmpl w:val="731198DB"/>
    <w:lvl w:ilvl="0" w:tentative="0">
      <w:start w:val="1"/>
      <w:numFmt w:val="decimal"/>
      <w:suff w:val="nothing"/>
      <w:lvlText w:val="%1、"/>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Q1NzJhNWFhYjk3ZTJjODhkNjQ1ZjJkNjNiODExZjIifQ=="/>
  </w:docVars>
  <w:rsids>
    <w:rsidRoot w:val="00000000"/>
    <w:rsid w:val="003C468C"/>
    <w:rsid w:val="00D90E7F"/>
    <w:rsid w:val="01E056A0"/>
    <w:rsid w:val="030B6598"/>
    <w:rsid w:val="03CE50F9"/>
    <w:rsid w:val="04602B3A"/>
    <w:rsid w:val="051A0D14"/>
    <w:rsid w:val="053D603F"/>
    <w:rsid w:val="057C377D"/>
    <w:rsid w:val="069A735F"/>
    <w:rsid w:val="07830DF3"/>
    <w:rsid w:val="0842480A"/>
    <w:rsid w:val="09A3577C"/>
    <w:rsid w:val="0B261896"/>
    <w:rsid w:val="0B3348DE"/>
    <w:rsid w:val="0C3C5A14"/>
    <w:rsid w:val="0C49563A"/>
    <w:rsid w:val="0E2F5296"/>
    <w:rsid w:val="0FBA55CD"/>
    <w:rsid w:val="126D7587"/>
    <w:rsid w:val="136C4E31"/>
    <w:rsid w:val="145C30F7"/>
    <w:rsid w:val="149208C7"/>
    <w:rsid w:val="15C86781"/>
    <w:rsid w:val="15F5735F"/>
    <w:rsid w:val="175456E4"/>
    <w:rsid w:val="195B6627"/>
    <w:rsid w:val="1A0A53A3"/>
    <w:rsid w:val="1BE834C2"/>
    <w:rsid w:val="208131E0"/>
    <w:rsid w:val="21416F12"/>
    <w:rsid w:val="24C701DE"/>
    <w:rsid w:val="28612685"/>
    <w:rsid w:val="29D532D8"/>
    <w:rsid w:val="2AAB4039"/>
    <w:rsid w:val="2B3559EF"/>
    <w:rsid w:val="2BA906A8"/>
    <w:rsid w:val="2DA51213"/>
    <w:rsid w:val="2E5549E7"/>
    <w:rsid w:val="2ECB5D41"/>
    <w:rsid w:val="311741D6"/>
    <w:rsid w:val="314670D5"/>
    <w:rsid w:val="377203B8"/>
    <w:rsid w:val="39E9692C"/>
    <w:rsid w:val="3C065573"/>
    <w:rsid w:val="3D4C5207"/>
    <w:rsid w:val="3E69272B"/>
    <w:rsid w:val="402A3E6D"/>
    <w:rsid w:val="41E06866"/>
    <w:rsid w:val="42892A5A"/>
    <w:rsid w:val="42F44377"/>
    <w:rsid w:val="4585575A"/>
    <w:rsid w:val="47A07DF8"/>
    <w:rsid w:val="47D12ED9"/>
    <w:rsid w:val="49F7299F"/>
    <w:rsid w:val="4A3B6D2F"/>
    <w:rsid w:val="4BF47196"/>
    <w:rsid w:val="4C2C4B82"/>
    <w:rsid w:val="4D6B16DA"/>
    <w:rsid w:val="50066C2C"/>
    <w:rsid w:val="532365B3"/>
    <w:rsid w:val="54215B2C"/>
    <w:rsid w:val="544D1B39"/>
    <w:rsid w:val="54EF3208"/>
    <w:rsid w:val="564231F4"/>
    <w:rsid w:val="56D24578"/>
    <w:rsid w:val="5A4A248B"/>
    <w:rsid w:val="5D4D47B7"/>
    <w:rsid w:val="5DAC36AC"/>
    <w:rsid w:val="5FBA0BA4"/>
    <w:rsid w:val="60FA3F6E"/>
    <w:rsid w:val="61614E76"/>
    <w:rsid w:val="64D4667F"/>
    <w:rsid w:val="659C4B52"/>
    <w:rsid w:val="66115CF1"/>
    <w:rsid w:val="66D24120"/>
    <w:rsid w:val="66DE4873"/>
    <w:rsid w:val="6AA658A9"/>
    <w:rsid w:val="6D806684"/>
    <w:rsid w:val="6DB620A5"/>
    <w:rsid w:val="6E5D69C5"/>
    <w:rsid w:val="6E733B90"/>
    <w:rsid w:val="6E790455"/>
    <w:rsid w:val="712D19DE"/>
    <w:rsid w:val="71996F41"/>
    <w:rsid w:val="724D6175"/>
    <w:rsid w:val="72B33057"/>
    <w:rsid w:val="744278CD"/>
    <w:rsid w:val="74813617"/>
    <w:rsid w:val="74E7348C"/>
    <w:rsid w:val="75554148"/>
    <w:rsid w:val="77536BB7"/>
    <w:rsid w:val="79517126"/>
    <w:rsid w:val="7AA02113"/>
    <w:rsid w:val="7C3C40BE"/>
    <w:rsid w:val="7DC65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qFormat/>
    <w:uiPriority w:val="0"/>
  </w:style>
  <w:style w:type="paragraph" w:customStyle="1" w:styleId="7">
    <w:name w:val="WPSOffice手动目录 1"/>
    <w:qFormat/>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1059</Words>
  <Characters>1065</Characters>
  <Lines>0</Lines>
  <Paragraphs>0</Paragraphs>
  <TotalTime>15</TotalTime>
  <ScaleCrop>false</ScaleCrop>
  <LinksUpToDate>false</LinksUpToDate>
  <CharactersWithSpaces>1078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2023-06-28T01:08:00Z</dcterms:created>
  <dc:creator>ThinkPad</dc:creator>
  <cp:lastModifiedBy>加冰不加糖</cp:lastModifiedBy>
  <dcterms:modified xsi:type="dcterms:W3CDTF">2026-08-11T02:05:20Z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5FA75ED4D597468F83226B2FBA5663CB_13</vt:lpwstr>
  </property>
  <property fmtid="{D5CDD505-2E9C-101B-9397-08002B2CF9AE}" pid="4" name="KSOTemplateDocerSaveRecord">
    <vt:lpwstr>eyJoZGlkIjoiMDI2MzFhNjkyYjc3MDNlMTU5YTVmODg1M2QxYjRmOTciLCJ1c2VySWQiOiIxMTQzMzI2NzQ0In0=</vt:lpwstr>
  </property>
</Properties>
</file>