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20" w:lineRule="exact"/>
        <w:ind w:left="115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id="_x0000_s1026" o:spid="_x0000_s1026" o:spt="203" style="height:0.5pt;width:415.35pt;" coordsize="8307,10">
            <o:lock v:ext="edit"/>
            <v:line id="_x0000_s1027" o:spid="_x0000_s1027" o:spt="20" style="position:absolute;left:0;top:5;height:0;width:8306;" stroked="t" coordsize="21600,21600">
              <v:path arrowok="t"/>
              <v:fill focussize="0,0"/>
              <v:stroke weight="0.48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4"/>
        <w:spacing w:before="9"/>
        <w:rPr>
          <w:rFonts w:ascii="Times New Roman"/>
          <w:sz w:val="9"/>
        </w:rPr>
      </w:pPr>
    </w:p>
    <w:p>
      <w:pPr>
        <w:pStyle w:val="2"/>
        <w:spacing w:before="11" w:line="240" w:lineRule="auto"/>
        <w:ind w:left="1134" w:right="1131" w:firstLine="0"/>
        <w:jc w:val="center"/>
        <w:rPr>
          <w:rFonts w:ascii="Calibri"/>
          <w:b/>
          <w:sz w:val="55"/>
        </w:rPr>
      </w:pPr>
      <w:bookmarkStart w:id="0" w:name="_GoBack"/>
      <w:r>
        <w:rPr>
          <w:sz w:val="24"/>
          <w:szCs w:val="24"/>
        </w:rPr>
        <w:t>iPump2L iPump4L iPump6L</w:t>
      </w:r>
    </w:p>
    <w:bookmarkEnd w:id="0"/>
    <w:p>
      <w:pPr>
        <w:spacing w:before="0"/>
        <w:ind w:left="1134" w:right="1133" w:firstLine="0"/>
        <w:jc w:val="center"/>
        <w:rPr>
          <w:sz w:val="28"/>
          <w:szCs w:val="15"/>
        </w:rPr>
      </w:pPr>
      <w:r>
        <w:rPr>
          <w:sz w:val="28"/>
          <w:szCs w:val="15"/>
        </w:rPr>
        <w:t>蠕动泵使用说明书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995045</wp:posOffset>
            </wp:positionH>
            <wp:positionV relativeFrom="paragraph">
              <wp:posOffset>30480</wp:posOffset>
            </wp:positionV>
            <wp:extent cx="2922905" cy="2581275"/>
            <wp:effectExtent l="0" t="0" r="10795" b="9525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1"/>
        <w:rPr>
          <w:sz w:val="18"/>
        </w:rPr>
      </w:pPr>
    </w:p>
    <w:p>
      <w:pPr>
        <w:pStyle w:val="4"/>
        <w:rPr>
          <w:sz w:val="48"/>
        </w:rPr>
      </w:pPr>
    </w:p>
    <w:p>
      <w:pPr>
        <w:pStyle w:val="4"/>
        <w:rPr>
          <w:sz w:val="48"/>
        </w:rPr>
      </w:pPr>
    </w:p>
    <w:p>
      <w:pPr>
        <w:wordWrap w:val="0"/>
        <w:spacing w:after="0"/>
        <w:jc w:val="right"/>
        <w:rPr>
          <w:rFonts w:hint="default" w:ascii="Calibri" w:eastAsia="宋体"/>
          <w:sz w:val="16"/>
          <w:szCs w:val="13"/>
          <w:lang w:val="en-US" w:eastAsia="zh-CN"/>
        </w:rPr>
        <w:sectPr>
          <w:type w:val="continuous"/>
          <w:pgSz w:w="8390" w:h="11849"/>
          <w:pgMar w:top="1321" w:right="1680" w:bottom="278" w:left="1680" w:header="720" w:footer="720" w:gutter="0"/>
          <w:paperSrc/>
          <w:cols w:equalWidth="0" w:num="1">
            <w:col w:w="8550"/>
          </w:cols>
          <w:rtlGutter w:val="0"/>
          <w:docGrid w:linePitch="0" w:charSpace="0"/>
        </w:sectPr>
      </w:pPr>
      <w:r>
        <w:rPr>
          <w:rFonts w:hint="eastAsia" w:ascii="Calibri"/>
          <w:sz w:val="16"/>
          <w:szCs w:val="13"/>
          <w:lang w:val="en-US" w:eastAsia="zh-CN"/>
        </w:rPr>
        <w:t xml:space="preserve">  </w:t>
      </w:r>
    </w:p>
    <w:p>
      <w:pPr>
        <w:pStyle w:val="4"/>
        <w:spacing w:line="20" w:lineRule="exact"/>
        <w:ind w:left="395"/>
        <w:rPr>
          <w:rFonts w:ascii="Calibri"/>
          <w:sz w:val="2"/>
        </w:rPr>
      </w:pPr>
      <w:r>
        <w:rPr>
          <w:rFonts w:ascii="Calibri"/>
          <w:sz w:val="2"/>
        </w:rPr>
        <w:pict>
          <v:group id="_x0000_s1028" o:spid="_x0000_s1028" o:spt="203" style="height:0.75pt;width:308.45pt;" coordsize="6169,15">
            <o:lock v:ext="edit"/>
            <v:line id="_x0000_s1029" o:spid="_x0000_s1029" o:spt="20" style="position:absolute;left:0;top:7;height:0;width:6169;" stroked="t" coordsize="21600,21600">
              <v:path arrowok="t"/>
              <v:fill focussize="0,0"/>
              <v:stroke weight="0.748503937007874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tabs>
          <w:tab w:val="left" w:pos="700"/>
        </w:tabs>
        <w:spacing w:before="90"/>
        <w:ind w:left="138" w:right="0" w:firstLine="0"/>
        <w:jc w:val="center"/>
        <w:rPr>
          <w:rFonts w:hint="eastAsia" w:ascii="Microsoft JhengHei" w:eastAsia="Microsoft JhengHei"/>
          <w:b/>
          <w:sz w:val="28"/>
        </w:rPr>
      </w:pPr>
      <w:r>
        <w:rPr>
          <w:rFonts w:hint="eastAsia" w:ascii="Microsoft JhengHei" w:eastAsia="Microsoft JhengHei"/>
          <w:b/>
          <w:sz w:val="28"/>
        </w:rPr>
        <w:t>目</w:t>
      </w:r>
      <w:r>
        <w:rPr>
          <w:rFonts w:hint="eastAsia" w:ascii="Microsoft JhengHei" w:eastAsia="Microsoft JhengHei"/>
          <w:b/>
          <w:sz w:val="28"/>
        </w:rPr>
        <w:tab/>
      </w:r>
      <w:r>
        <w:rPr>
          <w:rFonts w:hint="eastAsia" w:ascii="Microsoft JhengHei" w:eastAsia="Microsoft JhengHei"/>
          <w:b/>
          <w:sz w:val="28"/>
        </w:rPr>
        <w:t>录</w:t>
      </w:r>
    </w:p>
    <w:p>
      <w:pPr>
        <w:pStyle w:val="10"/>
        <w:numPr>
          <w:ilvl w:val="0"/>
          <w:numId w:val="1"/>
        </w:numPr>
        <w:tabs>
          <w:tab w:val="left" w:pos="607"/>
          <w:tab w:val="left" w:pos="5860"/>
        </w:tabs>
        <w:spacing w:before="100" w:after="0" w:line="240" w:lineRule="auto"/>
        <w:ind w:left="606" w:right="0" w:hanging="175"/>
        <w:jc w:val="left"/>
        <w:rPr>
          <w:rFonts w:ascii="Arial" w:eastAsia="Arial"/>
          <w:i/>
          <w:sz w:val="21"/>
        </w:rPr>
      </w:pPr>
      <w:r>
        <w:rPr>
          <w:sz w:val="21"/>
        </w:rPr>
        <w:t>蠕动泵使用注意事项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</w:t>
      </w:r>
    </w:p>
    <w:p>
      <w:pPr>
        <w:pStyle w:val="10"/>
        <w:numPr>
          <w:ilvl w:val="0"/>
          <w:numId w:val="1"/>
        </w:numPr>
        <w:tabs>
          <w:tab w:val="left" w:pos="607"/>
          <w:tab w:val="left" w:pos="5860"/>
        </w:tabs>
        <w:spacing w:before="50" w:after="0" w:line="240" w:lineRule="auto"/>
        <w:ind w:left="606" w:right="0" w:hanging="175"/>
        <w:jc w:val="left"/>
        <w:rPr>
          <w:rFonts w:ascii="Arial" w:eastAsia="Arial"/>
          <w:i/>
          <w:sz w:val="21"/>
        </w:rPr>
      </w:pPr>
      <w:r>
        <w:rPr>
          <w:sz w:val="21"/>
        </w:rPr>
        <w:t>保修条款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</w:t>
      </w:r>
    </w:p>
    <w:p>
      <w:pPr>
        <w:pStyle w:val="10"/>
        <w:numPr>
          <w:ilvl w:val="0"/>
          <w:numId w:val="1"/>
        </w:numPr>
        <w:tabs>
          <w:tab w:val="left" w:pos="607"/>
          <w:tab w:val="left" w:pos="5860"/>
        </w:tabs>
        <w:spacing w:before="49" w:after="0" w:line="240" w:lineRule="auto"/>
        <w:ind w:left="606" w:right="0" w:hanging="175"/>
        <w:jc w:val="left"/>
        <w:rPr>
          <w:rFonts w:ascii="Arial" w:eastAsia="Arial"/>
          <w:i/>
          <w:sz w:val="21"/>
        </w:rPr>
      </w:pPr>
      <w:r>
        <w:rPr>
          <w:sz w:val="21"/>
        </w:rPr>
        <w:t>产品特点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2</w:t>
      </w:r>
    </w:p>
    <w:p>
      <w:pPr>
        <w:pStyle w:val="10"/>
        <w:numPr>
          <w:ilvl w:val="0"/>
          <w:numId w:val="1"/>
        </w:numPr>
        <w:tabs>
          <w:tab w:val="left" w:pos="607"/>
          <w:tab w:val="left" w:pos="5860"/>
        </w:tabs>
        <w:spacing w:before="50" w:after="0" w:line="240" w:lineRule="auto"/>
        <w:ind w:left="606" w:right="0" w:hanging="175"/>
        <w:jc w:val="left"/>
        <w:rPr>
          <w:rFonts w:ascii="Arial" w:eastAsia="Arial"/>
          <w:i/>
          <w:sz w:val="21"/>
        </w:rPr>
      </w:pPr>
      <w:r>
        <w:rPr>
          <w:sz w:val="21"/>
        </w:rPr>
        <w:t>蠕动泵组成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3</w:t>
      </w:r>
    </w:p>
    <w:p>
      <w:pPr>
        <w:pStyle w:val="10"/>
        <w:numPr>
          <w:ilvl w:val="0"/>
          <w:numId w:val="1"/>
        </w:numPr>
        <w:tabs>
          <w:tab w:val="left" w:pos="607"/>
          <w:tab w:val="left" w:pos="5860"/>
        </w:tabs>
        <w:spacing w:before="49" w:after="0" w:line="240" w:lineRule="auto"/>
        <w:ind w:left="606" w:right="0" w:hanging="175"/>
        <w:jc w:val="left"/>
        <w:rPr>
          <w:rFonts w:ascii="Arial" w:eastAsia="Arial"/>
          <w:i/>
          <w:sz w:val="21"/>
        </w:rPr>
      </w:pPr>
      <w:r>
        <w:rPr>
          <w:sz w:val="21"/>
        </w:rPr>
        <w:t>操作说明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6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859"/>
        </w:tabs>
        <w:spacing w:before="50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名词解释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6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859"/>
        </w:tabs>
        <w:spacing w:before="49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操作面板</w:t>
      </w:r>
      <w:r>
        <w:rPr>
          <w:rFonts w:ascii="Arial" w:eastAsia="Arial"/>
          <w:i/>
          <w:sz w:val="21"/>
        </w:rPr>
        <w:t>(</w:t>
      </w:r>
      <w:r>
        <w:rPr>
          <w:sz w:val="21"/>
        </w:rPr>
        <w:t>前面板</w:t>
      </w:r>
      <w:r>
        <w:rPr>
          <w:rFonts w:ascii="Arial" w:eastAsia="Arial"/>
          <w:i/>
          <w:sz w:val="21"/>
        </w:rPr>
        <w:t>)</w:t>
      </w:r>
      <w:r>
        <w:rPr>
          <w:sz w:val="21"/>
        </w:rPr>
        <w:t>介绍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7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859"/>
        </w:tabs>
        <w:spacing w:before="50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后置接口介绍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9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742"/>
        </w:tabs>
        <w:spacing w:before="49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基础操作说明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12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742"/>
        </w:tabs>
        <w:spacing w:before="50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流量模式的使用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12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742"/>
        </w:tabs>
        <w:spacing w:before="49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定时模式的使用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14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742"/>
        </w:tabs>
        <w:spacing w:before="50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校正模式的使用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16</w:t>
      </w:r>
    </w:p>
    <w:p>
      <w:pPr>
        <w:pStyle w:val="10"/>
        <w:numPr>
          <w:ilvl w:val="1"/>
          <w:numId w:val="1"/>
        </w:numPr>
        <w:tabs>
          <w:tab w:val="left" w:pos="1246"/>
          <w:tab w:val="left" w:pos="5742"/>
        </w:tabs>
        <w:spacing w:before="49" w:after="0" w:line="283" w:lineRule="auto"/>
        <w:ind w:left="432" w:right="990" w:firstLine="419"/>
        <w:jc w:val="left"/>
        <w:rPr>
          <w:rFonts w:ascii="Arial" w:eastAsia="Arial"/>
          <w:i/>
          <w:sz w:val="21"/>
        </w:rPr>
      </w:pPr>
      <w:r>
        <w:rPr>
          <w:sz w:val="21"/>
        </w:rPr>
        <w:t>校正过程示例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pacing w:val="-9"/>
          <w:sz w:val="21"/>
        </w:rPr>
        <w:t xml:space="preserve">17 </w:t>
      </w:r>
      <w:r>
        <w:rPr>
          <w:rFonts w:ascii="Arial" w:eastAsia="Arial"/>
          <w:i/>
          <w:sz w:val="21"/>
        </w:rPr>
        <w:t>6.</w:t>
      </w:r>
      <w:r>
        <w:rPr>
          <w:sz w:val="21"/>
        </w:rPr>
        <w:t>泵头的使用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pacing w:val="-9"/>
          <w:sz w:val="21"/>
        </w:rPr>
        <w:t>18</w:t>
      </w:r>
    </w:p>
    <w:p>
      <w:pPr>
        <w:pStyle w:val="10"/>
        <w:numPr>
          <w:ilvl w:val="1"/>
          <w:numId w:val="2"/>
        </w:numPr>
        <w:tabs>
          <w:tab w:val="left" w:pos="1194"/>
          <w:tab w:val="left" w:pos="5742"/>
        </w:tabs>
        <w:spacing w:before="2" w:after="0" w:line="240" w:lineRule="auto"/>
        <w:ind w:left="1193" w:right="0" w:hanging="343"/>
        <w:jc w:val="left"/>
        <w:rPr>
          <w:rFonts w:ascii="Arial" w:eastAsia="Arial"/>
          <w:i/>
          <w:sz w:val="21"/>
        </w:rPr>
      </w:pPr>
      <w:r>
        <w:rPr>
          <w:rFonts w:ascii="Arial" w:eastAsia="Arial"/>
          <w:i/>
          <w:sz w:val="21"/>
        </w:rPr>
        <w:t>DG</w:t>
      </w:r>
      <w:r>
        <w:rPr>
          <w:rFonts w:ascii="Arial" w:eastAsia="Arial"/>
          <w:i/>
          <w:spacing w:val="-17"/>
          <w:sz w:val="21"/>
        </w:rPr>
        <w:t xml:space="preserve"> </w:t>
      </w:r>
      <w:r>
        <w:rPr>
          <w:sz w:val="21"/>
        </w:rPr>
        <w:t>系列泵头的拆、装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18</w:t>
      </w:r>
    </w:p>
    <w:p>
      <w:pPr>
        <w:pStyle w:val="10"/>
        <w:numPr>
          <w:ilvl w:val="1"/>
          <w:numId w:val="2"/>
        </w:numPr>
        <w:tabs>
          <w:tab w:val="left" w:pos="1194"/>
          <w:tab w:val="left" w:pos="5742"/>
        </w:tabs>
        <w:spacing w:before="50" w:after="0" w:line="240" w:lineRule="auto"/>
        <w:ind w:left="1193" w:right="0" w:hanging="343"/>
        <w:jc w:val="left"/>
        <w:rPr>
          <w:rFonts w:ascii="Arial" w:eastAsia="Arial"/>
          <w:i/>
          <w:sz w:val="21"/>
        </w:rPr>
      </w:pPr>
      <w:r>
        <w:rPr>
          <w:rFonts w:ascii="Arial" w:eastAsia="Arial"/>
          <w:i/>
          <w:sz w:val="21"/>
        </w:rPr>
        <w:t>YZ</w:t>
      </w:r>
      <w:r>
        <w:rPr>
          <w:rFonts w:ascii="Arial" w:eastAsia="Arial"/>
          <w:i/>
          <w:spacing w:val="-13"/>
          <w:sz w:val="21"/>
        </w:rPr>
        <w:t xml:space="preserve"> </w:t>
      </w:r>
      <w:r>
        <w:rPr>
          <w:sz w:val="21"/>
        </w:rPr>
        <w:t>系列泵头的拆、装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19</w:t>
      </w:r>
    </w:p>
    <w:p>
      <w:pPr>
        <w:pStyle w:val="10"/>
        <w:numPr>
          <w:ilvl w:val="1"/>
          <w:numId w:val="2"/>
        </w:numPr>
        <w:tabs>
          <w:tab w:val="left" w:pos="1194"/>
          <w:tab w:val="left" w:pos="5741"/>
        </w:tabs>
        <w:spacing w:before="49" w:after="0" w:line="283" w:lineRule="auto"/>
        <w:ind w:left="432" w:right="990" w:firstLine="419"/>
        <w:jc w:val="left"/>
        <w:rPr>
          <w:rFonts w:ascii="Arial" w:eastAsia="Arial"/>
          <w:i/>
          <w:sz w:val="21"/>
        </w:rPr>
      </w:pPr>
      <w:r>
        <w:rPr>
          <w:rFonts w:ascii="Arial" w:eastAsia="Arial"/>
          <w:i/>
          <w:sz w:val="21"/>
        </w:rPr>
        <w:t>BZ</w:t>
      </w:r>
      <w:r>
        <w:rPr>
          <w:rFonts w:ascii="Arial" w:eastAsia="Arial"/>
          <w:i/>
          <w:spacing w:val="-12"/>
          <w:sz w:val="21"/>
        </w:rPr>
        <w:t xml:space="preserve"> </w:t>
      </w:r>
      <w:r>
        <w:rPr>
          <w:sz w:val="21"/>
        </w:rPr>
        <w:t>系列泵头的拆、装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pacing w:val="-9"/>
          <w:sz w:val="21"/>
        </w:rPr>
        <w:t xml:space="preserve">20 </w:t>
      </w:r>
      <w:r>
        <w:rPr>
          <w:rFonts w:ascii="Arial" w:eastAsia="Arial"/>
          <w:i/>
          <w:sz w:val="21"/>
        </w:rPr>
        <w:t>7</w:t>
      </w:r>
      <w:r>
        <w:rPr>
          <w:rFonts w:ascii="Arial" w:eastAsia="Arial"/>
          <w:i/>
          <w:spacing w:val="45"/>
          <w:sz w:val="21"/>
        </w:rPr>
        <w:t xml:space="preserve"> </w:t>
      </w:r>
      <w:r>
        <w:rPr>
          <w:sz w:val="21"/>
        </w:rPr>
        <w:t>配件的使用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pacing w:val="-9"/>
          <w:sz w:val="21"/>
        </w:rPr>
        <w:t>21</w:t>
      </w:r>
    </w:p>
    <w:p>
      <w:pPr>
        <w:pStyle w:val="10"/>
        <w:numPr>
          <w:ilvl w:val="1"/>
          <w:numId w:val="3"/>
        </w:numPr>
        <w:tabs>
          <w:tab w:val="left" w:pos="1246"/>
          <w:tab w:val="left" w:pos="5742"/>
        </w:tabs>
        <w:spacing w:before="3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标准外控模块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22</w:t>
      </w:r>
    </w:p>
    <w:p>
      <w:pPr>
        <w:pStyle w:val="10"/>
        <w:numPr>
          <w:ilvl w:val="1"/>
          <w:numId w:val="3"/>
        </w:numPr>
        <w:tabs>
          <w:tab w:val="left" w:pos="1246"/>
          <w:tab w:val="left" w:pos="5742"/>
        </w:tabs>
        <w:spacing w:before="49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标准外控极限参数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25</w:t>
      </w:r>
    </w:p>
    <w:p>
      <w:pPr>
        <w:pStyle w:val="10"/>
        <w:numPr>
          <w:ilvl w:val="1"/>
          <w:numId w:val="3"/>
        </w:numPr>
        <w:tabs>
          <w:tab w:val="left" w:pos="1246"/>
          <w:tab w:val="left" w:pos="5742"/>
        </w:tabs>
        <w:spacing w:before="50" w:after="0" w:line="240" w:lineRule="auto"/>
        <w:ind w:left="1245" w:right="0" w:hanging="395"/>
        <w:jc w:val="left"/>
        <w:rPr>
          <w:rFonts w:ascii="Arial" w:eastAsia="Arial"/>
          <w:i/>
          <w:sz w:val="21"/>
        </w:rPr>
      </w:pPr>
      <w:r>
        <w:rPr>
          <w:sz w:val="21"/>
        </w:rPr>
        <w:t>脚踏开关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rFonts w:ascii="Arial" w:eastAsia="Arial"/>
          <w:i/>
          <w:sz w:val="21"/>
        </w:rPr>
        <w:t>25</w:t>
      </w:r>
    </w:p>
    <w:p>
      <w:pPr>
        <w:spacing w:after="0" w:line="240" w:lineRule="auto"/>
        <w:jc w:val="left"/>
        <w:rPr>
          <w:rFonts w:ascii="Arial" w:eastAsia="Arial"/>
          <w:sz w:val="21"/>
        </w:rPr>
        <w:sectPr>
          <w:pgSz w:w="8400" w:h="11850"/>
          <w:pgMar w:top="1060" w:right="720" w:bottom="280" w:left="700" w:header="720" w:footer="720" w:gutter="0"/>
          <w:cols w:equalWidth="0" w:num="1">
            <w:col w:w="6980"/>
          </w:cols>
        </w:sectPr>
      </w:pPr>
    </w:p>
    <w:p>
      <w:pPr>
        <w:pStyle w:val="2"/>
        <w:numPr>
          <w:ilvl w:val="0"/>
          <w:numId w:val="4"/>
        </w:numPr>
        <w:tabs>
          <w:tab w:val="left" w:pos="519"/>
        </w:tabs>
        <w:spacing w:before="0" w:after="0" w:line="804" w:lineRule="exact"/>
        <w:ind w:left="518" w:right="0" w:hanging="371"/>
        <w:jc w:val="left"/>
        <w:rPr>
          <w:rFonts w:hint="eastAsia" w:ascii="Microsoft JhengHei" w:eastAsia="Microsoft JhengHei"/>
        </w:rPr>
      </w:pPr>
      <w:r>
        <w:pict>
          <v:line id="_x0000_s1030" o:spid="_x0000_s1030" o:spt="20" style="position:absolute;left:0pt;margin-left:40.95pt;margin-top:13.75pt;height:0pt;width:336.75pt;mso-position-horizontal-relative:page;z-index:-252010496;mso-width-relative:page;mso-height-relative:page;" stroked="t" coordsize="21600,21600">
            <v:path arrowok="t"/>
            <v:fill focussize="0,0"/>
            <v:stroke weight="0.748503937007874pt" color="#000000"/>
            <v:imagedata o:title=""/>
            <o:lock v:ext="edit"/>
          </v:line>
        </w:pict>
      </w:r>
      <w:r>
        <w:rPr>
          <w:rFonts w:hint="eastAsia" w:ascii="Microsoft JhengHei" w:eastAsia="Microsoft JhengHei"/>
          <w:spacing w:val="3"/>
        </w:rPr>
        <w:t>蠕动泵使用注意事项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5" w:after="0" w:line="283" w:lineRule="auto"/>
        <w:ind w:left="148" w:right="113" w:firstLine="0"/>
        <w:jc w:val="both"/>
        <w:rPr>
          <w:sz w:val="21"/>
        </w:rPr>
      </w:pPr>
      <w:r>
        <w:rPr>
          <w:spacing w:val="-3"/>
          <w:sz w:val="21"/>
        </w:rPr>
        <w:t>软管由于磨损可能产生裂痕，导致液体从软管中漏出，这时可能对人体</w:t>
      </w:r>
      <w:r>
        <w:rPr>
          <w:spacing w:val="-4"/>
          <w:sz w:val="21"/>
        </w:rPr>
        <w:t xml:space="preserve">和设备产生伤害，因此要经常检查并及时更换软管。在蠕动泵不工作时， </w:t>
      </w:r>
      <w:r>
        <w:rPr>
          <w:spacing w:val="-2"/>
          <w:sz w:val="21"/>
        </w:rPr>
        <w:t>请将压住软管的压块松开或取下软管，避免长时间挤压软管使其产生塑性变形甚至内壁粘连堵死软管，降低软管使用寿命。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" w:after="0" w:line="283" w:lineRule="auto"/>
        <w:ind w:left="148" w:right="142" w:firstLine="0"/>
        <w:jc w:val="both"/>
        <w:rPr>
          <w:sz w:val="21"/>
        </w:rPr>
      </w:pPr>
      <w:r>
        <w:rPr>
          <w:spacing w:val="-4"/>
          <w:sz w:val="21"/>
        </w:rPr>
        <w:t>泵头的滚轮要保持清洁和干燥，否则会加快软管的磨损，缩短软管使用</w:t>
      </w:r>
      <w:r>
        <w:rPr>
          <w:sz w:val="21"/>
        </w:rPr>
        <w:t>寿命和导致滚轮过早损坏。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" w:after="0" w:line="283" w:lineRule="auto"/>
        <w:ind w:left="148" w:right="142" w:firstLine="0"/>
        <w:jc w:val="both"/>
        <w:rPr>
          <w:sz w:val="21"/>
        </w:rPr>
      </w:pPr>
      <w:r>
        <w:rPr>
          <w:spacing w:val="-3"/>
          <w:sz w:val="21"/>
        </w:rPr>
        <w:t>驱动器表面和有些泵头不耐有机溶剂和强腐蚀性液体，使用时应特别注</w:t>
      </w:r>
      <w:r>
        <w:rPr>
          <w:sz w:val="21"/>
        </w:rPr>
        <w:t>意。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" w:after="0" w:line="240" w:lineRule="auto"/>
        <w:ind w:left="358" w:right="0" w:hanging="211"/>
        <w:jc w:val="both"/>
        <w:rPr>
          <w:sz w:val="21"/>
        </w:rPr>
      </w:pPr>
      <w:r>
        <w:rPr>
          <w:sz w:val="21"/>
        </w:rPr>
        <w:t>您认为本机需要维护或修理时，请关闭电源并拔下电源插头。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83" w:lineRule="auto"/>
        <w:ind w:left="148" w:right="142" w:firstLine="0"/>
        <w:jc w:val="both"/>
        <w:rPr>
          <w:sz w:val="21"/>
        </w:rPr>
      </w:pPr>
      <w:r>
        <w:rPr>
          <w:spacing w:val="-3"/>
          <w:sz w:val="21"/>
        </w:rPr>
        <w:t>泵在使用前要保证电源线的地线可靠接地，以确保潮湿环境中的人身安</w:t>
      </w:r>
      <w:r>
        <w:rPr>
          <w:sz w:val="21"/>
        </w:rPr>
        <w:t>全。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" w:after="0" w:line="259" w:lineRule="exact"/>
        <w:ind w:left="358" w:right="0" w:hanging="211"/>
        <w:jc w:val="both"/>
        <w:rPr>
          <w:sz w:val="21"/>
        </w:rPr>
      </w:pPr>
      <w:r>
        <w:rPr>
          <w:sz w:val="21"/>
        </w:rPr>
        <w:t>当安装外控设备前请将驱动器电源关闭。</w:t>
      </w:r>
    </w:p>
    <w:p>
      <w:pPr>
        <w:pStyle w:val="2"/>
        <w:numPr>
          <w:ilvl w:val="0"/>
          <w:numId w:val="4"/>
        </w:numPr>
        <w:tabs>
          <w:tab w:val="left" w:pos="519"/>
        </w:tabs>
        <w:spacing w:before="0" w:after="0" w:line="799" w:lineRule="exact"/>
        <w:ind w:left="518" w:right="0" w:hanging="371"/>
        <w:jc w:val="left"/>
        <w:rPr>
          <w:rFonts w:hint="eastAsia" w:ascii="Microsoft JhengHei" w:eastAsia="Microsoft JhengHei"/>
        </w:rPr>
      </w:pPr>
      <w:r>
        <w:rPr>
          <w:rFonts w:hint="eastAsia" w:ascii="Microsoft JhengHei" w:eastAsia="Microsoft JhengHei"/>
          <w:spacing w:val="3"/>
        </w:rPr>
        <w:t>保修条款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6" w:after="0" w:line="283" w:lineRule="auto"/>
        <w:ind w:left="148" w:right="142" w:firstLine="0"/>
        <w:jc w:val="left"/>
        <w:rPr>
          <w:sz w:val="21"/>
        </w:rPr>
      </w:pPr>
      <w:r>
        <w:rPr>
          <w:spacing w:val="-4"/>
          <w:sz w:val="21"/>
        </w:rPr>
        <w:t>本产品保修一年，在保修期内如因用户使用不当或人为损坏，本公司不</w:t>
      </w:r>
      <w:r>
        <w:rPr>
          <w:sz w:val="21"/>
        </w:rPr>
        <w:t>负责保修。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返厂维修前应与销售商或制造商联系。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49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返厂维修运输应尽量采用原包装或采用其他可靠包装方式。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返厂维修时应详细注明故障现象和联系方式。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2"/>
        <w:rPr>
          <w:sz w:val="20"/>
        </w:rPr>
      </w:pPr>
    </w:p>
    <w:p>
      <w:pPr>
        <w:spacing w:before="0"/>
        <w:ind w:left="0" w:right="182" w:firstLine="0"/>
        <w:jc w:val="right"/>
        <w:rPr>
          <w:rFonts w:ascii="Arial"/>
          <w:i/>
          <w:sz w:val="18"/>
        </w:rPr>
      </w:pPr>
      <w:r>
        <w:rPr>
          <w:rFonts w:ascii="Arial"/>
          <w:i/>
          <w:w w:val="100"/>
          <w:sz w:val="18"/>
        </w:rPr>
        <w:t>1</w:t>
      </w:r>
    </w:p>
    <w:p>
      <w:pPr>
        <w:spacing w:after="0"/>
        <w:jc w:val="right"/>
        <w:rPr>
          <w:rFonts w:ascii="Arial"/>
          <w:sz w:val="18"/>
        </w:rPr>
        <w:sectPr>
          <w:pgSz w:w="8400" w:h="11850"/>
          <w:pgMar w:top="800" w:right="720" w:bottom="280" w:left="700" w:header="720" w:footer="720" w:gutter="0"/>
          <w:cols w:equalWidth="0" w:num="1">
            <w:col w:w="6980"/>
          </w:cols>
        </w:sectPr>
      </w:pPr>
    </w:p>
    <w:p>
      <w:pPr>
        <w:pStyle w:val="2"/>
        <w:numPr>
          <w:ilvl w:val="0"/>
          <w:numId w:val="4"/>
        </w:numPr>
        <w:tabs>
          <w:tab w:val="left" w:pos="519"/>
        </w:tabs>
        <w:spacing w:before="0" w:after="0" w:line="804" w:lineRule="exact"/>
        <w:ind w:left="518" w:right="0" w:hanging="371"/>
        <w:jc w:val="left"/>
        <w:rPr>
          <w:rFonts w:hint="eastAsia" w:ascii="Microsoft JhengHei" w:eastAsia="Microsoft JhengHei"/>
        </w:rPr>
      </w:pPr>
      <w:r>
        <w:pict>
          <v:line id="_x0000_s1031" o:spid="_x0000_s1031" o:spt="20" style="position:absolute;left:0pt;margin-left:40.95pt;margin-top:13.75pt;height:0pt;width:336.75pt;mso-position-horizontal-relative:page;z-index:-252009472;mso-width-relative:page;mso-height-relative:page;" stroked="t" coordsize="21600,21600">
            <v:path arrowok="t"/>
            <v:fill focussize="0,0"/>
            <v:stroke weight="0.748503937007874pt" color="#000000"/>
            <v:imagedata o:title=""/>
            <o:lock v:ext="edit"/>
          </v:line>
        </w:pict>
      </w:r>
      <w:r>
        <w:rPr>
          <w:rFonts w:hint="eastAsia" w:ascii="Microsoft JhengHei" w:eastAsia="Microsoft JhengHei"/>
          <w:spacing w:val="3"/>
        </w:rPr>
        <w:t>产品特点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5" w:after="0" w:line="240" w:lineRule="auto"/>
        <w:ind w:left="358" w:right="0" w:hanging="211"/>
        <w:jc w:val="left"/>
        <w:rPr>
          <w:sz w:val="21"/>
        </w:rPr>
      </w:pPr>
      <w:r>
        <w:rPr>
          <w:rFonts w:ascii="Arial" w:hAnsi="Arial" w:eastAsia="Arial"/>
          <w:i/>
          <w:sz w:val="21"/>
        </w:rPr>
        <w:t>IPUMP</w:t>
      </w:r>
      <w:r>
        <w:rPr>
          <w:rFonts w:ascii="Arial" w:hAnsi="Arial" w:eastAsia="Arial"/>
          <w:i/>
          <w:spacing w:val="-5"/>
          <w:sz w:val="21"/>
        </w:rPr>
        <w:t xml:space="preserve"> </w:t>
      </w:r>
      <w:r>
        <w:rPr>
          <w:rFonts w:ascii="Arial" w:hAnsi="Arial" w:eastAsia="Arial"/>
          <w:i/>
          <w:sz w:val="21"/>
        </w:rPr>
        <w:t>2L</w:t>
      </w:r>
      <w:r>
        <w:rPr>
          <w:rFonts w:ascii="Arial" w:hAnsi="Arial" w:eastAsia="Arial"/>
          <w:i/>
          <w:spacing w:val="-6"/>
          <w:sz w:val="21"/>
        </w:rPr>
        <w:t xml:space="preserve"> </w:t>
      </w:r>
      <w:r>
        <w:rPr>
          <w:spacing w:val="-8"/>
          <w:sz w:val="21"/>
        </w:rPr>
        <w:t xml:space="preserve">驱动器能提供 </w:t>
      </w:r>
      <w:r>
        <w:rPr>
          <w:rFonts w:ascii="Arial" w:hAnsi="Arial" w:eastAsia="Arial"/>
          <w:i/>
          <w:sz w:val="21"/>
        </w:rPr>
        <w:t>0.0002mL/min-880mL/min</w:t>
      </w:r>
      <w:r>
        <w:rPr>
          <w:rFonts w:ascii="Arial" w:hAnsi="Arial" w:eastAsia="Arial"/>
          <w:i/>
          <w:spacing w:val="-6"/>
          <w:sz w:val="21"/>
        </w:rPr>
        <w:t xml:space="preserve"> </w:t>
      </w:r>
      <w:r>
        <w:rPr>
          <w:sz w:val="21"/>
        </w:rPr>
        <w:t>的流量范围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rFonts w:ascii="Arial" w:hAnsi="Arial" w:eastAsia="Arial"/>
          <w:i/>
          <w:sz w:val="21"/>
        </w:rPr>
        <w:t>IPUMP</w:t>
      </w:r>
      <w:r>
        <w:rPr>
          <w:rFonts w:ascii="Arial" w:hAnsi="Arial" w:eastAsia="Arial"/>
          <w:i/>
          <w:spacing w:val="1"/>
          <w:sz w:val="21"/>
        </w:rPr>
        <w:t xml:space="preserve"> </w:t>
      </w:r>
      <w:r>
        <w:rPr>
          <w:rFonts w:ascii="Arial" w:hAnsi="Arial" w:eastAsia="Arial"/>
          <w:i/>
          <w:sz w:val="21"/>
        </w:rPr>
        <w:t xml:space="preserve">4L </w:t>
      </w:r>
      <w:r>
        <w:rPr>
          <w:spacing w:val="-7"/>
          <w:sz w:val="21"/>
        </w:rPr>
        <w:t xml:space="preserve">驱动器能提供 </w:t>
      </w:r>
      <w:r>
        <w:rPr>
          <w:rFonts w:ascii="Arial" w:hAnsi="Arial" w:eastAsia="Arial"/>
          <w:i/>
          <w:sz w:val="21"/>
        </w:rPr>
        <w:t>0.07mL/min-1700(mL/min</w:t>
      </w:r>
      <w:r>
        <w:rPr>
          <w:rFonts w:ascii="Arial" w:hAnsi="Arial" w:eastAsia="Arial"/>
          <w:i/>
          <w:spacing w:val="-1"/>
          <w:sz w:val="21"/>
        </w:rPr>
        <w:t xml:space="preserve"> </w:t>
      </w:r>
      <w:r>
        <w:rPr>
          <w:sz w:val="21"/>
        </w:rPr>
        <w:t>的流量范围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49" w:after="0" w:line="240" w:lineRule="auto"/>
        <w:ind w:left="358" w:right="0" w:hanging="211"/>
        <w:jc w:val="left"/>
        <w:rPr>
          <w:sz w:val="21"/>
        </w:rPr>
      </w:pPr>
      <w:r>
        <w:rPr>
          <w:rFonts w:ascii="Arial" w:hAnsi="Arial" w:eastAsia="Arial"/>
          <w:i/>
          <w:sz w:val="21"/>
        </w:rPr>
        <w:t>IPUMP</w:t>
      </w:r>
      <w:r>
        <w:rPr>
          <w:rFonts w:ascii="Arial" w:hAnsi="Arial" w:eastAsia="Arial"/>
          <w:i/>
          <w:spacing w:val="1"/>
          <w:sz w:val="21"/>
        </w:rPr>
        <w:t xml:space="preserve"> </w:t>
      </w:r>
      <w:r>
        <w:rPr>
          <w:rFonts w:ascii="Arial" w:hAnsi="Arial" w:eastAsia="Arial"/>
          <w:i/>
          <w:sz w:val="21"/>
        </w:rPr>
        <w:t xml:space="preserve">6L </w:t>
      </w:r>
      <w:r>
        <w:rPr>
          <w:spacing w:val="-7"/>
          <w:sz w:val="21"/>
        </w:rPr>
        <w:t xml:space="preserve">驱动器能提供 </w:t>
      </w:r>
      <w:r>
        <w:rPr>
          <w:rFonts w:ascii="Arial" w:hAnsi="Arial" w:eastAsia="Arial"/>
          <w:i/>
          <w:sz w:val="21"/>
        </w:rPr>
        <w:t>0.07mL/min-2400(mL/min</w:t>
      </w:r>
      <w:r>
        <w:rPr>
          <w:rFonts w:ascii="Arial" w:hAnsi="Arial" w:eastAsia="Arial"/>
          <w:i/>
          <w:spacing w:val="-1"/>
          <w:sz w:val="21"/>
        </w:rPr>
        <w:t xml:space="preserve"> </w:t>
      </w:r>
      <w:r>
        <w:rPr>
          <w:sz w:val="21"/>
        </w:rPr>
        <w:t>的流量范围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带有简易定时功能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可以通过外控接口对蠕动泵进行控制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49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无菜单设计，操作简便直观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w w:val="95"/>
          <w:sz w:val="21"/>
        </w:rPr>
        <w:t xml:space="preserve">适用 </w:t>
      </w:r>
      <w:r>
        <w:rPr>
          <w:rFonts w:ascii="Arial" w:hAnsi="Arial" w:eastAsia="Arial"/>
          <w:i/>
          <w:w w:val="95"/>
          <w:sz w:val="21"/>
        </w:rPr>
        <w:t>DG-1~DG-4</w:t>
      </w:r>
      <w:r>
        <w:rPr>
          <w:w w:val="95"/>
          <w:sz w:val="21"/>
        </w:rPr>
        <w:t>、</w:t>
      </w:r>
      <w:r>
        <w:rPr>
          <w:rFonts w:ascii="Arial" w:hAnsi="Arial" w:eastAsia="Arial"/>
          <w:i/>
          <w:w w:val="95"/>
          <w:sz w:val="21"/>
        </w:rPr>
        <w:t>YZ15</w:t>
      </w:r>
      <w:r>
        <w:rPr>
          <w:w w:val="95"/>
          <w:sz w:val="21"/>
        </w:rPr>
        <w:t>、</w:t>
      </w:r>
      <w:r>
        <w:rPr>
          <w:rFonts w:ascii="Arial" w:hAnsi="Arial" w:eastAsia="Arial"/>
          <w:i/>
          <w:w w:val="95"/>
          <w:sz w:val="21"/>
        </w:rPr>
        <w:t>YZ25</w:t>
      </w:r>
      <w:r>
        <w:rPr>
          <w:w w:val="95"/>
          <w:sz w:val="21"/>
        </w:rPr>
        <w:t>、</w:t>
      </w:r>
      <w:r>
        <w:rPr>
          <w:rFonts w:ascii="Arial" w:hAnsi="Arial" w:eastAsia="Arial"/>
          <w:i/>
          <w:w w:val="95"/>
          <w:sz w:val="21"/>
        </w:rPr>
        <w:t>BZ25A</w:t>
      </w:r>
      <w:r>
        <w:rPr>
          <w:rFonts w:ascii="Arial" w:hAnsi="Arial" w:eastAsia="Arial"/>
          <w:i/>
          <w:spacing w:val="45"/>
          <w:w w:val="95"/>
          <w:sz w:val="21"/>
        </w:rPr>
        <w:t xml:space="preserve"> </w:t>
      </w:r>
      <w:r>
        <w:rPr>
          <w:w w:val="95"/>
          <w:sz w:val="21"/>
        </w:rPr>
        <w:t>多种泵头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49" w:after="0" w:line="240" w:lineRule="auto"/>
        <w:ind w:left="358" w:right="0" w:hanging="211"/>
        <w:jc w:val="left"/>
        <w:rPr>
          <w:sz w:val="21"/>
        </w:rPr>
      </w:pPr>
      <w:r>
        <w:rPr>
          <w:w w:val="95"/>
          <w:sz w:val="21"/>
        </w:rPr>
        <w:t>旋转编码开关配合薄膜按键操作，用户使用更便捷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带独立全速按键，可实现管路快速填充与排空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49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液晶显示，方便直观，可显示更多信息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sz w:val="21"/>
        </w:rPr>
        <w:t>带校正功能，能够通过校正来保证较高精度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49" w:after="0" w:line="283" w:lineRule="auto"/>
        <w:ind w:left="148" w:right="142" w:firstLine="0"/>
        <w:jc w:val="left"/>
        <w:rPr>
          <w:sz w:val="21"/>
        </w:rPr>
      </w:pPr>
      <w:r>
        <w:rPr>
          <w:spacing w:val="-3"/>
          <w:sz w:val="21"/>
        </w:rPr>
        <w:t>带外部控制功能，可外接多种控制方式</w:t>
      </w:r>
      <w:r>
        <w:rPr>
          <w:sz w:val="21"/>
        </w:rPr>
        <w:t>（</w:t>
      </w:r>
      <w:r>
        <w:rPr>
          <w:spacing w:val="-6"/>
          <w:sz w:val="21"/>
        </w:rPr>
        <w:t>电压、电流、频率、</w:t>
      </w:r>
      <w:r>
        <w:rPr>
          <w:rFonts w:ascii="Arial" w:hAnsi="Arial" w:eastAsia="Arial"/>
          <w:i/>
          <w:sz w:val="21"/>
        </w:rPr>
        <w:t>RS485</w:t>
      </w:r>
      <w:r>
        <w:rPr>
          <w:rFonts w:ascii="Arial" w:hAnsi="Arial" w:eastAsia="Arial"/>
          <w:i/>
          <w:spacing w:val="-39"/>
          <w:sz w:val="21"/>
        </w:rPr>
        <w:t xml:space="preserve"> </w:t>
      </w:r>
      <w:r>
        <w:rPr>
          <w:spacing w:val="-13"/>
          <w:sz w:val="21"/>
        </w:rPr>
        <w:t>通</w:t>
      </w:r>
      <w:r>
        <w:rPr>
          <w:w w:val="99"/>
          <w:sz w:val="21"/>
        </w:rPr>
        <w:t>讯</w:t>
      </w:r>
      <w:r>
        <w:rPr>
          <w:spacing w:val="-105"/>
          <w:w w:val="99"/>
          <w:sz w:val="21"/>
        </w:rPr>
        <w:t>）</w:t>
      </w:r>
      <w:r>
        <w:rPr>
          <w:w w:val="99"/>
          <w:sz w:val="21"/>
        </w:rPr>
        <w:t>，可控制启停、转速、方向等状态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2" w:after="0" w:line="240" w:lineRule="auto"/>
        <w:ind w:left="358" w:right="0" w:hanging="211"/>
        <w:jc w:val="left"/>
        <w:rPr>
          <w:sz w:val="21"/>
        </w:rPr>
      </w:pPr>
      <w:r>
        <w:rPr>
          <w:rFonts w:ascii="Arial" w:hAnsi="Arial" w:eastAsia="Arial"/>
          <w:i/>
          <w:sz w:val="21"/>
        </w:rPr>
        <w:t>RS485</w:t>
      </w:r>
      <w:r>
        <w:rPr>
          <w:rFonts w:ascii="Arial" w:hAnsi="Arial" w:eastAsia="Arial"/>
          <w:i/>
          <w:spacing w:val="-8"/>
          <w:sz w:val="21"/>
        </w:rPr>
        <w:t xml:space="preserve"> </w:t>
      </w:r>
      <w:r>
        <w:rPr>
          <w:spacing w:val="-11"/>
          <w:sz w:val="21"/>
        </w:rPr>
        <w:t xml:space="preserve">通讯使用 </w:t>
      </w:r>
      <w:r>
        <w:rPr>
          <w:rFonts w:ascii="Arial" w:hAnsi="Arial" w:eastAsia="Arial"/>
          <w:i/>
          <w:sz w:val="21"/>
        </w:rPr>
        <w:t>Modbus</w:t>
      </w:r>
      <w:r>
        <w:rPr>
          <w:rFonts w:ascii="Arial" w:hAnsi="Arial" w:eastAsia="Arial"/>
          <w:i/>
          <w:spacing w:val="-7"/>
          <w:sz w:val="21"/>
        </w:rPr>
        <w:t xml:space="preserve"> </w:t>
      </w:r>
      <w:r>
        <w:rPr>
          <w:sz w:val="21"/>
        </w:rPr>
        <w:t>协议，易于调试和使用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40" w:lineRule="auto"/>
        <w:ind w:left="358" w:right="0" w:hanging="211"/>
        <w:jc w:val="left"/>
        <w:rPr>
          <w:sz w:val="21"/>
        </w:rPr>
      </w:pPr>
      <w:r>
        <w:rPr>
          <w:w w:val="95"/>
          <w:sz w:val="21"/>
        </w:rPr>
        <w:t>带外部控制输出功能，可输出启停、方向、转速信息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49" w:after="0" w:line="240" w:lineRule="auto"/>
        <w:ind w:left="358" w:right="0" w:hanging="211"/>
        <w:jc w:val="left"/>
        <w:rPr>
          <w:sz w:val="21"/>
        </w:rPr>
      </w:pPr>
      <w:r>
        <w:rPr>
          <w:rFonts w:ascii="Arial" w:hAnsi="Arial" w:eastAsia="Arial"/>
          <w:i/>
          <w:w w:val="95"/>
          <w:sz w:val="21"/>
        </w:rPr>
        <w:t>ABS</w:t>
      </w:r>
      <w:r>
        <w:rPr>
          <w:rFonts w:ascii="Arial" w:hAnsi="Arial" w:eastAsia="Arial"/>
          <w:i/>
          <w:spacing w:val="7"/>
          <w:w w:val="95"/>
          <w:sz w:val="21"/>
        </w:rPr>
        <w:t xml:space="preserve">    </w:t>
      </w:r>
      <w:r>
        <w:rPr>
          <w:w w:val="95"/>
          <w:sz w:val="21"/>
        </w:rPr>
        <w:t>工程塑料外壳，外观时尚美观，适合实验室使用</w:t>
      </w:r>
    </w:p>
    <w:p>
      <w:pPr>
        <w:pStyle w:val="10"/>
        <w:numPr>
          <w:ilvl w:val="0"/>
          <w:numId w:val="5"/>
        </w:numPr>
        <w:tabs>
          <w:tab w:val="left" w:pos="359"/>
        </w:tabs>
        <w:spacing w:before="50" w:after="0" w:line="259" w:lineRule="exact"/>
        <w:ind w:left="358" w:right="0" w:hanging="211"/>
        <w:jc w:val="left"/>
        <w:rPr>
          <w:sz w:val="21"/>
        </w:rPr>
      </w:pPr>
      <w:r>
        <w:rPr>
          <w:sz w:val="21"/>
        </w:rPr>
        <w:t>运行状态断电记忆，上电恢复。</w:t>
      </w:r>
    </w:p>
    <w:p>
      <w:pPr>
        <w:spacing w:before="0" w:line="376" w:lineRule="exact"/>
        <w:ind w:left="148" w:right="0" w:firstLine="0"/>
        <w:jc w:val="left"/>
        <w:rPr>
          <w:rFonts w:hint="eastAsia" w:ascii="Microsoft JhengHei" w:eastAsia="Microsoft JhengHei"/>
          <w:b/>
          <w:sz w:val="21"/>
        </w:rPr>
      </w:pPr>
      <w:r>
        <w:rPr>
          <w:rFonts w:hint="eastAsia" w:ascii="Microsoft JhengHei" w:eastAsia="Microsoft JhengHei"/>
          <w:b/>
          <w:sz w:val="21"/>
        </w:rPr>
        <w:t>注意：本产品不适用于长时间户外使用。</w:t>
      </w: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rPr>
          <w:rFonts w:ascii="Microsoft JhengHei"/>
          <w:b/>
          <w:sz w:val="20"/>
        </w:rPr>
      </w:pPr>
    </w:p>
    <w:p>
      <w:pPr>
        <w:pStyle w:val="4"/>
        <w:spacing w:before="6"/>
        <w:rPr>
          <w:rFonts w:ascii="Microsoft JhengHei"/>
          <w:b/>
          <w:sz w:val="10"/>
        </w:rPr>
      </w:pPr>
    </w:p>
    <w:p>
      <w:pPr>
        <w:spacing w:before="98"/>
        <w:ind w:left="148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w w:val="100"/>
          <w:sz w:val="18"/>
        </w:rPr>
        <w:t>2</w:t>
      </w:r>
    </w:p>
    <w:p>
      <w:pPr>
        <w:spacing w:after="0"/>
        <w:jc w:val="left"/>
        <w:rPr>
          <w:rFonts w:ascii="Arial"/>
          <w:sz w:val="18"/>
        </w:rPr>
        <w:sectPr>
          <w:pgSz w:w="8400" w:h="11850"/>
          <w:pgMar w:top="800" w:right="720" w:bottom="280" w:left="700" w:header="720" w:footer="720" w:gutter="0"/>
          <w:cols w:equalWidth="0" w:num="1">
            <w:col w:w="6980"/>
          </w:cols>
        </w:sectPr>
      </w:pPr>
    </w:p>
    <w:p>
      <w:pPr>
        <w:pStyle w:val="2"/>
        <w:numPr>
          <w:ilvl w:val="0"/>
          <w:numId w:val="4"/>
        </w:numPr>
        <w:tabs>
          <w:tab w:val="left" w:pos="519"/>
        </w:tabs>
        <w:spacing w:before="0" w:after="0" w:line="804" w:lineRule="exact"/>
        <w:ind w:left="518" w:right="0" w:hanging="371"/>
        <w:jc w:val="left"/>
        <w:rPr>
          <w:rFonts w:hint="eastAsia" w:ascii="Microsoft JhengHei" w:eastAsia="Microsoft JhengHei"/>
        </w:rPr>
      </w:pPr>
      <w:r>
        <w:rPr>
          <w:rFonts w:hint="eastAsia" w:ascii="Microsoft JhengHei" w:eastAsia="Microsoft JhengHei"/>
          <w:spacing w:val="3"/>
        </w:rPr>
        <w:t>蠕动泵组成</w:t>
      </w:r>
    </w:p>
    <w:p>
      <w:pPr>
        <w:pStyle w:val="4"/>
        <w:spacing w:before="7"/>
        <w:rPr>
          <w:rFonts w:ascii="Microsoft JhengHei"/>
          <w:b/>
          <w:sz w:val="10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1151890</wp:posOffset>
            </wp:positionH>
            <wp:positionV relativeFrom="paragraph">
              <wp:posOffset>146050</wp:posOffset>
            </wp:positionV>
            <wp:extent cx="3023235" cy="25844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473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7"/>
        <w:ind w:left="456" w:right="0" w:firstLine="0"/>
        <w:jc w:val="left"/>
        <w:rPr>
          <w:rFonts w:hint="eastAsia" w:ascii="Microsoft JhengHei" w:eastAsia="Microsoft JhengHei"/>
          <w:b/>
          <w:sz w:val="21"/>
        </w:rPr>
      </w:pPr>
      <w:r>
        <w:rPr>
          <w:rFonts w:ascii="Trebuchet MS" w:eastAsia="Trebuchet MS"/>
          <w:b/>
          <w:i/>
          <w:sz w:val="21"/>
        </w:rPr>
        <w:t>IPUMP 2L</w:t>
      </w:r>
      <w:r>
        <w:rPr>
          <w:rFonts w:hint="eastAsia" w:ascii="Microsoft JhengHei" w:eastAsia="Microsoft JhengHei"/>
          <w:b/>
          <w:sz w:val="21"/>
        </w:rPr>
        <w:t>、</w:t>
      </w:r>
      <w:r>
        <w:rPr>
          <w:rFonts w:ascii="Trebuchet MS" w:eastAsia="Trebuchet MS"/>
          <w:b/>
          <w:i/>
          <w:sz w:val="21"/>
        </w:rPr>
        <w:t>IPUMP 4L</w:t>
      </w:r>
      <w:r>
        <w:rPr>
          <w:rFonts w:hint="eastAsia" w:ascii="Microsoft JhengHei" w:eastAsia="Microsoft JhengHei"/>
          <w:b/>
          <w:sz w:val="21"/>
        </w:rPr>
        <w:t>、</w:t>
      </w:r>
      <w:r>
        <w:rPr>
          <w:rFonts w:ascii="Trebuchet MS" w:eastAsia="Trebuchet MS"/>
          <w:b/>
          <w:i/>
          <w:sz w:val="21"/>
        </w:rPr>
        <w:t xml:space="preserve">IPUMP 6L </w:t>
      </w:r>
      <w:r>
        <w:rPr>
          <w:rFonts w:hint="eastAsia" w:ascii="Microsoft JhengHei" w:eastAsia="Microsoft JhengHei"/>
          <w:b/>
          <w:sz w:val="21"/>
        </w:rPr>
        <w:t>驱动器性能指标</w:t>
      </w:r>
    </w:p>
    <w:tbl>
      <w:tblPr>
        <w:tblStyle w:val="7"/>
        <w:tblW w:w="0" w:type="auto"/>
        <w:tblInd w:w="2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"/>
        <w:gridCol w:w="457"/>
        <w:gridCol w:w="1028"/>
        <w:gridCol w:w="418"/>
        <w:gridCol w:w="781"/>
        <w:gridCol w:w="1228"/>
        <w:gridCol w:w="1477"/>
        <w:gridCol w:w="6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903" w:type="dxa"/>
            <w:gridSpan w:val="3"/>
          </w:tcPr>
          <w:p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  <w:gridSpan w:val="2"/>
          </w:tcPr>
          <w:p>
            <w:pPr>
              <w:pStyle w:val="11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sz w:val="20"/>
              </w:rPr>
              <w:t>IPUMP 2L</w:t>
            </w:r>
          </w:p>
        </w:tc>
        <w:tc>
          <w:tcPr>
            <w:tcW w:w="1228" w:type="dxa"/>
          </w:tcPr>
          <w:p>
            <w:pPr>
              <w:pStyle w:val="11"/>
              <w:ind w:left="110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sz w:val="20"/>
              </w:rPr>
              <w:t>IPUMP 4L</w:t>
            </w:r>
          </w:p>
        </w:tc>
        <w:tc>
          <w:tcPr>
            <w:tcW w:w="1477" w:type="dxa"/>
          </w:tcPr>
          <w:p>
            <w:pPr>
              <w:pStyle w:val="11"/>
              <w:ind w:left="112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sz w:val="20"/>
              </w:rPr>
              <w:t>IPUMP 6L</w:t>
            </w:r>
          </w:p>
        </w:tc>
        <w:tc>
          <w:tcPr>
            <w:tcW w:w="682" w:type="dxa"/>
            <w:vMerge w:val="restart"/>
            <w:tcBorders>
              <w:top w:val="nil"/>
              <w:right w:val="nil"/>
            </w:tcBorders>
          </w:tcPr>
          <w:p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903" w:type="dxa"/>
            <w:gridSpan w:val="3"/>
          </w:tcPr>
          <w:p>
            <w:pPr>
              <w:pStyle w:val="11"/>
              <w:spacing w:before="8"/>
              <w:ind w:left="107"/>
              <w:rPr>
                <w:i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 xml:space="preserve">流量范围 </w:t>
            </w:r>
            <w:r>
              <w:rPr>
                <w:i/>
                <w:sz w:val="20"/>
              </w:rPr>
              <w:t>ml/min</w:t>
            </w:r>
          </w:p>
        </w:tc>
        <w:tc>
          <w:tcPr>
            <w:tcW w:w="1199" w:type="dxa"/>
            <w:gridSpan w:val="2"/>
          </w:tcPr>
          <w:p>
            <w:pPr>
              <w:pStyle w:val="11"/>
              <w:rPr>
                <w:i/>
                <w:sz w:val="20"/>
              </w:rPr>
            </w:pPr>
            <w:r>
              <w:rPr>
                <w:i/>
                <w:sz w:val="20"/>
              </w:rPr>
              <w:t>0.0002-88</w:t>
            </w:r>
          </w:p>
          <w:p>
            <w:pPr>
              <w:pStyle w:val="11"/>
              <w:spacing w:before="89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0</w:t>
            </w:r>
          </w:p>
        </w:tc>
        <w:tc>
          <w:tcPr>
            <w:tcW w:w="1228" w:type="dxa"/>
          </w:tcPr>
          <w:p>
            <w:pPr>
              <w:pStyle w:val="11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0.07-1700</w:t>
            </w:r>
          </w:p>
        </w:tc>
        <w:tc>
          <w:tcPr>
            <w:tcW w:w="1477" w:type="dxa"/>
          </w:tcPr>
          <w:p>
            <w:pPr>
              <w:pStyle w:val="11"/>
              <w:ind w:left="112"/>
              <w:rPr>
                <w:i/>
                <w:sz w:val="20"/>
              </w:rPr>
            </w:pPr>
            <w:r>
              <w:rPr>
                <w:i/>
                <w:sz w:val="20"/>
              </w:rPr>
              <w:t>0.07-2400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903" w:type="dxa"/>
            <w:gridSpan w:val="3"/>
          </w:tcPr>
          <w:p>
            <w:pPr>
              <w:pStyle w:val="11"/>
              <w:spacing w:before="8"/>
              <w:ind w:left="107"/>
              <w:rPr>
                <w:i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 xml:space="preserve">转速调节范围 </w:t>
            </w:r>
            <w:r>
              <w:rPr>
                <w:i/>
                <w:sz w:val="20"/>
              </w:rPr>
              <w:t>rpm</w:t>
            </w:r>
          </w:p>
        </w:tc>
        <w:tc>
          <w:tcPr>
            <w:tcW w:w="1199" w:type="dxa"/>
            <w:gridSpan w:val="2"/>
          </w:tcPr>
          <w:p>
            <w:pPr>
              <w:pStyle w:val="11"/>
              <w:spacing w:before="21"/>
              <w:rPr>
                <w:i/>
                <w:sz w:val="20"/>
              </w:rPr>
            </w:pPr>
            <w:r>
              <w:rPr>
                <w:i/>
                <w:sz w:val="20"/>
              </w:rPr>
              <w:t>0.1-200</w:t>
            </w:r>
          </w:p>
        </w:tc>
        <w:tc>
          <w:tcPr>
            <w:tcW w:w="1228" w:type="dxa"/>
          </w:tcPr>
          <w:p>
            <w:pPr>
              <w:pStyle w:val="11"/>
              <w:spacing w:before="21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1-400</w:t>
            </w:r>
          </w:p>
        </w:tc>
        <w:tc>
          <w:tcPr>
            <w:tcW w:w="1477" w:type="dxa"/>
          </w:tcPr>
          <w:p>
            <w:pPr>
              <w:pStyle w:val="11"/>
              <w:spacing w:before="21"/>
              <w:ind w:left="112"/>
              <w:rPr>
                <w:i/>
                <w:sz w:val="20"/>
              </w:rPr>
            </w:pPr>
            <w:r>
              <w:rPr>
                <w:i/>
                <w:sz w:val="20"/>
              </w:rPr>
              <w:t>1-600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903" w:type="dxa"/>
            <w:gridSpan w:val="3"/>
          </w:tcPr>
          <w:p>
            <w:pPr>
              <w:pStyle w:val="11"/>
              <w:spacing w:before="8"/>
              <w:ind w:left="107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转速显示分辨率</w:t>
            </w:r>
          </w:p>
          <w:p>
            <w:pPr>
              <w:pStyle w:val="11"/>
              <w:spacing w:before="75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rpm</w:t>
            </w:r>
          </w:p>
        </w:tc>
        <w:tc>
          <w:tcPr>
            <w:tcW w:w="3904" w:type="dxa"/>
            <w:gridSpan w:val="4"/>
          </w:tcPr>
          <w:p>
            <w:pPr>
              <w:pStyle w:val="11"/>
              <w:spacing w:before="8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&lt;100RPM </w:t>
            </w:r>
            <w:r>
              <w:rPr>
                <w:rFonts w:hint="eastAsia" w:ascii="宋体" w:eastAsia="宋体"/>
                <w:sz w:val="20"/>
              </w:rPr>
              <w:t xml:space="preserve">时分辨率为 </w:t>
            </w:r>
            <w:r>
              <w:rPr>
                <w:i/>
                <w:sz w:val="20"/>
              </w:rPr>
              <w:t>0.1RPM</w:t>
            </w:r>
          </w:p>
          <w:p>
            <w:pPr>
              <w:pStyle w:val="11"/>
              <w:spacing w:before="63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≥100RPM </w:t>
            </w:r>
            <w:r>
              <w:rPr>
                <w:rFonts w:hint="eastAsia" w:ascii="宋体" w:hAnsi="宋体" w:eastAsia="宋体"/>
                <w:sz w:val="20"/>
              </w:rPr>
              <w:t xml:space="preserve">时分辨率为 </w:t>
            </w:r>
            <w:r>
              <w:rPr>
                <w:i/>
                <w:sz w:val="20"/>
              </w:rPr>
              <w:t>1RPM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903" w:type="dxa"/>
            <w:gridSpan w:val="3"/>
          </w:tcPr>
          <w:p>
            <w:pPr>
              <w:pStyle w:val="11"/>
              <w:spacing w:before="9"/>
              <w:ind w:left="107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显示方式</w:t>
            </w:r>
          </w:p>
        </w:tc>
        <w:tc>
          <w:tcPr>
            <w:tcW w:w="3904" w:type="dxa"/>
            <w:gridSpan w:val="4"/>
          </w:tcPr>
          <w:p>
            <w:pPr>
              <w:pStyle w:val="11"/>
              <w:spacing w:before="9"/>
              <w:rPr>
                <w:rFonts w:hint="eastAsia" w:ascii="宋体" w:eastAsia="宋体"/>
                <w:sz w:val="20"/>
              </w:rPr>
            </w:pPr>
            <w:r>
              <w:rPr>
                <w:i/>
                <w:sz w:val="20"/>
              </w:rPr>
              <w:t xml:space="preserve">128x32 </w:t>
            </w:r>
            <w:r>
              <w:rPr>
                <w:rFonts w:hint="eastAsia" w:ascii="宋体" w:eastAsia="宋体"/>
                <w:sz w:val="20"/>
              </w:rPr>
              <w:t>图形点阵液晶显示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418" w:type="dxa"/>
            <w:vMerge w:val="restart"/>
          </w:tcPr>
          <w:p>
            <w:pPr>
              <w:pStyle w:val="11"/>
              <w:spacing w:before="188" w:line="297" w:lineRule="auto"/>
              <w:ind w:left="107" w:right="98"/>
              <w:jc w:val="both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外部控制</w:t>
            </w:r>
          </w:p>
        </w:tc>
        <w:tc>
          <w:tcPr>
            <w:tcW w:w="1485" w:type="dxa"/>
            <w:gridSpan w:val="2"/>
          </w:tcPr>
          <w:p>
            <w:pPr>
              <w:pStyle w:val="11"/>
              <w:spacing w:before="168"/>
              <w:ind w:left="108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外控形式</w:t>
            </w:r>
          </w:p>
        </w:tc>
        <w:tc>
          <w:tcPr>
            <w:tcW w:w="3904" w:type="dxa"/>
            <w:gridSpan w:val="4"/>
          </w:tcPr>
          <w:p>
            <w:pPr>
              <w:pStyle w:val="11"/>
              <w:spacing w:before="2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√ 0-10KHz √ 0-5V √ 0-10V √ 4-20mA √</w:t>
            </w:r>
          </w:p>
          <w:p>
            <w:pPr>
              <w:pStyle w:val="11"/>
              <w:spacing w:before="77"/>
              <w:rPr>
                <w:rFonts w:hint="eastAsia" w:ascii="宋体" w:hAnsi="宋体" w:eastAsia="宋体"/>
                <w:sz w:val="20"/>
              </w:rPr>
            </w:pPr>
            <w:r>
              <w:rPr>
                <w:i/>
                <w:sz w:val="20"/>
              </w:rPr>
              <w:t>RS485 √</w:t>
            </w:r>
            <w:r>
              <w:rPr>
                <w:rFonts w:hint="eastAsia" w:ascii="宋体" w:hAnsi="宋体" w:eastAsia="宋体"/>
                <w:sz w:val="20"/>
              </w:rPr>
              <w:t>脚踏开关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1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gridSpan w:val="2"/>
          </w:tcPr>
          <w:p>
            <w:pPr>
              <w:pStyle w:val="11"/>
              <w:spacing w:before="9"/>
              <w:ind w:left="108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外控启停控制</w:t>
            </w:r>
          </w:p>
        </w:tc>
        <w:tc>
          <w:tcPr>
            <w:tcW w:w="3904" w:type="dxa"/>
            <w:gridSpan w:val="4"/>
          </w:tcPr>
          <w:p>
            <w:pPr>
              <w:pStyle w:val="11"/>
              <w:spacing w:before="22"/>
              <w:rPr>
                <w:i/>
                <w:sz w:val="20"/>
              </w:rPr>
            </w:pPr>
            <w:r>
              <w:rPr>
                <w:i/>
                <w:w w:val="108"/>
                <w:sz w:val="20"/>
              </w:rPr>
              <w:t>√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1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gridSpan w:val="2"/>
          </w:tcPr>
          <w:p>
            <w:pPr>
              <w:pStyle w:val="11"/>
              <w:spacing w:before="10"/>
              <w:ind w:left="108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外控方向控制</w:t>
            </w:r>
          </w:p>
        </w:tc>
        <w:tc>
          <w:tcPr>
            <w:tcW w:w="3904" w:type="dxa"/>
            <w:gridSpan w:val="4"/>
          </w:tcPr>
          <w:p>
            <w:pPr>
              <w:pStyle w:val="11"/>
              <w:spacing w:before="22"/>
              <w:rPr>
                <w:i/>
                <w:sz w:val="20"/>
              </w:rPr>
            </w:pPr>
            <w:r>
              <w:rPr>
                <w:i/>
                <w:w w:val="108"/>
                <w:sz w:val="20"/>
              </w:rPr>
              <w:t>√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1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gridSpan w:val="2"/>
          </w:tcPr>
          <w:p>
            <w:pPr>
              <w:pStyle w:val="11"/>
              <w:spacing w:before="10"/>
              <w:ind w:left="108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转速分辨率</w:t>
            </w:r>
          </w:p>
        </w:tc>
        <w:tc>
          <w:tcPr>
            <w:tcW w:w="3904" w:type="dxa"/>
            <w:gridSpan w:val="4"/>
          </w:tcPr>
          <w:p>
            <w:pPr>
              <w:pStyle w:val="11"/>
              <w:spacing w:before="22"/>
              <w:rPr>
                <w:i/>
                <w:sz w:val="20"/>
              </w:rPr>
            </w:pPr>
            <w:r>
              <w:rPr>
                <w:i/>
                <w:sz w:val="20"/>
              </w:rPr>
              <w:t>0.1RPM</w:t>
            </w:r>
          </w:p>
        </w:tc>
        <w:tc>
          <w:tcPr>
            <w:tcW w:w="682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418" w:type="dxa"/>
            <w:tcBorders>
              <w:left w:val="nil"/>
              <w:bottom w:val="nil"/>
            </w:tcBorders>
          </w:tcPr>
          <w:p>
            <w:pPr>
              <w:pStyle w:val="11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11"/>
              <w:spacing w:before="5"/>
              <w:ind w:left="157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w w:val="99"/>
                <w:sz w:val="20"/>
              </w:rPr>
              <w:t>通</w:t>
            </w:r>
          </w:p>
        </w:tc>
        <w:tc>
          <w:tcPr>
            <w:tcW w:w="1446" w:type="dxa"/>
            <w:gridSpan w:val="2"/>
          </w:tcPr>
          <w:p>
            <w:pPr>
              <w:pStyle w:val="11"/>
              <w:spacing w:before="5"/>
              <w:ind w:left="108"/>
              <w:rPr>
                <w:rFonts w:hint="eastAsia" w:ascii="宋体" w:eastAsia="宋体"/>
                <w:sz w:val="20"/>
              </w:rPr>
            </w:pPr>
            <w:r>
              <w:rPr>
                <w:rFonts w:hint="eastAsia" w:ascii="宋体" w:eastAsia="宋体"/>
                <w:sz w:val="20"/>
              </w:rPr>
              <w:t>通讯格式</w:t>
            </w:r>
          </w:p>
        </w:tc>
        <w:tc>
          <w:tcPr>
            <w:tcW w:w="4168" w:type="dxa"/>
            <w:gridSpan w:val="4"/>
          </w:tcPr>
          <w:p>
            <w:pPr>
              <w:pStyle w:val="11"/>
              <w:spacing w:before="5"/>
              <w:rPr>
                <w:rFonts w:hint="eastAsia" w:ascii="宋体" w:eastAsia="宋体"/>
                <w:sz w:val="20"/>
              </w:rPr>
            </w:pPr>
            <w:r>
              <w:rPr>
                <w:i/>
                <w:sz w:val="20"/>
              </w:rPr>
              <w:t xml:space="preserve">Modbus </w:t>
            </w:r>
            <w:r>
              <w:rPr>
                <w:rFonts w:hint="eastAsia" w:ascii="宋体" w:eastAsia="宋体"/>
                <w:sz w:val="20"/>
              </w:rPr>
              <w:t>规约</w:t>
            </w:r>
          </w:p>
        </w:tc>
      </w:tr>
    </w:tbl>
    <w:p>
      <w:pPr>
        <w:spacing w:before="0"/>
        <w:ind w:left="0" w:right="182" w:firstLine="0"/>
        <w:jc w:val="right"/>
        <w:rPr>
          <w:rFonts w:ascii="Arial"/>
          <w:i/>
          <w:sz w:val="18"/>
        </w:rPr>
      </w:pPr>
      <w:r>
        <w:rPr>
          <w:rFonts w:ascii="Arial"/>
          <w:i/>
          <w:w w:val="100"/>
          <w:sz w:val="18"/>
        </w:rPr>
        <w:t>3</w:t>
      </w:r>
    </w:p>
    <w:sectPr>
      <w:pgSz w:w="8400" w:h="11850"/>
      <w:pgMar w:top="800" w:right="720" w:bottom="280" w:left="700" w:header="720" w:footer="720" w:gutter="0"/>
      <w:cols w:equalWidth="0" w:num="1">
        <w:col w:w="69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●"/>
      <w:lvlJc w:val="left"/>
      <w:pPr>
        <w:ind w:left="148" w:hanging="210"/>
      </w:pPr>
      <w:rPr>
        <w:rFonts w:hint="default" w:ascii="Arial" w:hAnsi="Arial" w:eastAsia="Arial" w:cs="Arial"/>
        <w:i/>
        <w:w w:val="99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823" w:hanging="21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506" w:hanging="21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189" w:hanging="21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872" w:hanging="21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3555" w:hanging="21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4238" w:hanging="21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4921" w:hanging="21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5604" w:hanging="210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18" w:hanging="370"/>
        <w:jc w:val="left"/>
      </w:pPr>
      <w:rPr>
        <w:rFonts w:hint="default" w:ascii="Trebuchet MS" w:hAnsi="Trebuchet MS" w:eastAsia="Trebuchet MS" w:cs="Trebuchet MS"/>
        <w:b/>
        <w:bCs/>
        <w:i/>
        <w:spacing w:val="2"/>
        <w:w w:val="71"/>
        <w:sz w:val="42"/>
        <w:szCs w:val="4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165" w:hanging="37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10" w:hanging="37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455" w:hanging="37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100" w:hanging="37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3745" w:hanging="37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4390" w:hanging="37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035" w:hanging="37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5680" w:hanging="370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6"/>
      <w:numFmt w:val="decimal"/>
      <w:lvlText w:val="%1"/>
      <w:lvlJc w:val="left"/>
      <w:pPr>
        <w:ind w:left="1193" w:hanging="343"/>
        <w:jc w:val="left"/>
      </w:pPr>
      <w:rPr>
        <w:rFonts w:hint="default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1193" w:hanging="343"/>
        <w:jc w:val="left"/>
      </w:pPr>
      <w:rPr>
        <w:rFonts w:hint="default" w:ascii="Arial" w:hAnsi="Arial" w:eastAsia="Arial" w:cs="Arial"/>
        <w:i/>
        <w:spacing w:val="-2"/>
        <w:w w:val="94"/>
        <w:sz w:val="21"/>
        <w:szCs w:val="21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354" w:hanging="343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31" w:hanging="343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08" w:hanging="343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085" w:hanging="343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4662" w:hanging="343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239" w:hanging="343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5816" w:hanging="343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06" w:hanging="175"/>
        <w:jc w:val="left"/>
      </w:pPr>
      <w:rPr>
        <w:rFonts w:hint="default" w:ascii="Arial" w:hAnsi="Arial" w:eastAsia="Arial" w:cs="Arial"/>
        <w:i/>
        <w:spacing w:val="-2"/>
        <w:w w:val="94"/>
        <w:sz w:val="19"/>
        <w:szCs w:val="19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1245" w:hanging="395"/>
        <w:jc w:val="left"/>
      </w:pPr>
      <w:rPr>
        <w:rFonts w:hint="default" w:ascii="Arial" w:hAnsi="Arial" w:eastAsia="Arial" w:cs="Arial"/>
        <w:i/>
        <w:spacing w:val="-2"/>
        <w:w w:val="94"/>
        <w:sz w:val="21"/>
        <w:szCs w:val="21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76" w:hanging="39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513" w:hanging="39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150" w:hanging="39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3787" w:hanging="39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4423" w:hanging="39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060" w:hanging="39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5697" w:hanging="395"/>
      </w:pPr>
      <w:rPr>
        <w:rFonts w:hint="default"/>
        <w:lang w:val="zh-CN" w:eastAsia="zh-CN" w:bidi="zh-CN"/>
      </w:rPr>
    </w:lvl>
  </w:abstractNum>
  <w:abstractNum w:abstractNumId="4">
    <w:nsid w:val="59ADCABA"/>
    <w:multiLevelType w:val="multilevel"/>
    <w:tmpl w:val="59ADCABA"/>
    <w:lvl w:ilvl="0" w:tentative="0">
      <w:start w:val="7"/>
      <w:numFmt w:val="decimal"/>
      <w:lvlText w:val="%1"/>
      <w:lvlJc w:val="left"/>
      <w:pPr>
        <w:ind w:left="1245" w:hanging="395"/>
        <w:jc w:val="left"/>
      </w:pPr>
      <w:rPr>
        <w:rFonts w:hint="default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1245" w:hanging="395"/>
        <w:jc w:val="left"/>
      </w:pPr>
      <w:rPr>
        <w:rFonts w:hint="default" w:ascii="Arial" w:hAnsi="Arial" w:eastAsia="Arial" w:cs="Arial"/>
        <w:i/>
        <w:spacing w:val="-2"/>
        <w:w w:val="94"/>
        <w:sz w:val="21"/>
        <w:szCs w:val="21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386" w:hanging="39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59" w:hanging="39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32" w:hanging="39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105" w:hanging="39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4678" w:hanging="39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251" w:hanging="39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5824" w:hanging="395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000000"/>
    <w:rsid w:val="60BB77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line="804" w:lineRule="exact"/>
      <w:ind w:left="518" w:hanging="371"/>
      <w:outlineLvl w:val="1"/>
    </w:pPr>
    <w:rPr>
      <w:rFonts w:ascii="Calibri" w:hAnsi="Calibri" w:eastAsia="Calibri" w:cs="Calibri"/>
      <w:b/>
      <w:bCs/>
      <w:sz w:val="44"/>
      <w:szCs w:val="44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ind w:right="2242"/>
      <w:jc w:val="right"/>
      <w:outlineLvl w:val="2"/>
    </w:pPr>
    <w:rPr>
      <w:rFonts w:ascii="Calibri" w:hAnsi="Calibri" w:eastAsia="Calibri" w:cs="Calibri"/>
      <w:sz w:val="28"/>
      <w:szCs w:val="28"/>
      <w:lang w:val="zh-CN" w:eastAsia="zh-CN" w:bidi="zh-CN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50"/>
      <w:ind w:left="358" w:hanging="211"/>
    </w:pPr>
    <w:rPr>
      <w:rFonts w:ascii="宋体" w:hAnsi="宋体" w:eastAsia="宋体" w:cs="宋体"/>
      <w:lang w:val="zh-CN" w:eastAsia="zh-CN" w:bidi="zh-CN"/>
    </w:rPr>
  </w:style>
  <w:style w:type="paragraph" w:customStyle="1" w:styleId="11">
    <w:name w:val="Table Paragraph"/>
    <w:basedOn w:val="1"/>
    <w:qFormat/>
    <w:uiPriority w:val="1"/>
    <w:pPr>
      <w:spacing w:before="20"/>
      <w:ind w:left="109"/>
    </w:pPr>
    <w:rPr>
      <w:rFonts w:ascii="Arial" w:hAnsi="Arial" w:eastAsia="Arial" w:cs="Arial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7"/>
    <customShpInfo spid="_x0000_s1026"/>
    <customShpInfo spid="_x0000_s1029"/>
    <customShpInfo spid="_x0000_s1028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ScaleCrop>false</ScaleCrop>
  <LinksUpToDate>false</LinksUpToDate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2021-06-10T07:18:00Z</dcterms:created>
  <dc:creator>Admin</dc:creator>
  <cp:lastModifiedBy>Luo</cp:lastModifiedBy>
  <dcterms:modified xsi:type="dcterms:W3CDTF">2021-06-10T07:35:34Z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