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C4380" w:rsidRDefault="009C4380">
      <w:pPr>
        <w:tabs>
          <w:tab w:val="left" w:pos="3178"/>
        </w:tabs>
        <w:ind w:firstLineChars="500" w:firstLine="1600"/>
        <w:rPr>
          <w:rFonts w:asciiTheme="minorEastAsia" w:hAnsiTheme="minorEastAsia" w:cstheme="minorEastAsia"/>
          <w:sz w:val="32"/>
          <w:szCs w:val="32"/>
        </w:rPr>
      </w:pPr>
    </w:p>
    <w:p w:rsidR="003D0E95" w:rsidRDefault="00000000">
      <w:pPr>
        <w:tabs>
          <w:tab w:val="left" w:pos="3178"/>
        </w:tabs>
        <w:ind w:firstLineChars="500" w:firstLine="160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防爆升降</w:t>
      </w:r>
      <w:r w:rsidR="009C4380">
        <w:rPr>
          <w:rFonts w:asciiTheme="minorEastAsia" w:hAnsiTheme="minorEastAsia" w:cstheme="minorEastAsia" w:hint="eastAsia"/>
          <w:sz w:val="32"/>
          <w:szCs w:val="32"/>
        </w:rPr>
        <w:t>单</w:t>
      </w:r>
      <w:r>
        <w:rPr>
          <w:rFonts w:asciiTheme="minorEastAsia" w:hAnsiTheme="minorEastAsia" w:cstheme="minorEastAsia" w:hint="eastAsia"/>
          <w:sz w:val="32"/>
          <w:szCs w:val="32"/>
        </w:rPr>
        <w:t>层玻璃反应釜ZY</w:t>
      </w:r>
      <w:r w:rsidR="00EF664D">
        <w:rPr>
          <w:rFonts w:asciiTheme="minorEastAsia" w:hAnsiTheme="minorEastAsia" w:cstheme="minorEastAsia" w:hint="eastAsia"/>
          <w:sz w:val="32"/>
          <w:szCs w:val="32"/>
        </w:rPr>
        <w:t>D</w:t>
      </w:r>
      <w:r>
        <w:rPr>
          <w:rFonts w:asciiTheme="minorEastAsia" w:hAnsiTheme="minorEastAsia" w:cstheme="minorEastAsia" w:hint="eastAsia"/>
          <w:sz w:val="32"/>
          <w:szCs w:val="32"/>
        </w:rPr>
        <w:t>F-100LEX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:rsidR="003D0E95" w:rsidRDefault="003D0E95"/>
    <w:p w:rsidR="003D0E95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:rsidR="003D0E95" w:rsidRDefault="00000000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，升降双层反应釜在标准反应釜的基础上升级了釜体可以上下升降，旋转的功能，方便了釜体的清洗。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:rsidR="003D0E9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:rsidR="003D0E95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1.本产品独特设备，整机方钢喷塑+304不锈钢框架结构，紧凑坚固不走型，防腐蚀，移动方便。</w:t>
      </w:r>
    </w:p>
    <w:p w:rsidR="003D0E95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 w:rsidR="003D0E9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3.特有的变频调速，让您在实用中高低速，理想准确自如，可选配全防爆系统，双显防爆盒数字显示转速和釜内物料温度，性能稳定、清晰显示操控及数据平面、简单易操作。</w:t>
      </w:r>
    </w:p>
    <w:p w:rsidR="003D0E95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4.搅拌系统采用陶瓷轴承、机械密封，防止搅拌杆磨损掉屑，耐高温、耐磨损、密封效果好。</w:t>
      </w:r>
    </w:p>
    <w:p w:rsidR="003D0E95" w:rsidRDefault="00000000">
      <w:pPr>
        <w:numPr>
          <w:ilvl w:val="0"/>
          <w:numId w:val="1"/>
        </w:num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采用 PT100温度传感器，玻璃温度计套管。</w:t>
      </w:r>
    </w:p>
    <w:p w:rsidR="003D0E95" w:rsidRDefault="00000000">
      <w:pPr>
        <w:numPr>
          <w:ilvl w:val="0"/>
          <w:numId w:val="1"/>
        </w:num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釜体上下升降，可选择电动或者手轮手动升降，釜体可旋转360度，便于出料和清洗，釜盖可定制四氟釜盖。</w:t>
      </w:r>
    </w:p>
    <w:p w:rsidR="003D0E95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:rsidR="003D0E95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:rsidR="003D0E95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8.玻璃+四氟放料阀门，无积液侧放料，回收溶液十分快捷。</w:t>
      </w:r>
    </w:p>
    <w:p w:rsidR="003D0E95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9.机器底部设有带刹车的福马轮，可整体移动，操作方便。</w:t>
      </w:r>
    </w:p>
    <w:p w:rsidR="003D0E95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10.釜体循环进出液口带有缓冲装置，管道内部是不锈钢软管，外套发泡硅胶进行保温，管子固定支架后，再与外部设备进行连接，减小进出液口的压力，避免后期移动设备或者更换连接设备时造成釜体易碎的情况。</w:t>
      </w:r>
    </w:p>
    <w:p w:rsidR="003D0E95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11.防爆调速控制盒、防爆搅拌电机，防爆等级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:rsidR="003D0E95" w:rsidRDefault="003D0E95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</w:p>
    <w:p w:rsidR="003D0E9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:rsidR="003D0E95" w:rsidRDefault="003D0E95">
      <w:pPr>
        <w:rPr>
          <w:rFonts w:asciiTheme="minorEastAsia" w:hAnsiTheme="minorEastAsia" w:cstheme="minorEastAsia"/>
          <w:sz w:val="28"/>
          <w:szCs w:val="28"/>
        </w:rPr>
      </w:pPr>
    </w:p>
    <w:p w:rsidR="003D0E95" w:rsidRDefault="003D0E95">
      <w:pPr>
        <w:rPr>
          <w:rFonts w:asciiTheme="minorEastAsia" w:hAnsiTheme="minorEastAsia" w:cstheme="minorEastAsia"/>
          <w:sz w:val="28"/>
          <w:szCs w:val="28"/>
        </w:rPr>
      </w:pPr>
    </w:p>
    <w:p w:rsidR="003D0E95" w:rsidRDefault="003D0E95">
      <w:pPr>
        <w:rPr>
          <w:rFonts w:asciiTheme="minorEastAsia" w:hAnsiTheme="minorEastAsia" w:cstheme="minorEastAsia"/>
          <w:sz w:val="28"/>
          <w:szCs w:val="28"/>
        </w:rPr>
      </w:pPr>
    </w:p>
    <w:p w:rsidR="003D0E95" w:rsidRDefault="003D0E95">
      <w:pPr>
        <w:rPr>
          <w:rFonts w:asciiTheme="minorEastAsia" w:hAnsiTheme="minorEastAsia" w:cstheme="minorEastAsia"/>
          <w:sz w:val="28"/>
          <w:szCs w:val="28"/>
        </w:rPr>
      </w:pPr>
    </w:p>
    <w:p w:rsidR="003D0E95" w:rsidRDefault="003D0E95">
      <w:pPr>
        <w:rPr>
          <w:rFonts w:asciiTheme="minorEastAsia" w:hAnsiTheme="minorEastAsia" w:cstheme="minorEastAsia"/>
          <w:sz w:val="28"/>
          <w:szCs w:val="28"/>
        </w:rPr>
      </w:pPr>
    </w:p>
    <w:p w:rsidR="003D0E95" w:rsidRDefault="003D0E95">
      <w:pPr>
        <w:rPr>
          <w:rFonts w:asciiTheme="minorEastAsia" w:hAnsiTheme="minorEastAsia" w:cstheme="minorEastAsia"/>
          <w:sz w:val="28"/>
          <w:szCs w:val="28"/>
        </w:rPr>
      </w:pPr>
    </w:p>
    <w:p w:rsidR="003D0E95" w:rsidRDefault="003D0E95">
      <w:pPr>
        <w:rPr>
          <w:rFonts w:asciiTheme="minorEastAsia" w:hAnsiTheme="minorEastAsia" w:cstheme="minorEastAsia"/>
          <w:sz w:val="28"/>
          <w:szCs w:val="28"/>
        </w:rPr>
      </w:pPr>
    </w:p>
    <w:p w:rsidR="009C4380" w:rsidRDefault="009C4380" w:rsidP="009C4380">
      <w:pPr>
        <w:jc w:val="center"/>
        <w:rPr>
          <w:rFonts w:asciiTheme="minorEastAsia" w:hAnsiTheme="minorEastAsia" w:cstheme="minorEastAsia"/>
          <w:sz w:val="28"/>
          <w:szCs w:val="28"/>
        </w:rPr>
      </w:pPr>
      <w:r w:rsidRPr="009C4380">
        <w:rPr>
          <w:rFonts w:asciiTheme="minorEastAsia" w:hAnsiTheme="minorEastAsia" w:cstheme="minorEastAsia"/>
          <w:noProof/>
          <w:sz w:val="28"/>
          <w:szCs w:val="28"/>
        </w:rPr>
        <w:drawing>
          <wp:inline distT="0" distB="0" distL="0" distR="0">
            <wp:extent cx="5274310" cy="7029450"/>
            <wp:effectExtent l="0" t="0" r="2540" b="0"/>
            <wp:docPr id="1369923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E95" w:rsidRDefault="009C438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如图所示，以实物为准</w:t>
      </w:r>
    </w:p>
    <w:p w:rsidR="003D0E95" w:rsidRDefault="003D0E95">
      <w:pPr>
        <w:rPr>
          <w:rFonts w:asciiTheme="minorEastAsia" w:hAnsiTheme="minorEastAsia" w:cstheme="minorEastAsia"/>
          <w:sz w:val="28"/>
          <w:szCs w:val="28"/>
        </w:rPr>
      </w:pPr>
    </w:p>
    <w:p w:rsidR="003D0E95" w:rsidRDefault="003D0E95">
      <w:pPr>
        <w:rPr>
          <w:rFonts w:asciiTheme="minorEastAsia" w:hAnsiTheme="minorEastAsia" w:cstheme="minorEastAsia"/>
          <w:sz w:val="28"/>
          <w:szCs w:val="28"/>
        </w:rPr>
      </w:pPr>
    </w:p>
    <w:p w:rsidR="003D0E95" w:rsidRDefault="003D0E95">
      <w:pPr>
        <w:rPr>
          <w:rFonts w:asciiTheme="minorEastAsia" w:hAnsiTheme="minorEastAsia" w:cstheme="minorEastAsia"/>
          <w:sz w:val="28"/>
          <w:szCs w:val="28"/>
        </w:rPr>
      </w:pPr>
    </w:p>
    <w:p w:rsidR="003D0E9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619" w:type="dxa"/>
        <w:tblLook w:val="04A0" w:firstRow="1" w:lastRow="0" w:firstColumn="1" w:lastColumn="0" w:noHBand="0" w:noVBand="1"/>
      </w:tblPr>
      <w:tblGrid>
        <w:gridCol w:w="1847"/>
        <w:gridCol w:w="1956"/>
        <w:gridCol w:w="4816"/>
      </w:tblGrid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ZY</w:t>
            </w:r>
            <w:r w:rsidR="00EF664D">
              <w:rPr>
                <w:rFonts w:asciiTheme="minorEastAsia" w:hAnsiTheme="minorEastAsia" w:cstheme="minorEastAsia" w:hint="eastAsia"/>
                <w:sz w:val="24"/>
              </w:rPr>
              <w:t>D</w:t>
            </w:r>
            <w:r>
              <w:rPr>
                <w:rFonts w:asciiTheme="minorEastAsia" w:hAnsiTheme="minorEastAsia" w:cstheme="minorEastAsia" w:hint="eastAsia"/>
                <w:sz w:val="24"/>
              </w:rPr>
              <w:t>F-100L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100L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釜体规格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内径460mm，外径500mm,内长650mm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整机功率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490W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高硼硅玻璃3.3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釜内允许压力（Mpa）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升降电机功率（W）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120W</w:t>
            </w:r>
          </w:p>
        </w:tc>
      </w:tr>
      <w:tr w:rsidR="003D0E95">
        <w:trPr>
          <w:trHeight w:val="291"/>
        </w:trPr>
        <w:tc>
          <w:tcPr>
            <w:tcW w:w="1847" w:type="dxa"/>
            <w:vMerge w:val="restart"/>
          </w:tcPr>
          <w:p w:rsidR="003D0E95" w:rsidRDefault="003D0E9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:rsidR="003D0E95" w:rsidRDefault="003D0E95"/>
          <w:p w:rsidR="003D0E95" w:rsidRDefault="00000000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56" w:type="dxa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370W</w:t>
            </w:r>
          </w:p>
        </w:tc>
      </w:tr>
      <w:tr w:rsidR="003D0E95">
        <w:trPr>
          <w:trHeight w:val="291"/>
        </w:trPr>
        <w:tc>
          <w:tcPr>
            <w:tcW w:w="1847" w:type="dxa"/>
            <w:vMerge/>
          </w:tcPr>
          <w:p w:rsidR="003D0E95" w:rsidRDefault="003D0E9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6" w:type="dxa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电子调速</w:t>
            </w:r>
          </w:p>
        </w:tc>
      </w:tr>
      <w:tr w:rsidR="003D0E95">
        <w:trPr>
          <w:trHeight w:val="398"/>
        </w:trPr>
        <w:tc>
          <w:tcPr>
            <w:tcW w:w="1847" w:type="dxa"/>
            <w:vMerge/>
          </w:tcPr>
          <w:p w:rsidR="003D0E95" w:rsidRDefault="003D0E9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6" w:type="dxa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</w:t>
            </w:r>
          </w:p>
        </w:tc>
        <w:tc>
          <w:tcPr>
            <w:tcW w:w="4816" w:type="dxa"/>
          </w:tcPr>
          <w:p w:rsidR="003D0E95" w:rsidRDefault="00000000">
            <w:pPr>
              <w:ind w:firstLineChars="600" w:firstLine="1440"/>
            </w:pPr>
            <w:r>
              <w:rPr>
                <w:rFonts w:asciiTheme="minorEastAsia" w:hAnsiTheme="minorEastAsia" w:cstheme="minorEastAsia" w:hint="eastAsia"/>
                <w:sz w:val="24"/>
              </w:rPr>
              <w:t>0~600rpm/min</w:t>
            </w:r>
          </w:p>
        </w:tc>
      </w:tr>
      <w:tr w:rsidR="003D0E95">
        <w:trPr>
          <w:trHeight w:val="291"/>
        </w:trPr>
        <w:tc>
          <w:tcPr>
            <w:tcW w:w="1847" w:type="dxa"/>
            <w:vMerge w:val="restart"/>
          </w:tcPr>
          <w:p w:rsidR="003D0E95" w:rsidRDefault="003D0E9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:rsidR="003D0E95" w:rsidRDefault="003D0E95"/>
          <w:p w:rsidR="003D0E95" w:rsidRDefault="003D0E95">
            <w:pPr>
              <w:rPr>
                <w:sz w:val="24"/>
              </w:rPr>
            </w:pPr>
          </w:p>
          <w:p w:rsidR="003D0E95" w:rsidRDefault="00000000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</w:t>
            </w:r>
          </w:p>
        </w:tc>
        <w:tc>
          <w:tcPr>
            <w:tcW w:w="1956" w:type="dxa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Φ50mm法兰口</w:t>
            </w:r>
          </w:p>
        </w:tc>
      </w:tr>
      <w:tr w:rsidR="003D0E95">
        <w:trPr>
          <w:trHeight w:val="291"/>
        </w:trPr>
        <w:tc>
          <w:tcPr>
            <w:tcW w:w="1847" w:type="dxa"/>
            <w:vMerge/>
          </w:tcPr>
          <w:p w:rsidR="003D0E95" w:rsidRDefault="003D0E9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6" w:type="dxa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35#法兰口</w:t>
            </w:r>
          </w:p>
        </w:tc>
      </w:tr>
      <w:tr w:rsidR="003D0E95">
        <w:trPr>
          <w:trHeight w:val="291"/>
        </w:trPr>
        <w:tc>
          <w:tcPr>
            <w:tcW w:w="1847" w:type="dxa"/>
            <w:vMerge/>
          </w:tcPr>
          <w:p w:rsidR="003D0E95" w:rsidRDefault="003D0E9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6" w:type="dxa"/>
          </w:tcPr>
          <w:p w:rsidR="003D0E95" w:rsidRDefault="009C438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液体加料口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  <w:r w:rsidR="009C4380">
              <w:rPr>
                <w:rFonts w:asciiTheme="minorEastAsia" w:hAnsiTheme="minorEastAsia" w:cstheme="minorEastAsia" w:hint="eastAsia"/>
                <w:sz w:val="24"/>
              </w:rPr>
              <w:t>5</w:t>
            </w:r>
            <w:r>
              <w:rPr>
                <w:rFonts w:asciiTheme="minorEastAsia" w:hAnsiTheme="minorEastAsia" w:cstheme="minorEastAsia" w:hint="eastAsia"/>
                <w:sz w:val="24"/>
              </w:rPr>
              <w:t>#法兰口</w:t>
            </w:r>
          </w:p>
        </w:tc>
      </w:tr>
      <w:tr w:rsidR="003D0E95">
        <w:trPr>
          <w:trHeight w:val="291"/>
        </w:trPr>
        <w:tc>
          <w:tcPr>
            <w:tcW w:w="1847" w:type="dxa"/>
            <w:vMerge/>
          </w:tcPr>
          <w:p w:rsidR="003D0E95" w:rsidRDefault="003D0E9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6" w:type="dxa"/>
          </w:tcPr>
          <w:p w:rsidR="003D0E95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固体加料口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φ80mm法兰口，内径60mm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SU304不锈钢+方钢喷塑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釜体升降行程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400mm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  Φ 17×1300H（mm）  叶展 200 mm</w:t>
            </w:r>
          </w:p>
        </w:tc>
      </w:tr>
      <w:tr w:rsidR="003D0E95">
        <w:trPr>
          <w:trHeight w:val="573"/>
        </w:trPr>
        <w:tc>
          <w:tcPr>
            <w:tcW w:w="3803" w:type="dxa"/>
            <w:gridSpan w:val="2"/>
          </w:tcPr>
          <w:p w:rsidR="003D0E95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外径35mm法兰口，配6分缓冲管，外接口6分丝口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PT100，外包聚四氟乙烯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减压阀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34#玻璃四氟阀门，放气口12mm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无积液放料阀，出液口外径尺寸33mm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1200L×800W×2</w:t>
            </w:r>
            <w:r w:rsidR="009C4380">
              <w:rPr>
                <w:rFonts w:asciiTheme="minorEastAsia" w:hAnsiTheme="minorEastAsia" w:cstheme="minorEastAsia" w:hint="eastAsia"/>
                <w:sz w:val="24"/>
              </w:rPr>
              <w:t>2</w:t>
            </w:r>
            <w:r>
              <w:rPr>
                <w:rFonts w:asciiTheme="minorEastAsia" w:hAnsiTheme="minorEastAsia" w:cstheme="minorEastAsia" w:hint="eastAsia"/>
                <w:sz w:val="24"/>
              </w:rPr>
              <w:t>00H（mm）</w:t>
            </w:r>
          </w:p>
        </w:tc>
      </w:tr>
      <w:tr w:rsidR="003D0E95">
        <w:trPr>
          <w:trHeight w:val="291"/>
        </w:trPr>
        <w:tc>
          <w:tcPr>
            <w:tcW w:w="3803" w:type="dxa"/>
            <w:gridSpan w:val="2"/>
          </w:tcPr>
          <w:p w:rsidR="003D0E95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2100L×1260W×830H（mm）</w:t>
            </w:r>
          </w:p>
        </w:tc>
      </w:tr>
      <w:tr w:rsidR="003D0E95">
        <w:trPr>
          <w:trHeight w:val="300"/>
        </w:trPr>
        <w:tc>
          <w:tcPr>
            <w:tcW w:w="3803" w:type="dxa"/>
            <w:gridSpan w:val="2"/>
          </w:tcPr>
          <w:p w:rsidR="003D0E95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816" w:type="dxa"/>
          </w:tcPr>
          <w:p w:rsidR="003D0E95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270Kg</w:t>
            </w:r>
          </w:p>
        </w:tc>
      </w:tr>
    </w:tbl>
    <w:p w:rsidR="003D0E95" w:rsidRDefault="003D0E95"/>
    <w:sectPr w:rsidR="003D0E95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A28C4" w:rsidRDefault="00AA28C4">
      <w:r>
        <w:separator/>
      </w:r>
    </w:p>
  </w:endnote>
  <w:endnote w:type="continuationSeparator" w:id="0">
    <w:p w:rsidR="00AA28C4" w:rsidRDefault="00AA2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D0E95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A28C4" w:rsidRDefault="00AA28C4">
      <w:r>
        <w:separator/>
      </w:r>
    </w:p>
  </w:footnote>
  <w:footnote w:type="continuationSeparator" w:id="0">
    <w:p w:rsidR="00AA28C4" w:rsidRDefault="00AA2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D0E95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A708EE"/>
    <w:multiLevelType w:val="singleLevel"/>
    <w:tmpl w:val="71A708EE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 w16cid:durableId="184694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3D0E95"/>
    <w:rsid w:val="003D0E95"/>
    <w:rsid w:val="009C4380"/>
    <w:rsid w:val="00A82DBE"/>
    <w:rsid w:val="00AA28C4"/>
    <w:rsid w:val="00D730D6"/>
    <w:rsid w:val="00EF664D"/>
    <w:rsid w:val="05D20A53"/>
    <w:rsid w:val="0AD7411C"/>
    <w:rsid w:val="162B3A59"/>
    <w:rsid w:val="1A60624B"/>
    <w:rsid w:val="1EF776E0"/>
    <w:rsid w:val="251265B0"/>
    <w:rsid w:val="25CD0809"/>
    <w:rsid w:val="45720CA6"/>
    <w:rsid w:val="45EB634F"/>
    <w:rsid w:val="51085676"/>
    <w:rsid w:val="555758C3"/>
    <w:rsid w:val="57E4018C"/>
    <w:rsid w:val="5BEC4C2B"/>
    <w:rsid w:val="657E580C"/>
    <w:rsid w:val="6816790B"/>
    <w:rsid w:val="6F823DB6"/>
    <w:rsid w:val="72DB0975"/>
    <w:rsid w:val="7E3B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E4174"/>
  <w15:docId w15:val="{A463E2FA-A1B2-4810-BEE9-49482400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3</cp:revision>
  <dcterms:created xsi:type="dcterms:W3CDTF">2014-10-29T12:08:00Z</dcterms:created>
  <dcterms:modified xsi:type="dcterms:W3CDTF">2024-02-23T08:38:00Z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417CE46AC1CF49649547BEAC84E2E01E</vt:lpwstr>
  </property>
</Properties>
</file>