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3178"/>
        </w:tabs>
        <w:bidi w:val="0"/>
        <w:ind w:firstLine="2240" w:firstLineChars="700"/>
        <w:rPr>
          <w:rFonts w:hint="eastAsia" w:asciiTheme="minorEastAsia" w:hAnsiTheme="minorEastAsia" w:cstheme="minorEastAsia"/>
          <w:sz w:val="32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>防爆三层玻璃反应釜YSFS-80LEX</w:t>
      </w:r>
      <w:r>
        <w:rPr>
          <w:rFonts w:hint="eastAsia" w:asciiTheme="minorEastAsia" w:hAnsiTheme="minorEastAsia" w:cstheme="minorEastAsia"/>
          <w:sz w:val="32"/>
          <w:szCs w:val="32"/>
          <w:lang w:val="en-US" w:eastAsia="zh-CN"/>
        </w:rPr>
        <w:tab/>
      </w:r>
    </w:p>
    <w:p>
      <w:pPr>
        <w:bidi w:val="0"/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>
      <w:pPr>
        <w:bidi w:val="0"/>
        <w:jc w:val="left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工作原理</w:t>
      </w:r>
    </w:p>
    <w:p>
      <w:pPr>
        <w:pStyle w:val="5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226" w:afterAutospacing="0" w:line="360" w:lineRule="atLeast"/>
        <w:ind w:left="0" w:right="0" w:firstLine="420"/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</w:pPr>
      <w:r>
        <w:rPr>
          <w:rFonts w:hint="eastAsia"/>
          <w:sz w:val="28"/>
          <w:szCs w:val="28"/>
          <w:lang w:val="en-US" w:eastAsia="zh-CN"/>
        </w:rPr>
        <w:t>三层</w:t>
      </w:r>
      <w:r>
        <w:rPr>
          <w:sz w:val="28"/>
          <w:szCs w:val="28"/>
        </w:rPr>
        <w:t>玻璃反应釜具有搅拌系统、冷凝、滴加、</w:t>
      </w:r>
      <w:r>
        <w:rPr>
          <w:rFonts w:hint="eastAsia"/>
          <w:sz w:val="28"/>
          <w:szCs w:val="28"/>
          <w:lang w:val="en-US" w:eastAsia="zh-CN"/>
        </w:rPr>
        <w:t>回流</w:t>
      </w:r>
      <w:r>
        <w:rPr>
          <w:sz w:val="28"/>
          <w:szCs w:val="28"/>
        </w:rPr>
        <w:t>、</w:t>
      </w:r>
      <w:r>
        <w:rPr>
          <w:rFonts w:hint="eastAsia"/>
          <w:sz w:val="28"/>
          <w:szCs w:val="28"/>
          <w:lang w:val="en-US" w:eastAsia="zh-CN"/>
        </w:rPr>
        <w:t>收集</w:t>
      </w:r>
      <w:r>
        <w:rPr>
          <w:sz w:val="28"/>
          <w:szCs w:val="28"/>
        </w:rPr>
        <w:t>系统，内层放置反应溶媒可做搅拌反应，夹层通过冷热源循环，</w:t>
      </w:r>
      <w:r>
        <w:rPr>
          <w:rFonts w:hint="eastAsia"/>
          <w:sz w:val="28"/>
          <w:szCs w:val="28"/>
          <w:lang w:val="en-US" w:eastAsia="zh-CN"/>
        </w:rPr>
        <w:t>最外层是真空保温层，</w:t>
      </w:r>
      <w:r>
        <w:rPr>
          <w:sz w:val="28"/>
          <w:szCs w:val="28"/>
        </w:rPr>
        <w:t>可以提供做高温反应(最高温度可以达到300℃)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也可以做低温反应(最低温度可以达到-80℃)</w:t>
      </w:r>
      <w:r>
        <w:rPr>
          <w:rFonts w:hint="eastAsia"/>
          <w:sz w:val="28"/>
          <w:szCs w:val="28"/>
          <w:lang w:eastAsia="zh-CN"/>
        </w:rPr>
        <w:t>，</w:t>
      </w:r>
      <w:r>
        <w:rPr>
          <w:sz w:val="28"/>
          <w:szCs w:val="28"/>
        </w:rPr>
        <w:t>物料进行加热反应时，在真空条件下可以提高蒸发效率（需连接真空装置），溶媒蒸汽经玻璃冷凝盘管时冷却成液体（需连接冷却装置），可回流到釜内，也可通过回流弯头下部阀门进行回收。反应完毕，物料可从釜底的侧出料口放出。而且</w:t>
      </w:r>
      <w:r>
        <w:rPr>
          <w:rFonts w:hint="default" w:ascii="Arial" w:hAnsi="Arial" w:cs="Arial"/>
          <w:i w:val="0"/>
          <w:caps w:val="0"/>
          <w:color w:val="333333"/>
          <w:spacing w:val="0"/>
          <w:sz w:val="28"/>
          <w:szCs w:val="28"/>
          <w:shd w:val="clear" w:color="auto" w:fill="FFFFFF"/>
        </w:rPr>
        <w:t>全透明的反应过程一目了然，是现代生物制药，精细化工，新材料合成的理想实验中试设备。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产品特点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本产品独特设备，整机不锈钢框架结构(其连接部分三通四通精巧配连)，紧凑坚固不走型，移动方便。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2.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与物料接触部分全部采用高硼硅玻璃（膨胀系数 3.3）和聚四氟乙烯材料，性能稳定不易与物料起化学反应，使用方便安全。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3.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防爆电机和防爆控制盒，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双显显示转速和釜内物料温度，性能稳定、清晰显示操控及数据平面、简单易操作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防爆等级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EXd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val="en-US" w:eastAsia="zh-CN"/>
        </w:rPr>
        <w:t>II</w:t>
      </w:r>
      <w:r>
        <w:rPr>
          <w:rFonts w:hint="eastAsia" w:asciiTheme="minorEastAsia" w:hAnsiTheme="minorEastAsia" w:eastAsiaTheme="minorEastAsia" w:cstheme="minorEastAsia"/>
          <w:color w:val="000000"/>
          <w:spacing w:val="1"/>
          <w:sz w:val="28"/>
          <w:szCs w:val="28"/>
        </w:rPr>
        <w:t>BT4</w:t>
      </w:r>
      <w:r>
        <w:rPr>
          <w:rFonts w:hint="eastAsia" w:asciiTheme="minorEastAsia" w:hAnsiTheme="minorEastAsia" w:cstheme="minorEastAsia"/>
          <w:color w:val="000000"/>
          <w:spacing w:val="1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4.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搅拌系统采用陶瓷轴承、机械密封，防止搅拌杆磨损掉屑，耐高温、耐磨损、密封效果好。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5.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采用 PT100温度传感器，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玻璃温度计套管。</w:t>
      </w:r>
    </w:p>
    <w:p>
      <w:pPr>
        <w:bidi w:val="0"/>
        <w:ind w:firstLine="280" w:firstLineChars="100"/>
        <w:rPr>
          <w:rFonts w:hint="default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6.在双层反应釜的基础上，釜体最外层多了一层真空保温层，在真空状态下提高了玻璃的换热效率，减小釜内物料温度的散热。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7.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真空压力表显示实时真空，指针显示。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8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月牙式搅拌桨，304不锈钢+聚四氟乙烯搅拌叶；搅拌杆材质为 304不锈钢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外包聚四氟乙烯管，强度高，耐腐蚀性强。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9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玻璃+四氟放料阀门，无积液侧放料，回收溶液十分快捷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ind w:firstLine="280" w:firstLineChars="10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10</w:t>
      </w: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t>.</w:t>
      </w:r>
      <w:r>
        <w:rPr>
          <w:rFonts w:hint="eastAsia" w:asciiTheme="minorEastAsia" w:hAnsiTheme="minorEastAsia" w:eastAsiaTheme="minorEastAsia" w:cstheme="minorEastAsia"/>
          <w:sz w:val="28"/>
          <w:szCs w:val="28"/>
        </w:rPr>
        <w:t>机器底部设有带刹车的万向轮，可整体移动，操作方便</w:t>
      </w:r>
      <w:r>
        <w:rPr>
          <w:rFonts w:hint="eastAsia" w:asciiTheme="minorEastAsia" w:hAnsiTheme="minorEastAsia" w:cstheme="minorEastAsia"/>
          <w:sz w:val="28"/>
          <w:szCs w:val="28"/>
          <w:lang w:eastAsia="zh-CN"/>
        </w:rPr>
        <w:t>。</w:t>
      </w: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  <w:drawing>
          <wp:inline distT="0" distB="0" distL="114300" distR="114300">
            <wp:extent cx="5257165" cy="7887970"/>
            <wp:effectExtent l="0" t="0" r="635" b="17780"/>
            <wp:docPr id="1" name="图片 1" descr="85660c75c8104b6b7222ad4a8316f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85660c75c8104b6b7222ad4a8316fff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165" cy="788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</w:p>
    <w:p>
      <w:pPr>
        <w:bidi w:val="0"/>
        <w:rPr>
          <w:rFonts w:hint="eastAsia" w:asciiTheme="minorEastAsia" w:hAnsiTheme="minorEastAsia" w:cstheme="minorEastAsia"/>
          <w:sz w:val="28"/>
          <w:szCs w:val="28"/>
          <w:lang w:val="en-US" w:eastAsia="zh-CN"/>
        </w:rPr>
      </w:pPr>
      <w:r>
        <w:rPr>
          <w:rFonts w:hint="eastAsia" w:asciiTheme="minorEastAsia" w:hAnsiTheme="minorEastAsia" w:cstheme="minorEastAsia"/>
          <w:sz w:val="28"/>
          <w:szCs w:val="28"/>
          <w:lang w:val="en-US" w:eastAsia="zh-CN"/>
        </w:rPr>
        <w:t>产品参数</w:t>
      </w:r>
    </w:p>
    <w:tbl>
      <w:tblPr>
        <w:tblStyle w:val="7"/>
        <w:tblpPr w:leftFromText="180" w:rightFromText="180" w:vertAnchor="text" w:horzAnchor="page" w:tblpX="1742" w:tblpY="205"/>
        <w:tblOverlap w:val="never"/>
        <w:tblW w:w="86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48"/>
        <w:gridCol w:w="1956"/>
        <w:gridCol w:w="48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both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型号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YSFS-80LEX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釜内有效容积（L）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80L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釜内夹套容积（L）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约25L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电压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220V50HZ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玻璃材质组件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高硼硅玻璃3.3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釜体耐温范围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-80℃～+250℃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测温精度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±1℃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恒压漏斗容积（L）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  <w:vAlign w:val="top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恒压漏斗规格</w:t>
            </w:r>
          </w:p>
        </w:tc>
        <w:tc>
          <w:tcPr>
            <w:tcW w:w="4815" w:type="dxa"/>
            <w:vAlign w:val="top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上29标口活塞，下配40#磨口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冷凝器规格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Φ120×700H（mm）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冷凝器换热面积（㎡）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0.7㎡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冷凝器循环接口尺寸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16mm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釜内允许压力（Mpa）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-0.1-0.0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夹套允许压力（Mpa）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≤0.03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防爆搅拌电机</w:t>
            </w: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额定功率（W）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370W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转速调节方式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变频控制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6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转速调节范围（rpm）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jc w:val="center"/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0-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lang w:val="en-US" w:eastAsia="zh-CN" w:bidi="ar-SA"/>
              </w:rPr>
              <w:t>6</w:t>
            </w:r>
            <w:bookmarkStart w:id="0" w:name="_GoBack"/>
            <w:bookmarkEnd w:id="0"/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lang w:val="en-US" w:eastAsia="zh-CN" w:bidi="ar-SA"/>
              </w:rPr>
              <w:t>00rpm/min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restart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bidi w:val="0"/>
              <w:rPr>
                <w:rFonts w:hint="eastAsia" w:asciiTheme="minorHAnsi" w:hAnsiTheme="minorHAnsi" w:eastAsiaTheme="minorEastAsia" w:cstheme="minorBidi"/>
                <w:kern w:val="2"/>
                <w:sz w:val="21"/>
                <w:szCs w:val="24"/>
                <w:lang w:val="en-US" w:eastAsia="zh-CN" w:bidi="ar-SA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  <w:p>
            <w:pPr>
              <w:bidi w:val="0"/>
              <w:ind w:firstLine="240" w:firstLineChars="100"/>
              <w:jc w:val="left"/>
              <w:rPr>
                <w:rFonts w:hint="default"/>
                <w:sz w:val="24"/>
                <w:szCs w:val="24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lang w:val="en-US" w:eastAsia="zh-CN"/>
              </w:rPr>
              <w:t>釜盖开口（340mm）</w:t>
            </w: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60#法兰口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bidi w:val="0"/>
              <w:ind w:firstLine="240" w:firstLineChars="100"/>
              <w:jc w:val="left"/>
              <w:rPr>
                <w:rFonts w:hint="eastAsia"/>
                <w:sz w:val="24"/>
                <w:szCs w:val="24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固体投料口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95#法兰口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恒压漏斗口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40#磨口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放气口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34#磨口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冷凝器连接口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50#球磨口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8" w:hRule="atLeast"/>
        </w:trPr>
        <w:tc>
          <w:tcPr>
            <w:tcW w:w="1848" w:type="dxa"/>
            <w:vMerge w:val="continue"/>
          </w:tcPr>
          <w:p>
            <w:pPr>
              <w:tabs>
                <w:tab w:val="left" w:pos="645"/>
              </w:tabs>
              <w:bidi w:val="0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956" w:type="dxa"/>
          </w:tcPr>
          <w:p>
            <w:pPr>
              <w:tabs>
                <w:tab w:val="left" w:pos="645"/>
              </w:tabs>
              <w:bidi w:val="0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测温口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29#磨口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主体框架材质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SU304不锈钢+氟橡胶法兰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搅拌桨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Φ17mm   叶展 250mm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釜体进出液循环接口规格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外径35mm法兰,带6分外丝不锈钢进出油口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温度传感器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PT100，玻璃温度计套管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真空抽气口尺寸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外层真空连接口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10mm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放料阀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无积液放料阀，出液口外径尺寸33mm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使用环境温度（℃）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5-35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机器占地尺寸(mm）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900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720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2800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8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包装尺寸（mm）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1980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L×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800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W×</w:t>
            </w:r>
            <w:r>
              <w:rPr>
                <w:rFonts w:hint="eastAsia" w:asciiTheme="minorEastAsia" w:hAnsi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750</w:t>
            </w:r>
            <w:r>
              <w:rPr>
                <w:rFonts w:hint="eastAsia" w:asciiTheme="minorEastAsia" w:hAnsiTheme="minorEastAsia" w:eastAsiaTheme="minorEastAsia" w:cstheme="minorEastAsia"/>
                <w:kern w:val="2"/>
                <w:sz w:val="24"/>
                <w:szCs w:val="24"/>
                <w:vertAlign w:val="baseline"/>
                <w:lang w:val="en-US" w:eastAsia="zh-CN" w:bidi="ar-SA"/>
              </w:rPr>
              <w:t>H（mm）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3804" w:type="dxa"/>
            <w:gridSpan w:val="2"/>
          </w:tcPr>
          <w:p>
            <w:pPr>
              <w:bidi w:val="0"/>
              <w:jc w:val="center"/>
              <w:rPr>
                <w:rFonts w:hint="default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  <w:t>整机重量（Kg）</w:t>
            </w:r>
          </w:p>
        </w:tc>
        <w:tc>
          <w:tcPr>
            <w:tcW w:w="4815" w:type="dxa"/>
          </w:tcPr>
          <w:p>
            <w:pPr>
              <w:tabs>
                <w:tab w:val="left" w:pos="645"/>
              </w:tabs>
              <w:bidi w:val="0"/>
              <w:jc w:val="center"/>
              <w:rPr>
                <w:rFonts w:hint="eastAsia" w:asciiTheme="minorEastAsia" w:hAnsiTheme="minorEastAsia" w:cstheme="minorEastAsia"/>
                <w:sz w:val="24"/>
                <w:szCs w:val="24"/>
                <w:vertAlign w:val="baseline"/>
                <w:lang w:val="en-US" w:eastAsia="zh-CN"/>
              </w:rPr>
            </w:pPr>
          </w:p>
        </w:tc>
      </w:tr>
    </w:tbl>
    <w:p>
      <w:pPr>
        <w:tabs>
          <w:tab w:val="left" w:pos="1731"/>
        </w:tabs>
        <w:bidi w:val="0"/>
        <w:jc w:val="left"/>
        <w:rPr>
          <w:rFonts w:hint="eastAsia"/>
          <w:lang w:val="en-US" w:eastAsia="zh-CN"/>
        </w:rPr>
      </w:pPr>
    </w:p>
    <w:p>
      <w:pPr>
        <w:bidi w:val="0"/>
        <w:rPr>
          <w:rFonts w:hint="eastAsia" w:asciiTheme="minorEastAsia" w:hAnsiTheme="minorEastAsia" w:eastAsiaTheme="minorEastAsia" w:cstheme="minorEastAsia"/>
          <w:sz w:val="28"/>
          <w:szCs w:val="28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-1104265</wp:posOffset>
          </wp:positionH>
          <wp:positionV relativeFrom="paragraph">
            <wp:posOffset>-127000</wp:posOffset>
          </wp:positionV>
          <wp:extent cx="7515860" cy="372745"/>
          <wp:effectExtent l="0" t="0" r="8890" b="8255"/>
          <wp:wrapNone/>
          <wp:docPr id="3" name="图片 3" descr="予华LOGO4 页脚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予华LOGO4 页脚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15860" cy="3727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rPr>
        <w:rFonts w:hint="eastAsia" w:eastAsiaTheme="minorEastAsia"/>
        <w:lang w:eastAsia="zh-CN"/>
      </w:rPr>
    </w:pPr>
    <w:r>
      <w:rPr>
        <w:rFonts w:hint="eastAsia" w:eastAsiaTheme="minorEastAsia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-1139190</wp:posOffset>
          </wp:positionH>
          <wp:positionV relativeFrom="paragraph">
            <wp:posOffset>-57150</wp:posOffset>
          </wp:positionV>
          <wp:extent cx="7569200" cy="423545"/>
          <wp:effectExtent l="0" t="0" r="12700" b="14605"/>
          <wp:wrapNone/>
          <wp:docPr id="2" name="图片 2" descr="予华LOGO 页眉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予华LOGO 页眉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9200" cy="423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I4MTc1OWRlYTQ1YWRjNGNhNzQ1ZWQ2NGRhN2U1OGMifQ=="/>
  </w:docVars>
  <w:rsids>
    <w:rsidRoot w:val="00000000"/>
    <w:rsid w:val="00A82DBE"/>
    <w:rsid w:val="05D20A53"/>
    <w:rsid w:val="0BFB7893"/>
    <w:rsid w:val="1A60624B"/>
    <w:rsid w:val="1CD67F1B"/>
    <w:rsid w:val="1EAD7370"/>
    <w:rsid w:val="25CD0809"/>
    <w:rsid w:val="2BB26662"/>
    <w:rsid w:val="2D567476"/>
    <w:rsid w:val="34DC3FDF"/>
    <w:rsid w:val="45720CA6"/>
    <w:rsid w:val="45EB634F"/>
    <w:rsid w:val="46F80928"/>
    <w:rsid w:val="491512A8"/>
    <w:rsid w:val="4FF14E2C"/>
    <w:rsid w:val="55230FD9"/>
    <w:rsid w:val="5BEC4C2B"/>
    <w:rsid w:val="5F1C1DFE"/>
    <w:rsid w:val="72DB0975"/>
    <w:rsid w:val="78167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rFonts w:ascii="宋体" w:hAnsi="宋体" w:eastAsia="宋体" w:cs="宋体"/>
      <w:sz w:val="24"/>
      <w:szCs w:val="24"/>
      <w:lang w:val="zh-CN" w:eastAsia="zh-CN" w:bidi="zh-CN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5">
    <w:name w:val="Normal (Web)"/>
    <w:basedOn w:val="1"/>
    <w:qFormat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9">
    <w:name w:val="Table Paragraph"/>
    <w:basedOn w:val="1"/>
    <w:qFormat/>
    <w:uiPriority w:val="1"/>
    <w:pPr>
      <w:spacing w:before="92"/>
      <w:jc w:val="center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1067</Words>
  <Characters>1243</Characters>
  <Lines>0</Lines>
  <Paragraphs>0</Paragraphs>
  <TotalTime>0</TotalTime>
  <ScaleCrop>false</ScaleCrop>
  <LinksUpToDate>false</LinksUpToDate>
  <CharactersWithSpaces>1252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Administrator.DESKTOP-VCGHN62</dc:creator>
  <cp:lastModifiedBy>马冲</cp:lastModifiedBy>
  <dcterms:modified xsi:type="dcterms:W3CDTF">2022-08-06T09:29:56Z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9D439D594E3F46369704E819B4F484CD</vt:lpwstr>
  </property>
</Properties>
</file>