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05F72" w:rsidRDefault="00305F72"/>
    <w:p w:rsidR="00305F72" w:rsidRDefault="00000000">
      <w:pPr>
        <w:tabs>
          <w:tab w:val="left" w:pos="2526"/>
        </w:tabs>
        <w:ind w:firstLineChars="500" w:firstLine="1500"/>
        <w:rPr>
          <w:rFonts w:asciiTheme="minorEastAsia" w:hAnsiTheme="minorEastAsia" w:cstheme="minorEastAsia" w:hint="eastAsia"/>
          <w:sz w:val="30"/>
          <w:szCs w:val="30"/>
        </w:rPr>
      </w:pPr>
      <w:r>
        <w:rPr>
          <w:rFonts w:asciiTheme="minorEastAsia" w:hAnsiTheme="minorEastAsia" w:cstheme="minorEastAsia" w:hint="eastAsia"/>
          <w:sz w:val="30"/>
          <w:szCs w:val="30"/>
        </w:rPr>
        <w:t>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asciiTheme="minorEastAsia" w:hAnsiTheme="minorEastAsia" w:cstheme="minorEastAsia" w:hint="eastAsia"/>
          <w:sz w:val="30"/>
          <w:szCs w:val="30"/>
        </w:rPr>
        <w:t>高低温循环装置G</w:t>
      </w:r>
      <w:r>
        <w:rPr>
          <w:rFonts w:asciiTheme="minorEastAsia" w:hAnsiTheme="minorEastAsia" w:cstheme="minorEastAsia"/>
          <w:sz w:val="30"/>
          <w:szCs w:val="30"/>
        </w:rPr>
        <w:t>DSZ-</w:t>
      </w:r>
      <w:r>
        <w:rPr>
          <w:rFonts w:asciiTheme="minorEastAsia" w:hAnsiTheme="minorEastAsia" w:cstheme="minorEastAsia" w:hint="eastAsia"/>
          <w:sz w:val="30"/>
          <w:szCs w:val="30"/>
        </w:rPr>
        <w:t>500/40+200</w:t>
      </w:r>
    </w:p>
    <w:p w:rsidR="00305F72" w:rsidRDefault="00000000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工作原理</w:t>
      </w:r>
      <w:r>
        <w:rPr>
          <w:rFonts w:hint="eastAsia"/>
          <w:sz w:val="28"/>
          <w:szCs w:val="28"/>
        </w:rPr>
        <w:t xml:space="preserve"> </w:t>
      </w:r>
    </w:p>
    <w:p w:rsidR="00305F72" w:rsidRDefault="00000000">
      <w:pPr>
        <w:ind w:firstLineChars="200" w:firstLine="560"/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高低温循环装置又叫高低温一体机，是由制冷单元、加热单元、循环系统、控制系统组成的，整个循环系统的导热介质是全密闭循环，循环系统带有液体膨胀容器，膨胀容器和液体循环是独立系统，膨胀容器并不参与液体循环，只是机械的连接。就算高温运行的情况下，膨胀容器中的导热介质都不会高于50度。整个液体循环是密闭的系统，低温时没有水汽的吸收，高温时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没有油雾的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产生，提高导热油使用寿命；同一台设备，同一种导热介质可实现-95度到350度连续控温。制冷量1KW~ 100KW 范围可选。</w:t>
      </w:r>
    </w:p>
    <w:p w:rsidR="00305F72" w:rsidRDefault="00000000">
      <w:pPr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产品特点</w:t>
      </w:r>
    </w:p>
    <w:p w:rsidR="00305F72" w:rsidRDefault="00000000">
      <w:pPr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1、配备加热冷却一体容器，换热面积大，升温和降温的速率很快，导热油的需求量也比较小。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2、可实现连续升降温，采用高温高压下运行压缩机技术，可从350度直接开启压缩机制冷，大大提供降温速率，节省试验时间和精力。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4、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本设备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具有自我诊断功能、冷冻机过载保护、高压压力开关、过载继电器、</w:t>
      </w:r>
      <w:proofErr w:type="gramStart"/>
      <w:r>
        <w:rPr>
          <w:rFonts w:asciiTheme="minorEastAsia" w:hAnsiTheme="minorEastAsia" w:cstheme="minorEastAsia" w:hint="eastAsia"/>
          <w:sz w:val="28"/>
          <w:szCs w:val="28"/>
        </w:rPr>
        <w:t>热保护</w:t>
      </w:r>
      <w:proofErr w:type="gramEnd"/>
      <w:r>
        <w:rPr>
          <w:rFonts w:asciiTheme="minorEastAsia" w:hAnsiTheme="minorEastAsia" w:cstheme="minorEastAsia" w:hint="eastAsia"/>
          <w:sz w:val="28"/>
          <w:szCs w:val="28"/>
        </w:rPr>
        <w:t>高温加热时循环系统高压保护装置等多种安全保障机能，充分保证使用安全；</w:t>
      </w:r>
      <w:r>
        <w:rPr>
          <w:rFonts w:asciiTheme="minorEastAsia" w:hAnsiTheme="minorEastAsia" w:cstheme="minorEastAsia" w:hint="eastAsia"/>
          <w:sz w:val="28"/>
          <w:szCs w:val="28"/>
        </w:rPr>
        <w:br/>
        <w:t>5、温度自适应控制，适应控制系统在控制工艺（如化学反应工艺）的过程中，持续不断的调节PID参数来给予工艺最好的控制温度和响应时间，这种过程是通过有效的多方位的测定温度，温度变化和温度变化的速率来实现的。</w:t>
      </w:r>
      <w:r>
        <w:rPr>
          <w:rFonts w:asciiTheme="minorEastAsia" w:hAnsiTheme="minorEastAsia" w:cstheme="minorEastAsia" w:hint="eastAsia"/>
          <w:sz w:val="28"/>
          <w:szCs w:val="28"/>
        </w:rPr>
        <w:br/>
      </w:r>
      <w:r>
        <w:rPr>
          <w:rFonts w:asciiTheme="minorEastAsia" w:hAnsiTheme="minorEastAsia" w:cstheme="minorEastAsia" w:hint="eastAsia"/>
          <w:sz w:val="28"/>
          <w:szCs w:val="28"/>
        </w:rPr>
        <w:lastRenderedPageBreak/>
        <w:t>6、带有矫正外循环和内循环温度探头PT100的功能。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7、采用无CFC和HCFE制冷剂。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8、精确控制化学反应的速度。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10、液体循环管道，加热管采用优质工业级无缝304不锈钢厚度为3.0mm，绝非装饰管。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11、制冷系统采用涡旋压缩机，耐高温循环泵，性能稳定，质量可靠。</w:t>
      </w:r>
    </w:p>
    <w:p w:rsidR="00305F72" w:rsidRDefault="00000000">
      <w:pPr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12、本机组全部采用固态继电器，无火花、无噪音。寿命长安全可靠！</w:t>
      </w:r>
      <w:r>
        <w:rPr>
          <w:rFonts w:asciiTheme="minorEastAsia" w:hAnsiTheme="minorEastAsia" w:cstheme="minorEastAsia" w:hint="eastAsia"/>
          <w:sz w:val="28"/>
          <w:szCs w:val="28"/>
        </w:rPr>
        <w:br/>
        <w:t>13、 宽工作温度范围，同时具备加热制冷功能，最大温度范围： —95 ～ 350度 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14、可以同时显示温度设定值和实际值，以及超温报警值。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15、充盈液体高效快速，充液简单。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16、保证高温情况下迅速降温；可实现350度到-95度连续控温节省试验生产时间。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17、液体循环管道，加热管采用优质工业级无缝304不锈钢厚度为3.0mm，绝非普通装饰管。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18、高扬程设计，满足远距离输送导热介质。</w:t>
      </w:r>
      <w:r>
        <w:rPr>
          <w:rFonts w:asciiTheme="minorEastAsia" w:hAnsiTheme="minorEastAsia" w:cstheme="minorEastAsia" w:hint="eastAsia"/>
          <w:sz w:val="28"/>
          <w:szCs w:val="28"/>
        </w:rPr>
        <w:br/>
        <w:t>19、制冷系统采用压缩机的润滑油我们全部采用合成油！不碳化、不变色。</w:t>
      </w:r>
    </w:p>
    <w:p w:rsidR="00305F72" w:rsidRDefault="00000000">
      <w:pPr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20、耐高温循环泵，性能稳定，无泄漏噪音低，质量可靠！</w:t>
      </w:r>
    </w:p>
    <w:p w:rsidR="00305F72" w:rsidRDefault="00000000">
      <w:pPr>
        <w:rPr>
          <w:rFonts w:asciiTheme="minorEastAsia" w:hAnsiTheme="minorEastAsia" w:cstheme="minorEastAsia" w:hint="eastAsia"/>
          <w:sz w:val="28"/>
          <w:szCs w:val="28"/>
        </w:rPr>
      </w:pPr>
      <w:r>
        <w:rPr>
          <w:rFonts w:asciiTheme="minorEastAsia" w:hAnsiTheme="minorEastAsia" w:cstheme="minorEastAsia" w:hint="eastAsia"/>
          <w:sz w:val="28"/>
          <w:szCs w:val="28"/>
        </w:rPr>
        <w:t>21、考虑到高温的危险性机组的循环连接口均采用304不锈钢钢丝软管外套保温管连接。</w:t>
      </w:r>
    </w:p>
    <w:p w:rsidR="00305F72" w:rsidRDefault="00305F72">
      <w:pPr>
        <w:rPr>
          <w:rFonts w:asciiTheme="minorEastAsia" w:hAnsiTheme="minorEastAsia" w:cstheme="minorEastAsia" w:hint="eastAsia"/>
          <w:sz w:val="28"/>
          <w:szCs w:val="28"/>
        </w:rPr>
      </w:pPr>
    </w:p>
    <w:p w:rsidR="00305F72" w:rsidRDefault="00000000">
      <w:pPr>
        <w:spacing w:line="360" w:lineRule="auto"/>
        <w:ind w:firstLineChars="700" w:firstLine="1968"/>
        <w:rPr>
          <w:rFonts w:ascii="宋体" w:hAnsi="宋体" w:hint="eastAsia"/>
          <w:b/>
          <w:bCs/>
          <w:color w:val="000000"/>
          <w:sz w:val="28"/>
          <w:szCs w:val="28"/>
        </w:rPr>
      </w:pPr>
      <w:r>
        <w:rPr>
          <w:rFonts w:ascii="宋体" w:hAnsi="宋体" w:hint="eastAsia"/>
          <w:b/>
          <w:bCs/>
          <w:color w:val="000000"/>
          <w:sz w:val="28"/>
          <w:szCs w:val="28"/>
        </w:rPr>
        <w:lastRenderedPageBreak/>
        <w:t>高低温一体机主要技术参数</w:t>
      </w:r>
    </w:p>
    <w:tbl>
      <w:tblPr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85"/>
        <w:gridCol w:w="2286"/>
        <w:gridCol w:w="4488"/>
      </w:tblGrid>
      <w:tr w:rsidR="00305F72">
        <w:trPr>
          <w:trHeight w:hRule="exact" w:val="375"/>
          <w:jc w:val="center"/>
        </w:trPr>
        <w:tc>
          <w:tcPr>
            <w:tcW w:w="3871" w:type="dxa"/>
            <w:gridSpan w:val="2"/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名称</w:t>
            </w:r>
          </w:p>
        </w:tc>
        <w:tc>
          <w:tcPr>
            <w:tcW w:w="4488" w:type="dxa"/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密闭制冷加热循环装置</w:t>
            </w:r>
          </w:p>
        </w:tc>
      </w:tr>
      <w:tr w:rsidR="00305F72">
        <w:trPr>
          <w:trHeight w:hRule="exact" w:val="375"/>
          <w:jc w:val="center"/>
        </w:trPr>
        <w:tc>
          <w:tcPr>
            <w:tcW w:w="3871" w:type="dxa"/>
            <w:gridSpan w:val="2"/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型号</w:t>
            </w:r>
          </w:p>
        </w:tc>
        <w:tc>
          <w:tcPr>
            <w:tcW w:w="4488" w:type="dxa"/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GDSZ-500/40+200</w:t>
            </w:r>
          </w:p>
        </w:tc>
      </w:tr>
      <w:tr w:rsidR="00305F72">
        <w:trPr>
          <w:trHeight w:hRule="exact" w:val="375"/>
          <w:jc w:val="center"/>
        </w:trPr>
        <w:tc>
          <w:tcPr>
            <w:tcW w:w="3871" w:type="dxa"/>
            <w:gridSpan w:val="2"/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温度稳定性(℃）</w:t>
            </w:r>
          </w:p>
        </w:tc>
        <w:tc>
          <w:tcPr>
            <w:tcW w:w="4488" w:type="dxa"/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±1</w:t>
            </w:r>
          </w:p>
        </w:tc>
      </w:tr>
      <w:tr w:rsidR="00305F72">
        <w:trPr>
          <w:trHeight w:hRule="exact" w:val="375"/>
          <w:jc w:val="center"/>
        </w:trPr>
        <w:tc>
          <w:tcPr>
            <w:tcW w:w="3871" w:type="dxa"/>
            <w:gridSpan w:val="2"/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使用温度范围(℃)</w:t>
            </w:r>
          </w:p>
        </w:tc>
        <w:tc>
          <w:tcPr>
            <w:tcW w:w="4488" w:type="dxa"/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-40～200</w:t>
            </w:r>
          </w:p>
        </w:tc>
      </w:tr>
      <w:tr w:rsidR="00305F72">
        <w:trPr>
          <w:trHeight w:hRule="exact" w:val="375"/>
          <w:jc w:val="center"/>
        </w:trPr>
        <w:tc>
          <w:tcPr>
            <w:tcW w:w="3871" w:type="dxa"/>
            <w:gridSpan w:val="2"/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环境温度(℃)</w:t>
            </w:r>
          </w:p>
        </w:tc>
        <w:tc>
          <w:tcPr>
            <w:tcW w:w="4488" w:type="dxa"/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5～35</w:t>
            </w:r>
          </w:p>
        </w:tc>
      </w:tr>
      <w:tr w:rsidR="00305F72">
        <w:trPr>
          <w:trHeight w:hRule="exact" w:val="375"/>
          <w:jc w:val="center"/>
        </w:trPr>
        <w:tc>
          <w:tcPr>
            <w:tcW w:w="3871" w:type="dxa"/>
            <w:gridSpan w:val="2"/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最佳环境湿度</w:t>
            </w:r>
          </w:p>
        </w:tc>
        <w:tc>
          <w:tcPr>
            <w:tcW w:w="4488" w:type="dxa"/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≤60%</w:t>
            </w:r>
          </w:p>
        </w:tc>
      </w:tr>
      <w:tr w:rsidR="00305F72">
        <w:trPr>
          <w:trHeight w:hRule="exact" w:val="375"/>
          <w:jc w:val="center"/>
        </w:trPr>
        <w:tc>
          <w:tcPr>
            <w:tcW w:w="3871" w:type="dxa"/>
            <w:gridSpan w:val="2"/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电源</w:t>
            </w:r>
          </w:p>
        </w:tc>
        <w:tc>
          <w:tcPr>
            <w:tcW w:w="4488" w:type="dxa"/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3PH/380V/50HZ</w:t>
            </w:r>
          </w:p>
        </w:tc>
      </w:tr>
      <w:tr w:rsidR="00305F72">
        <w:trPr>
          <w:trHeight w:hRule="exact" w:val="620"/>
          <w:jc w:val="center"/>
        </w:trPr>
        <w:tc>
          <w:tcPr>
            <w:tcW w:w="3871" w:type="dxa"/>
            <w:gridSpan w:val="2"/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安全保护</w:t>
            </w:r>
          </w:p>
        </w:tc>
        <w:tc>
          <w:tcPr>
            <w:tcW w:w="4488" w:type="dxa"/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延时、过电流、过热、超温保护、过欠压、缺相</w:t>
            </w:r>
          </w:p>
        </w:tc>
      </w:tr>
      <w:tr w:rsidR="00305F72">
        <w:trPr>
          <w:trHeight w:hRule="exact" w:val="375"/>
          <w:jc w:val="center"/>
        </w:trPr>
        <w:tc>
          <w:tcPr>
            <w:tcW w:w="3871" w:type="dxa"/>
            <w:gridSpan w:val="2"/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整机功率Max：(kW/A)</w:t>
            </w:r>
          </w:p>
        </w:tc>
        <w:tc>
          <w:tcPr>
            <w:tcW w:w="4488" w:type="dxa"/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54.5/102.8</w:t>
            </w:r>
          </w:p>
        </w:tc>
      </w:tr>
      <w:tr w:rsidR="00305F72">
        <w:trPr>
          <w:trHeight w:hRule="exact" w:val="375"/>
          <w:jc w:val="center"/>
        </w:trPr>
        <w:tc>
          <w:tcPr>
            <w:tcW w:w="3871" w:type="dxa"/>
            <w:gridSpan w:val="2"/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显示屏</w:t>
            </w:r>
          </w:p>
        </w:tc>
        <w:tc>
          <w:tcPr>
            <w:tcW w:w="4488" w:type="dxa"/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液晶屏显示，触摸操作</w:t>
            </w:r>
          </w:p>
        </w:tc>
      </w:tr>
      <w:tr w:rsidR="00305F72">
        <w:trPr>
          <w:trHeight w:hRule="exact" w:val="375"/>
          <w:jc w:val="center"/>
        </w:trPr>
        <w:tc>
          <w:tcPr>
            <w:tcW w:w="3871" w:type="dxa"/>
            <w:gridSpan w:val="2"/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制冷功率Max：(kW)</w:t>
            </w:r>
          </w:p>
        </w:tc>
        <w:tc>
          <w:tcPr>
            <w:tcW w:w="4488" w:type="dxa"/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22</w:t>
            </w:r>
          </w:p>
        </w:tc>
      </w:tr>
      <w:tr w:rsidR="00305F72">
        <w:trPr>
          <w:trHeight w:hRule="exact" w:val="375"/>
          <w:jc w:val="center"/>
        </w:trPr>
        <w:tc>
          <w:tcPr>
            <w:tcW w:w="3871" w:type="dxa"/>
            <w:gridSpan w:val="2"/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加热丝功率Max：(kW)</w:t>
            </w:r>
          </w:p>
        </w:tc>
        <w:tc>
          <w:tcPr>
            <w:tcW w:w="4488" w:type="dxa"/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30</w:t>
            </w:r>
          </w:p>
        </w:tc>
      </w:tr>
      <w:tr w:rsidR="00305F72">
        <w:trPr>
          <w:trHeight w:hRule="exact" w:val="375"/>
          <w:jc w:val="center"/>
        </w:trPr>
        <w:tc>
          <w:tcPr>
            <w:tcW w:w="1585" w:type="dxa"/>
            <w:vMerge w:val="restart"/>
            <w:vAlign w:val="center"/>
          </w:tcPr>
          <w:p w:rsidR="00305F72" w:rsidRDefault="00305F72">
            <w:pPr>
              <w:rPr>
                <w:rFonts w:asciiTheme="minorEastAsia" w:hAnsiTheme="minorEastAsia" w:cstheme="minorEastAsia" w:hint="eastAsia"/>
                <w:sz w:val="24"/>
              </w:rPr>
            </w:pPr>
          </w:p>
          <w:p w:rsidR="00305F72" w:rsidRDefault="00305F72">
            <w:pPr>
              <w:rPr>
                <w:rFonts w:asciiTheme="minorEastAsia" w:hAnsiTheme="minorEastAsia" w:cstheme="minorEastAsia" w:hint="eastAsia"/>
                <w:sz w:val="24"/>
              </w:rPr>
            </w:pPr>
          </w:p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压缩机</w:t>
            </w:r>
          </w:p>
          <w:p w:rsidR="00305F72" w:rsidRDefault="00305F72">
            <w:pPr>
              <w:rPr>
                <w:rFonts w:asciiTheme="minorEastAsia" w:hAnsiTheme="minorEastAsia" w:cstheme="minorEastAsia" w:hint="eastAsia"/>
                <w:sz w:val="24"/>
              </w:rPr>
            </w:pPr>
          </w:p>
          <w:p w:rsidR="00305F72" w:rsidRDefault="00305F72">
            <w:pPr>
              <w:rPr>
                <w:rFonts w:asciiTheme="minorEastAsia" w:hAnsiTheme="minorEastAsia" w:cstheme="minorEastAsia" w:hint="eastAsia"/>
                <w:sz w:val="24"/>
              </w:rPr>
            </w:pPr>
          </w:p>
          <w:p w:rsidR="00305F72" w:rsidRDefault="00305F72">
            <w:pPr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2286" w:type="dxa"/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型号</w:t>
            </w:r>
          </w:p>
        </w:tc>
        <w:tc>
          <w:tcPr>
            <w:tcW w:w="4488" w:type="dxa"/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6WD-30.2</w:t>
            </w:r>
          </w:p>
        </w:tc>
      </w:tr>
      <w:tr w:rsidR="00305F72">
        <w:trPr>
          <w:trHeight w:hRule="exact" w:val="375"/>
          <w:jc w:val="center"/>
        </w:trPr>
        <w:tc>
          <w:tcPr>
            <w:tcW w:w="1585" w:type="dxa"/>
            <w:vMerge/>
            <w:vAlign w:val="center"/>
          </w:tcPr>
          <w:p w:rsidR="00305F72" w:rsidRDefault="00305F72">
            <w:pPr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2286" w:type="dxa"/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匹数（HP）</w:t>
            </w:r>
          </w:p>
        </w:tc>
        <w:tc>
          <w:tcPr>
            <w:tcW w:w="4488" w:type="dxa"/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30</w:t>
            </w:r>
          </w:p>
        </w:tc>
      </w:tr>
      <w:tr w:rsidR="00305F72">
        <w:trPr>
          <w:trHeight w:hRule="exact" w:val="375"/>
          <w:jc w:val="center"/>
        </w:trPr>
        <w:tc>
          <w:tcPr>
            <w:tcW w:w="1585" w:type="dxa"/>
            <w:vMerge/>
            <w:vAlign w:val="center"/>
          </w:tcPr>
          <w:p w:rsidR="00305F72" w:rsidRDefault="00305F72">
            <w:pPr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2286" w:type="dxa"/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类型</w:t>
            </w:r>
          </w:p>
        </w:tc>
        <w:tc>
          <w:tcPr>
            <w:tcW w:w="4488" w:type="dxa"/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半封闭活塞式</w:t>
            </w:r>
          </w:p>
        </w:tc>
      </w:tr>
      <w:tr w:rsidR="00305F72">
        <w:trPr>
          <w:trHeight w:hRule="exact" w:val="375"/>
          <w:jc w:val="center"/>
        </w:trPr>
        <w:tc>
          <w:tcPr>
            <w:tcW w:w="1585" w:type="dxa"/>
            <w:vMerge/>
            <w:vAlign w:val="center"/>
          </w:tcPr>
          <w:p w:rsidR="00305F72" w:rsidRDefault="00305F72">
            <w:pPr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2286" w:type="dxa"/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冷媒</w:t>
            </w:r>
          </w:p>
        </w:tc>
        <w:tc>
          <w:tcPr>
            <w:tcW w:w="4488" w:type="dxa"/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R22</w:t>
            </w:r>
          </w:p>
        </w:tc>
      </w:tr>
      <w:tr w:rsidR="00305F72">
        <w:trPr>
          <w:trHeight w:hRule="exact" w:val="375"/>
          <w:jc w:val="center"/>
        </w:trPr>
        <w:tc>
          <w:tcPr>
            <w:tcW w:w="1585" w:type="dxa"/>
            <w:vMerge w:val="restart"/>
            <w:tcBorders>
              <w:right w:val="single" w:sz="2" w:space="0" w:color="auto"/>
            </w:tcBorders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制冷量(kW)</w:t>
            </w:r>
          </w:p>
        </w:tc>
        <w:tc>
          <w:tcPr>
            <w:tcW w:w="2286" w:type="dxa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100℃</w:t>
            </w:r>
          </w:p>
        </w:tc>
        <w:tc>
          <w:tcPr>
            <w:tcW w:w="4488" w:type="dxa"/>
            <w:tcBorders>
              <w:bottom w:val="single" w:sz="2" w:space="0" w:color="auto"/>
            </w:tcBorders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110.4</w:t>
            </w:r>
          </w:p>
        </w:tc>
      </w:tr>
      <w:tr w:rsidR="00305F72">
        <w:trPr>
          <w:trHeight w:hRule="exact" w:val="375"/>
          <w:jc w:val="center"/>
        </w:trPr>
        <w:tc>
          <w:tcPr>
            <w:tcW w:w="1585" w:type="dxa"/>
            <w:vMerge/>
            <w:tcBorders>
              <w:right w:val="single" w:sz="2" w:space="0" w:color="auto"/>
            </w:tcBorders>
            <w:vAlign w:val="center"/>
          </w:tcPr>
          <w:p w:rsidR="00305F72" w:rsidRDefault="00305F72">
            <w:pPr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2286" w:type="dxa"/>
            <w:tcBorders>
              <w:left w:val="single" w:sz="2" w:space="0" w:color="auto"/>
              <w:bottom w:val="single" w:sz="2" w:space="0" w:color="auto"/>
            </w:tcBorders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30℃</w:t>
            </w:r>
          </w:p>
        </w:tc>
        <w:tc>
          <w:tcPr>
            <w:tcW w:w="4488" w:type="dxa"/>
            <w:tcBorders>
              <w:bottom w:val="single" w:sz="2" w:space="0" w:color="auto"/>
            </w:tcBorders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110.4</w:t>
            </w:r>
          </w:p>
        </w:tc>
      </w:tr>
      <w:tr w:rsidR="00305F72">
        <w:trPr>
          <w:trHeight w:hRule="exact" w:val="375"/>
          <w:jc w:val="center"/>
        </w:trPr>
        <w:tc>
          <w:tcPr>
            <w:tcW w:w="1585" w:type="dxa"/>
            <w:vMerge/>
            <w:tcBorders>
              <w:right w:val="single" w:sz="2" w:space="0" w:color="auto"/>
            </w:tcBorders>
            <w:vAlign w:val="center"/>
          </w:tcPr>
          <w:p w:rsidR="00305F72" w:rsidRDefault="00305F72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22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0℃</w:t>
            </w:r>
          </w:p>
        </w:tc>
        <w:tc>
          <w:tcPr>
            <w:tcW w:w="4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84.4</w:t>
            </w:r>
          </w:p>
        </w:tc>
      </w:tr>
      <w:tr w:rsidR="00305F72">
        <w:trPr>
          <w:trHeight w:hRule="exact" w:val="375"/>
          <w:jc w:val="center"/>
        </w:trPr>
        <w:tc>
          <w:tcPr>
            <w:tcW w:w="1585" w:type="dxa"/>
            <w:vMerge/>
            <w:tcBorders>
              <w:right w:val="single" w:sz="2" w:space="0" w:color="auto"/>
            </w:tcBorders>
            <w:vAlign w:val="center"/>
          </w:tcPr>
          <w:p w:rsidR="00305F72" w:rsidRDefault="00305F72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22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-5℃</w:t>
            </w:r>
          </w:p>
        </w:tc>
        <w:tc>
          <w:tcPr>
            <w:tcW w:w="4488" w:type="dxa"/>
            <w:tcBorders>
              <w:top w:val="single" w:sz="2" w:space="0" w:color="auto"/>
              <w:bottom w:val="single" w:sz="2" w:space="0" w:color="auto"/>
            </w:tcBorders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69.9</w:t>
            </w:r>
          </w:p>
        </w:tc>
      </w:tr>
      <w:tr w:rsidR="00305F72">
        <w:trPr>
          <w:trHeight w:hRule="exact" w:val="375"/>
          <w:jc w:val="center"/>
        </w:trPr>
        <w:tc>
          <w:tcPr>
            <w:tcW w:w="1585" w:type="dxa"/>
            <w:vMerge/>
            <w:tcBorders>
              <w:right w:val="single" w:sz="2" w:space="0" w:color="auto"/>
            </w:tcBorders>
            <w:vAlign w:val="center"/>
          </w:tcPr>
          <w:p w:rsidR="00305F72" w:rsidRDefault="00305F72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22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-10℃</w:t>
            </w:r>
          </w:p>
        </w:tc>
        <w:tc>
          <w:tcPr>
            <w:tcW w:w="4488" w:type="dxa"/>
            <w:tcBorders>
              <w:top w:val="single" w:sz="2" w:space="0" w:color="auto"/>
            </w:tcBorders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57.3</w:t>
            </w:r>
          </w:p>
        </w:tc>
      </w:tr>
      <w:tr w:rsidR="00305F72">
        <w:trPr>
          <w:trHeight w:hRule="exact" w:val="375"/>
          <w:jc w:val="center"/>
        </w:trPr>
        <w:tc>
          <w:tcPr>
            <w:tcW w:w="1585" w:type="dxa"/>
            <w:vMerge/>
            <w:tcBorders>
              <w:right w:val="single" w:sz="2" w:space="0" w:color="auto"/>
            </w:tcBorders>
            <w:vAlign w:val="center"/>
          </w:tcPr>
          <w:p w:rsidR="00305F72" w:rsidRDefault="00305F72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22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-30℃</w:t>
            </w:r>
          </w:p>
        </w:tc>
        <w:tc>
          <w:tcPr>
            <w:tcW w:w="4488" w:type="dxa"/>
            <w:tcBorders>
              <w:top w:val="single" w:sz="2" w:space="0" w:color="auto"/>
            </w:tcBorders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22.3</w:t>
            </w:r>
          </w:p>
        </w:tc>
      </w:tr>
      <w:tr w:rsidR="00305F72">
        <w:trPr>
          <w:trHeight w:hRule="exact" w:val="375"/>
          <w:jc w:val="center"/>
        </w:trPr>
        <w:tc>
          <w:tcPr>
            <w:tcW w:w="1585" w:type="dxa"/>
            <w:vMerge/>
            <w:tcBorders>
              <w:right w:val="single" w:sz="2" w:space="0" w:color="auto"/>
            </w:tcBorders>
            <w:vAlign w:val="center"/>
          </w:tcPr>
          <w:p w:rsidR="00305F72" w:rsidRDefault="00305F72">
            <w:pPr>
              <w:jc w:val="center"/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228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-40℃</w:t>
            </w:r>
          </w:p>
        </w:tc>
        <w:tc>
          <w:tcPr>
            <w:tcW w:w="4488" w:type="dxa"/>
            <w:tcBorders>
              <w:top w:val="single" w:sz="2" w:space="0" w:color="auto"/>
            </w:tcBorders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11.82</w:t>
            </w:r>
          </w:p>
        </w:tc>
      </w:tr>
      <w:tr w:rsidR="00305F72">
        <w:trPr>
          <w:trHeight w:hRule="exact" w:val="375"/>
          <w:jc w:val="center"/>
        </w:trPr>
        <w:tc>
          <w:tcPr>
            <w:tcW w:w="1585" w:type="dxa"/>
            <w:vMerge w:val="restart"/>
            <w:tcBorders>
              <w:right w:val="single" w:sz="2" w:space="0" w:color="auto"/>
            </w:tcBorders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循环泵</w:t>
            </w:r>
          </w:p>
        </w:tc>
        <w:tc>
          <w:tcPr>
            <w:tcW w:w="2286" w:type="dxa"/>
            <w:tcBorders>
              <w:left w:val="single" w:sz="2" w:space="0" w:color="auto"/>
            </w:tcBorders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功率(KW)</w:t>
            </w:r>
          </w:p>
        </w:tc>
        <w:tc>
          <w:tcPr>
            <w:tcW w:w="4488" w:type="dxa"/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2.2</w:t>
            </w:r>
          </w:p>
        </w:tc>
      </w:tr>
      <w:tr w:rsidR="00305F72">
        <w:trPr>
          <w:trHeight w:hRule="exact" w:val="375"/>
          <w:jc w:val="center"/>
        </w:trPr>
        <w:tc>
          <w:tcPr>
            <w:tcW w:w="1585" w:type="dxa"/>
            <w:vMerge/>
            <w:tcBorders>
              <w:right w:val="single" w:sz="2" w:space="0" w:color="auto"/>
            </w:tcBorders>
            <w:vAlign w:val="center"/>
          </w:tcPr>
          <w:p w:rsidR="00305F72" w:rsidRDefault="00305F72">
            <w:pPr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2286" w:type="dxa"/>
            <w:tcBorders>
              <w:left w:val="single" w:sz="2" w:space="0" w:color="auto"/>
            </w:tcBorders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流量</w:t>
            </w:r>
            <w:r>
              <w:rPr>
                <w:rFonts w:asciiTheme="minorEastAsia" w:hAnsiTheme="minorEastAsia" w:cstheme="minorEastAsia" w:hint="eastAsia"/>
                <w:kern w:val="0"/>
                <w:sz w:val="24"/>
              </w:rPr>
              <w:t>(L/min)</w:t>
            </w:r>
          </w:p>
        </w:tc>
        <w:tc>
          <w:tcPr>
            <w:tcW w:w="4488" w:type="dxa"/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233</w:t>
            </w:r>
          </w:p>
        </w:tc>
      </w:tr>
      <w:tr w:rsidR="00305F72">
        <w:trPr>
          <w:trHeight w:hRule="exact" w:val="375"/>
          <w:jc w:val="center"/>
        </w:trPr>
        <w:tc>
          <w:tcPr>
            <w:tcW w:w="1585" w:type="dxa"/>
            <w:vMerge/>
            <w:tcBorders>
              <w:right w:val="single" w:sz="2" w:space="0" w:color="auto"/>
            </w:tcBorders>
            <w:vAlign w:val="center"/>
          </w:tcPr>
          <w:p w:rsidR="00305F72" w:rsidRDefault="00305F72">
            <w:pPr>
              <w:rPr>
                <w:rFonts w:asciiTheme="minorEastAsia" w:hAnsiTheme="minorEastAsia" w:cstheme="minorEastAsia" w:hint="eastAsia"/>
                <w:sz w:val="24"/>
              </w:rPr>
            </w:pPr>
          </w:p>
        </w:tc>
        <w:tc>
          <w:tcPr>
            <w:tcW w:w="2286" w:type="dxa"/>
            <w:tcBorders>
              <w:left w:val="single" w:sz="2" w:space="0" w:color="auto"/>
            </w:tcBorders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压力(bar)</w:t>
            </w:r>
          </w:p>
        </w:tc>
        <w:tc>
          <w:tcPr>
            <w:tcW w:w="4488" w:type="dxa"/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30</w:t>
            </w:r>
          </w:p>
        </w:tc>
      </w:tr>
      <w:tr w:rsidR="00305F72">
        <w:trPr>
          <w:trHeight w:hRule="exact" w:val="375"/>
          <w:jc w:val="center"/>
        </w:trPr>
        <w:tc>
          <w:tcPr>
            <w:tcW w:w="3871" w:type="dxa"/>
            <w:gridSpan w:val="2"/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外循环接口尺寸</w:t>
            </w:r>
          </w:p>
        </w:tc>
        <w:tc>
          <w:tcPr>
            <w:tcW w:w="4488" w:type="dxa"/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DN25</w:t>
            </w:r>
          </w:p>
        </w:tc>
      </w:tr>
      <w:tr w:rsidR="00305F72">
        <w:trPr>
          <w:trHeight w:hRule="exact" w:val="375"/>
          <w:jc w:val="center"/>
        </w:trPr>
        <w:tc>
          <w:tcPr>
            <w:tcW w:w="3871" w:type="dxa"/>
            <w:gridSpan w:val="2"/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通讯端口(选装）</w:t>
            </w:r>
          </w:p>
        </w:tc>
        <w:tc>
          <w:tcPr>
            <w:tcW w:w="4488" w:type="dxa"/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RS485</w:t>
            </w:r>
          </w:p>
        </w:tc>
      </w:tr>
      <w:tr w:rsidR="00305F72">
        <w:trPr>
          <w:trHeight w:hRule="exact" w:val="375"/>
          <w:jc w:val="center"/>
        </w:trPr>
        <w:tc>
          <w:tcPr>
            <w:tcW w:w="3871" w:type="dxa"/>
            <w:gridSpan w:val="2"/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载热流体储槽材质</w:t>
            </w:r>
          </w:p>
        </w:tc>
        <w:tc>
          <w:tcPr>
            <w:tcW w:w="4488" w:type="dxa"/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SUS304</w:t>
            </w:r>
          </w:p>
        </w:tc>
      </w:tr>
      <w:tr w:rsidR="00305F72">
        <w:trPr>
          <w:trHeight w:hRule="exact" w:val="375"/>
          <w:jc w:val="center"/>
        </w:trPr>
        <w:tc>
          <w:tcPr>
            <w:tcW w:w="3871" w:type="dxa"/>
            <w:gridSpan w:val="2"/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载热流体输送管道、阀门材质</w:t>
            </w:r>
          </w:p>
        </w:tc>
        <w:tc>
          <w:tcPr>
            <w:tcW w:w="4488" w:type="dxa"/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SUS304</w:t>
            </w:r>
          </w:p>
        </w:tc>
      </w:tr>
      <w:tr w:rsidR="00305F72">
        <w:trPr>
          <w:trHeight w:hRule="exact" w:val="375"/>
          <w:jc w:val="center"/>
        </w:trPr>
        <w:tc>
          <w:tcPr>
            <w:tcW w:w="3871" w:type="dxa"/>
            <w:gridSpan w:val="2"/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自身加液量(L)</w:t>
            </w:r>
          </w:p>
        </w:tc>
        <w:tc>
          <w:tcPr>
            <w:tcW w:w="4488" w:type="dxa"/>
            <w:vAlign w:val="center"/>
          </w:tcPr>
          <w:p w:rsidR="00305F72" w:rsidRDefault="00000000">
            <w:pPr>
              <w:rPr>
                <w:rFonts w:asciiTheme="minorEastAsia" w:hAnsiTheme="minorEastAsia" w:cstheme="minorEastAsia" w:hint="eastAsia"/>
                <w:sz w:val="24"/>
              </w:rPr>
            </w:pPr>
            <w:r>
              <w:rPr>
                <w:rFonts w:asciiTheme="minorEastAsia" w:hAnsiTheme="minorEastAsia" w:cstheme="minorEastAsia" w:hint="eastAsia"/>
                <w:sz w:val="24"/>
              </w:rPr>
              <w:t>30</w:t>
            </w:r>
          </w:p>
        </w:tc>
      </w:tr>
    </w:tbl>
    <w:p w:rsidR="00305F72" w:rsidRDefault="00305F72">
      <w:pPr>
        <w:rPr>
          <w:rFonts w:asciiTheme="minorEastAsia" w:hAnsiTheme="minorEastAsia" w:cstheme="minorEastAsia" w:hint="eastAsia"/>
          <w:sz w:val="24"/>
        </w:rPr>
      </w:pPr>
    </w:p>
    <w:sectPr w:rsidR="00305F72">
      <w:headerReference w:type="default" r:id="rId6"/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F53B8" w:rsidRDefault="00CF53B8">
      <w:r>
        <w:separator/>
      </w:r>
    </w:p>
  </w:endnote>
  <w:endnote w:type="continuationSeparator" w:id="0">
    <w:p w:rsidR="00CF53B8" w:rsidRDefault="00CF53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05F72" w:rsidRDefault="00000000">
    <w:pPr>
      <w:pStyle w:val="a4"/>
    </w:pPr>
    <w:r>
      <w:rPr>
        <w:rFonts w:hint="eastAsia"/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F53B8" w:rsidRDefault="00CF53B8">
      <w:r>
        <w:separator/>
      </w:r>
    </w:p>
  </w:footnote>
  <w:footnote w:type="continuationSeparator" w:id="0">
    <w:p w:rsidR="00CF53B8" w:rsidRDefault="00CF53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305F72" w:rsidRDefault="00000000">
    <w:pPr>
      <w:pStyle w:val="a5"/>
    </w:pPr>
    <w:r>
      <w:rPr>
        <w:rFonts w:hint="eastAsia"/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I4MTc1OWRlYTQ1YWRjNGNhNzQ1ZWQ2NGRhN2U1OGMifQ=="/>
  </w:docVars>
  <w:rsids>
    <w:rsidRoot w:val="00F35605"/>
    <w:rsid w:val="001231E7"/>
    <w:rsid w:val="00140841"/>
    <w:rsid w:val="00305F72"/>
    <w:rsid w:val="004E4A01"/>
    <w:rsid w:val="007962EF"/>
    <w:rsid w:val="007F18AE"/>
    <w:rsid w:val="00850B47"/>
    <w:rsid w:val="00A825C2"/>
    <w:rsid w:val="00B42C71"/>
    <w:rsid w:val="00BD61BC"/>
    <w:rsid w:val="00CF53B8"/>
    <w:rsid w:val="00D27518"/>
    <w:rsid w:val="00DA5EC7"/>
    <w:rsid w:val="00DB1D45"/>
    <w:rsid w:val="00E87077"/>
    <w:rsid w:val="00F21D96"/>
    <w:rsid w:val="00F35605"/>
    <w:rsid w:val="00FA53D4"/>
    <w:rsid w:val="03F62D4E"/>
    <w:rsid w:val="05D20A53"/>
    <w:rsid w:val="0C634517"/>
    <w:rsid w:val="16BA7F73"/>
    <w:rsid w:val="1A60624B"/>
    <w:rsid w:val="3508110E"/>
    <w:rsid w:val="386F34DF"/>
    <w:rsid w:val="3F2567C1"/>
    <w:rsid w:val="413E11BA"/>
    <w:rsid w:val="45720CA6"/>
    <w:rsid w:val="45EB634F"/>
    <w:rsid w:val="4C302C39"/>
    <w:rsid w:val="59F059EE"/>
    <w:rsid w:val="6AEB3BA2"/>
    <w:rsid w:val="732D7C3F"/>
    <w:rsid w:val="737F380E"/>
    <w:rsid w:val="7B401243"/>
    <w:rsid w:val="7DC915FE"/>
    <w:rsid w:val="7F8B6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6280AA49-5B6A-4AD9-B0A5-238D08DB6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rFonts w:ascii="宋体" w:eastAsia="宋体" w:hAnsi="宋体" w:cs="宋体"/>
      <w:sz w:val="24"/>
      <w:lang w:val="zh-CN" w:bidi="zh-CN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Arial" w:hAnsi="Arial" w:cs="Arial"/>
      <w:kern w:val="0"/>
      <w:sz w:val="24"/>
    </w:rPr>
  </w:style>
  <w:style w:type="table" w:styleId="a6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pPr>
      <w:spacing w:before="92"/>
      <w:jc w:val="center"/>
    </w:pPr>
    <w:rPr>
      <w:rFonts w:ascii="宋体" w:eastAsia="宋体" w:hAnsi="宋体" w:cs="宋体"/>
      <w:lang w:val="zh-CN" w:bidi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Administrator.DESKTOP-VCGHN62</dc:creator>
  <cp:lastModifiedBy>Admin</cp:lastModifiedBy>
  <cp:revision>12</cp:revision>
  <dcterms:created xsi:type="dcterms:W3CDTF">2014-10-29T12:08:00Z</dcterms:created>
  <dcterms:modified xsi:type="dcterms:W3CDTF">2024-08-23T09:58:00Z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56534EAD47DB4109A5936657A25EA5ED</vt:lpwstr>
  </property>
</Properties>
</file>