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4"/>
          <w:szCs w:val="34"/>
        </w:rPr>
        <w:t xml:space="preserve">AI 与传统方法在染色体微缺失病主效基因筛选中的研究进展</w:t>
      </w:r>
    </w:p>
    <w:p>
      <w:pPr>
        <w:spacing w:after="160"/>
        <w:jc w:val="center"/>
      </w:pPr>
      <w:r>
        <w:rPr>
          <w:color w:val="4477AA"/>
          <w:sz w:val="26"/>
          <w:szCs w:val="26"/>
        </w:rPr>
        <w:t xml:space="preserve">文献检索与汇报文档</w:t>
      </w:r>
    </w:p>
    <w:p>
      <w:pPr>
        <w:spacing w:after="160"/>
        <w:jc w:val="center"/>
      </w:pPr>
      <w:r>
        <w:rPr>
          <w:sz w:val="22"/>
          <w:szCs w:val="22"/>
        </w:rPr>
        <w:t xml:space="preserve">检索日期：2025-09-01</w:t>
      </w:r>
    </w:p>
    <w:p>
      <w:pPr>
        <w:spacing w:after="3200"/>
        <w:jc w:val="center"/>
      </w:pPr>
      <w:r>
        <w:rPr>
          <w:b/>
          <w:bCs/>
          <w:sz w:val="22"/>
          <w:szCs w:val="22"/>
        </w:rPr>
        <w:t xml:space="preserve">检索来源汇总</w:t>
      </w:r>
    </w:p>
    <w:p>
      <w:r>
        <w:rPr>
          <w:sz w:val="20"/>
          <w:szCs w:val="20"/>
        </w:rPr>
        <w:t xml:space="preserve">数据库与渠道：web 学术聚合检索（PubMed/PMC、Springer、ScienceDirect、Wiley、PLOS、Frontiers、bioRxiv），并以 Crossref、PubMed E-utilities、Europe PMC 逐条 DOI 验证；共收录 30 篇文献。Web of Science 与 Google Scholar 因无 API 访问，通过聚合检索间接覆盖。</w:t>
      </w:r>
    </w:p>
    <w:p>
      <w:r>
        <w:br w:type="page"/>
      </w:r>
    </w:p>
    <w:p>
      <w:sdt>
        <w:sdtPr>
          <w:alias w:val="目录"/>
        </w:sdtPr>
        <w:sdtContent>
          <w:p>
            <w:r>
              <w:fldChar w:fldCharType="begin" w:dirty="true"/>
              <w:instrText xml:space="preserve">TOC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r>
        <w:rPr>
          <w:b/>
          <w:bCs/>
        </w:rPr>
        <w:t xml:space="preserve">一、研究背景与概念界定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染色体微缺失病（chromosomal microdeletion syndromes）是由基因组中数 kb 至数 Mb 级亚显微结构缺失导致的一类遗传疾病。其典型特征包括发育迟缓、先天性心脏缺陷、面部畸形及神经精神表型等，经典代表有 22q11.2 缺失综合征（DiGeorge/VCFS）、Williams-Beuren 综合征（7q11.23）、16p11.2 缺失/重复综合征等。由于微缺失区间往往包含多个基因，如何在多个候选基因中识别真正驱动表型的“主效基因”（dosage-sensitive driver genes，即单倍剂量不足即可致病的 haploinsufficient genes），是该领域的核心科学问题。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本报告基于对 30 篇代表性文献的检索与验证，系统梳理两大类方法学路径：（1）非 AI 的经典方法——最小重叠区（SRO）定位、同源动物模型功能验证、群体遗传约束评分（pLI/LOEUF）、专家证据评级（ClinGen dosage curation）；（2）AI/机器学习方法——haploinsufficiency (HI) 预测、CNV 致病性分类、网络基因优先级排序，及大语言模型辅助的文献筛查。检索日期为 2025-09-01，所有 DOI 均经 Crossref / PubMed 逐条核验。</w:t>
      </w:r>
    </w:p>
    <w:p>
      <w:r>
        <w:rPr>
          <w:b/>
          <w:bCs/>
        </w:rPr>
        <w:t xml:space="preserve">二、主效基因筛选的方法学体系</w:t>
      </w:r>
    </w:p>
    <w:p>
      <w:r>
        <w:rPr>
          <w:b/>
          <w:bCs/>
        </w:rPr>
        <w:t xml:space="preserve">2.1 非 AI（经典）方法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Smallest Region of Overlap (SRO)：</w:t>
      </w:r>
      <w:r>
        <w:rPr>
          <w:b w:val="false"/>
          <w:bCs w:val="false"/>
          <w:i w:val="false"/>
          <w:iCs w:val="false"/>
        </w:rPr>
        <w:t xml:space="preserve">对多个患者缺失区间做重叠交集，锁定最小共有区间，并优先关注其中候选基因（如 Ewart et al. 1993 确认 ELN 为 Williams 综合征致病基因；Bagheri et al. 2016 在 2p15p16.1 中进一步整合基因组与功能数据）。这是人类遗传学数十年确立的基准策略。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动物模型功能验证：</w:t>
      </w:r>
      <w:r>
        <w:rPr>
          <w:b w:val="false"/>
          <w:bCs w:val="false"/>
          <w:i w:val="false"/>
          <w:iCs w:val="false"/>
        </w:rPr>
        <w:t xml:space="preserve">用同源区域的小鼠敲除或时序过表达验证候选基因的剂量效应。代表作：Merscher et al. (2001, Cell) 与 Jerome &amp; Papaioannou (2001, Nat Genet) 以小鼠遗传学锁定 TBX1 为 22q11.2 主效基因；Lindsay et al. (2001, Nature) 进一步证实 Tbx1 单倍不足足以导致主动脉弓缺陷。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高通量体内筛选：</w:t>
      </w:r>
      <w:r>
        <w:rPr>
          <w:b w:val="false"/>
          <w:bCs w:val="false"/>
          <w:i w:val="false"/>
          <w:iCs w:val="false"/>
        </w:rPr>
        <w:t xml:space="preserve">对整个缺失区间的全部基因进行系统性过表达/敲低。Golzio et al. (2012, Nature) 对 16p11.2 区间 29 个基因在斑马鱼胚胎逐一测试，唯一重现镜像头颅表型的是 KCTD13，为全区间无偏筛选的范式。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群体遗传约束评分：</w:t>
      </w:r>
      <w:r>
        <w:rPr>
          <w:b w:val="false"/>
          <w:bCs w:val="false"/>
          <w:i w:val="false"/>
          <w:iCs w:val="false"/>
        </w:rPr>
        <w:t xml:space="preserve">通过观察/期望变异数模型推断基因对 LOF 的耐受性。Samocha et al. (2014) 提出 de novo 突变框架，ExAC 的 pLI（Lek et al. 2016）与 gnomAD 的 LOEUF（Karczewski et al. 2020）成为通用的非 AI 基线；Collins et al. (2022, Cell) 以近百万个体的罕见 CNV 集成 ML 构建全基因组剂量敏感图谱，识别 3,635 个高剂量敏感基因。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专家证据评级：</w:t>
      </w:r>
      <w:r>
        <w:rPr>
          <w:b w:val="false"/>
          <w:bCs w:val="false"/>
          <w:i w:val="false"/>
          <w:iCs w:val="false"/>
        </w:rPr>
        <w:t xml:space="preserve">ClinGen Dosage Sensitivity 工作组建立的人工证据评分（haploinsufficiency score 0–3）是公认的人工金标准，也是计算预测的验证基准。</w:t>
      </w:r>
    </w:p>
    <w:p>
      <w:r>
        <w:rPr>
          <w:b/>
          <w:bCs/>
        </w:rPr>
        <w:t xml:space="preserve">2.2 AI / 机器学习方法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Haploinsufficiency (HI) 预测：</w:t>
      </w:r>
      <w:r>
        <w:rPr>
          <w:b w:val="false"/>
          <w:bCs w:val="false"/>
          <w:i w:val="false"/>
          <w:iCs w:val="false"/>
        </w:rPr>
        <w:t xml:space="preserve">Huang et al. (2010, PLoS Genet) 是奠基之作，用逻辑回归整合基因组、进化与功能特征；HIPred（Shihab et al. 2017）刻意去除 PPI 网络特征以降低研究充分度偏倚；DosaCNV（Liu &amp; Huang 2023，bioRxiv 预印本）采用深度多实例学习联合预测基因 HI 与缺失致病性；DeepLOF（LaPolice &amp; Huang 2023）为无监督贝叶斯深度框架，尤其擅长短基因与小区间缺失。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深度基因优先级排序：</w:t>
      </w:r>
      <w:r>
        <w:rPr>
          <w:b w:val="false"/>
          <w:bCs w:val="false"/>
          <w:i w:val="false"/>
          <w:iCs w:val="false"/>
        </w:rPr>
        <w:t xml:space="preserve">DeepGenePrior（Rahaie et al. 2023, PLoS Comput Biol）针对脑疾病相关 CNV 做深度学习排序；Middelkamp et al. (2019, Genome Med) 将 HPO 表型匹配 + 染色质互作 + 功能预测联合用于 de novo 结构变异主效基因筛选（16/39 = 41%）。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CNV 级致病性分类：</w:t>
      </w:r>
      <w:r>
        <w:rPr>
          <w:b w:val="false"/>
          <w:bCs w:val="false"/>
          <w:i w:val="false"/>
          <w:iCs w:val="false"/>
        </w:rPr>
        <w:t xml:space="preserve">CNVoyant（Schuetz et al. 2024）、MarCNV（Sládeček et al. 2023，指南+ML 混合）、dbCNV（Lv et al. 2023）等将 ACMG 指南与机器学习结合；PathoSV（Liu et al. 2026 ahead-of-print）引入转录组组织特异性剂量效应。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大语言模型辅助文献筛查：</w:t>
      </w:r>
      <w:r>
        <w:rPr>
          <w:b w:val="false"/>
          <w:bCs w:val="false"/>
          <w:i w:val="false"/>
          <w:iCs w:val="false"/>
        </w:rPr>
        <w:t xml:space="preserve">GETgene-AI（Gu &amp; Chen 2025，癌症领域）展示了“网络优先级 + GPT-4o 文献筛查”模式，为微缺失主效基因筛选提供了可迁移的范式（目前仅概念验证，无直接证据）。</w:t>
      </w:r>
    </w:p>
    <w:p>
      <w:r>
        <w:rPr>
          <w:b/>
          <w:bCs/>
        </w:rPr>
        <w:t xml:space="preserve">三、代表方法及主要结果对比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018"/>
        <w:gridCol w:w="042"/>
        <w:gridCol w:w="028"/>
        <w:gridCol w:w="012"/>
      </w:tblGrid>
      <w:tr>
        <w:tc>
          <w:tcPr>
            <w:tcW w:type="pct" w:w="18%"/>
            <w:shd w:fill="D8E4EC" w:val="clear"/>
          </w:tcPr>
          <w:p>
            <w:r>
              <w:rPr>
                <w:b/>
                <w:bCs/>
                <w:sz w:val="18"/>
                <w:szCs w:val="18"/>
              </w:rPr>
              <w:t xml:space="preserve">文献编号</w:t>
            </w:r>
          </w:p>
        </w:tc>
        <w:tc>
          <w:tcPr>
            <w:tcW w:type="pct" w:w="42%"/>
            <w:shd w:fill="D8E4EC" w:val="clear"/>
          </w:tcPr>
          <w:p>
            <w:r>
              <w:rPr>
                <w:b/>
                <w:bCs/>
                <w:sz w:val="18"/>
                <w:szCs w:val="18"/>
              </w:rPr>
              <w:t xml:space="preserve">核心发现 / 代表结论</w:t>
            </w:r>
          </w:p>
        </w:tc>
        <w:tc>
          <w:tcPr>
            <w:tcW w:type="pct" w:w="28%"/>
            <w:shd w:fill="D8E4EC" w:val="clear"/>
          </w:tcPr>
          <w:p>
            <w:r>
              <w:rPr>
                <w:b/>
                <w:bCs/>
                <w:sz w:val="18"/>
                <w:szCs w:val="18"/>
              </w:rPr>
              <w:t xml:space="preserve">方法类别</w:t>
            </w:r>
          </w:p>
        </w:tc>
        <w:tc>
          <w:tcPr>
            <w:tcW w:type="pct" w:w="12%"/>
            <w:shd w:fill="D8E4EC" w:val="clear"/>
          </w:tcPr>
          <w:p>
            <w:r>
              <w:rPr>
                <w:b/>
                <w:bCs/>
                <w:sz w:val="18"/>
                <w:szCs w:val="18"/>
              </w:rPr>
              <w:t xml:space="preserve">年份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Ewart 1993 (Nat Genet) — ELN 定位；Williams 综合征首个主效基因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经典 SRO/定位克隆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1993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Merscher 2001 (Cell)；Jerome &amp; Papaioannou 2001 (Nat Genet)；Lindsay 2001 (Nature) — 三篇小鼠研究共同确立 TBX1 为 22q11.2 主效基因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动物模型功能验证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2001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Golzio 2012 (Nature) — 斑马鱼系统筛选 16p11.2 全部 29 个基因 → KCTD13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高通量体内筛选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Lek 2016 (Nature, ExAC pLI)；Karczewski 2020 (Nature, LOEUF)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群体遗传约束评分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2016/2020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Collins 2022 (Cell) — 近百万个体罕见 CNV 集成 ML 图谱；3,635 个敏感基因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经验图谱 + 集成 ML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16–18, 20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Huang 2010；HIPred 2017；DosaCNV 2023（预印本）；DeepLOF 2023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ML / 深度学习 HI 预测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2010–2023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19, 25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DeepGenePrior 2023；Middelkamp 2019（表型+HPO+染色质）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深度排名 / 表型整合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2019–2023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22–24, 26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CNVoyant 2024；MarCNV 2023；dbCNV 2023；PathoSV 2026</w:t>
            </w:r>
          </w:p>
        </w:tc>
        <w:tc>
          <w:tcPr>
            <w:tcW w:type="pct" w:w="2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CNV 致病性 ML 分类</w:t>
            </w:r>
          </w:p>
        </w:tc>
        <w:tc>
          <w:tcPr>
            <w:tcW w:type="pct" w:w="12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2023–2026</w:t>
            </w:r>
          </w:p>
        </w:tc>
      </w:tr>
    </w:tbl>
    <w:p>
      <w:pPr>
        <w:spacing w:after="160"/>
      </w:pPr>
    </w:p>
    <w:p>
      <w:r>
        <w:rPr>
          <w:b/>
          <w:bCs/>
        </w:rPr>
        <w:t xml:space="preserve">四、里程碑式的主效基因判定案例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22q11.2 / TBX1：</w:t>
      </w:r>
      <w:r>
        <w:rPr>
          <w:b w:val="false"/>
          <w:bCs w:val="false"/>
          <w:i w:val="false"/>
          <w:iCs w:val="false"/>
        </w:rPr>
        <w:t xml:space="preserve">三项 2001 年的小鼠研究（Merscher Cell、Jerome &amp; Papaioannou Nat Genet、Lindsay Nature）以同源缺失与单基因敲除确认 TBX1 为心血管表型主效基因。后续 Motahari et al. (2019) 综述提醒：区间约 40 个蛋白编码基因对全表型均有贡献，TBX1 是必要但非充分条件。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7q11.23 / ELN：</w:t>
      </w:r>
      <w:r>
        <w:rPr>
          <w:b w:val="false"/>
          <w:bCs w:val="false"/>
          <w:i w:val="false"/>
          <w:iCs w:val="false"/>
        </w:rPr>
        <w:t xml:space="preserve">Ewart et al. (1993) 通过 SRO 与荧光原位杂交证明衰老蛋白基因 ELN 半合子缺失导致 Williams 综合征的主动脉上瓣狭窄，是 SRO 策略的经典案例。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16p11.2 / KCTD13：</w:t>
      </w:r>
      <w:r>
        <w:rPr>
          <w:b w:val="false"/>
          <w:bCs w:val="false"/>
          <w:i w:val="false"/>
          <w:iCs w:val="false"/>
        </w:rPr>
        <w:t xml:space="preserve">Golzio et al. (2012) 对 29 个区间基因的系统性斑马鱼筛选，为 CNV 区间的全基因功能筛查范式。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2p15p16.1 / 多候选者：</w:t>
      </w:r>
      <w:r>
        <w:rPr>
          <w:b w:val="false"/>
          <w:bCs w:val="false"/>
          <w:i w:val="false"/>
          <w:iCs w:val="false"/>
        </w:rPr>
        <w:t xml:space="preserve">Bagheri et al. (2016) 与 Miceli et al. (2023) 指出 BCL11A、REL、USP34、XPO1 四个强候选基因，但存在不完全外显和基因互作，提示单主效假设并不总适用。</w:t>
      </w:r>
    </w:p>
    <w:p>
      <w:r>
        <w:rPr>
          <w:b/>
          <w:bCs/>
        </w:rPr>
        <w:t xml:space="preserve">五、主要共识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微缺失病多数不是单基因病：通常有一个主效基因（TBX1、ELN、KCTD13）加区间内修饰基因；全区间功能化往往揭示多候选者。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群体遗传约束（pLI/LOEUF）与 ClinGen 人工评级构成非 AI 基准；Collins 2022 等大规模经验图谱补充了经验性基因级验证。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AI/ML 预测（HI、CNV、网络排名）与上述基准大体一致，并在短基因、小区间、以及规模化上提供增益。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指南+ML 混合策略（MarCNV）优于单一纯 ML 或纯指南路径，提示临床级 CNV 判定应向可解释的混合系统收敛。</w:t>
      </w:r>
    </w:p>
    <w:p>
      <w:r>
        <w:rPr>
          <w:b/>
          <w:bCs/>
        </w:rPr>
        <w:t xml:space="preserve">六、争议与冲突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单主效 vs 寡基因（oligogenic）争论：TBX1 对 22q11.2 的必要性被广泛认可，但 Motahari 2019 与 Miceli 2023 等均表明区间内非主效基因贡献不可忽视。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研究充分度 / 标签偏倚：HIPred、DeepGenePrior、DeepLOF 均提醒监督模型继承训练标签中的确证偏倚（ascertainment bias），且 PPI 网络特征进一步放大该偏倚；报告的高 AUC 往往依赖与训练数据来源重叠的验证集。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AI 工具的自我评估循环：多数 CNV 分类工具用与公开数据库重叠的基准自评；MarCNV 表明混合策略更优，挑战纯深度学习的优越性。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预印本成熟度：DosaCNV 在检索日时仅存于 bioRxiv；其 claimed improvement 尚缺同行评议。</w:t>
      </w:r>
    </w:p>
    <w:p>
      <w:r>
        <w:rPr>
          <w:b/>
          <w:bCs/>
        </w:rPr>
        <w:t xml:space="preserve">七、研究空白与展望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机制桥梁缺失：计算评分可以提名剂量敏感基因，但将其与特定表型关联仍需动物/功能实验（zebrafish/mouse）；无端到端自动管线。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组织特异性刚起步：PathoSV 引入转录组组织特异性剂量效应，但主流 HI 预测仍组织无关，而微缺失表型具组织特异性。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非编码/调控元件的驱动作用欠模型化：区间内 enhancer、拓扑结构域影响尚未纳入常规筛选。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评价标准缺位：尚无独立、去重叠的基准用于微缺失主效基因预测；多数工具自评来自公开重叠集。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LLM 辅助筛查尚未验证：在癌症靶点优先级中已有示范（GETgene-AI），但针对微缺失主效基因的系统性验证仍属空白。</w:t>
      </w:r>
    </w:p>
    <w:p>
      <w:r>
        <w:rPr>
          <w:b/>
          <w:bCs/>
        </w:rPr>
        <w:t xml:space="preserve">八、方法选择建议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对“个例级缺失区间”优先使用 SRO + ClinGen dosage + pLI/LOEUF 的组合判定（经典路径）。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对全基因组排序或短基因/小区间，结合 DeepLOF / DosaCNV 等无监督深度方法，辅以功能注释排序（DeepGenePrior）。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临床 CNV 报告建议采用指南+ML 混合（MarCNV 范式），并用可解释性方法（CNVoyant）提高可审查性。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对候选主效基因，最终仍需功能验证（斑马鱼/小鼠）来落地。</w:t>
      </w:r>
    </w:p>
    <w:p>
      <w:r>
        <w:rPr>
          <w:b/>
          <w:bCs/>
        </w:rPr>
        <w:t xml:space="preserve">九、本检索的局限声明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本报告为 scoping 式文献检索，而非完整 PRISMA 系统综述；未采用双筛双审，不记录每库返回数。Web of Science 与 Google Scholar 因无直接 API 访问，改用聚合学术 web 检索间接覆盖。所有 30 篇文献的 DOI 均已通过 Crossref/PubMed 验证；常见误引已更正（Cell 2001 的 TBX1 论文之首作者为 Merscher 而非 Lindsay；Wright 2015 的 DDD 论文发表于 The Lancet 而非 Nature Genetics）。</w:t>
      </w:r>
    </w:p>
    <w:p>
      <w:r>
        <w:rPr>
          <w:b/>
          <w:bCs/>
        </w:rPr>
        <w:t xml:space="preserve">十、参考文献</w:t>
      </w:r>
    </w:p>
    <w:p>
      <w:pPr>
        <w:spacing w:after="60"/>
      </w:pPr>
      <w:r>
        <w:rPr>
          <w:b/>
          <w:bCs/>
        </w:rPr>
        <w:t xml:space="preserve">[1] </w:t>
      </w:r>
      <w:r>
        <w:rPr>
          <w:sz w:val="20"/>
          <w:szCs w:val="20"/>
        </w:rPr>
        <w:t xml:space="preserve">Ewart AK, Morris CA, Atkinson D, et al. (1993). Hemizygosity at the elastin locus in a developmental disorder, Williams syndrome. Nat Genet 5:11–16. DOI:10.1038/ng0993-11</w:t>
      </w:r>
    </w:p>
    <w:p>
      <w:pPr>
        <w:spacing w:after="60"/>
      </w:pPr>
      <w:r>
        <w:rPr>
          <w:b/>
          <w:bCs/>
        </w:rPr>
        <w:t xml:space="preserve">[2] </w:t>
      </w:r>
      <w:r>
        <w:rPr>
          <w:sz w:val="20"/>
          <w:szCs w:val="20"/>
        </w:rPr>
        <w:t xml:space="preserve">Osborne LR et al. (1996). Identification of genes from a 500-kb region at 7q11.23. Genomics 35:328–337. DOI:10.1006/geno.1996.0469</w:t>
      </w:r>
    </w:p>
    <w:p>
      <w:pPr>
        <w:spacing w:after="60"/>
      </w:pPr>
      <w:r>
        <w:rPr>
          <w:b/>
          <w:bCs/>
        </w:rPr>
        <w:t xml:space="preserve">[3] </w:t>
      </w:r>
      <w:r>
        <w:rPr>
          <w:sz w:val="20"/>
          <w:szCs w:val="20"/>
        </w:rPr>
        <w:t xml:space="preserve">Merscher S et al. (2001). TBX1 is responsible for cardiovascular defects in VCFS/DG. Cell 104:619–629. DOI:10.1016/S0092-8674(01)00247-1</w:t>
      </w:r>
    </w:p>
    <w:p>
      <w:pPr>
        <w:spacing w:after="60"/>
      </w:pPr>
      <w:r>
        <w:rPr>
          <w:b/>
          <w:bCs/>
        </w:rPr>
        <w:t xml:space="preserve">[4] </w:t>
      </w:r>
      <w:r>
        <w:rPr>
          <w:sz w:val="20"/>
          <w:szCs w:val="20"/>
        </w:rPr>
        <w:t xml:space="preserve">Jerome LA, Papaioannou VE (2001). DiGeorge syndrome phenotype in mice mutant for Tbx1. Nat Genet 27:286–291. DOI:10.1038/85845</w:t>
      </w:r>
    </w:p>
    <w:p>
      <w:pPr>
        <w:spacing w:after="60"/>
      </w:pPr>
      <w:r>
        <w:rPr>
          <w:b/>
          <w:bCs/>
        </w:rPr>
        <w:t xml:space="preserve">[5] </w:t>
      </w:r>
      <w:r>
        <w:rPr>
          <w:sz w:val="20"/>
          <w:szCs w:val="20"/>
        </w:rPr>
        <w:t xml:space="preserve">Lindsay EA et al. (2001). Tbx1 haploinsufficiency in the DiGeorge syndrome region. Nature 410:97–101. DOI:10.1038/35065105</w:t>
      </w:r>
    </w:p>
    <w:p>
      <w:pPr>
        <w:spacing w:after="60"/>
      </w:pPr>
      <w:r>
        <w:rPr>
          <w:b/>
          <w:bCs/>
        </w:rPr>
        <w:t xml:space="preserve">[6] </w:t>
      </w:r>
      <w:r>
        <w:rPr>
          <w:sz w:val="20"/>
          <w:szCs w:val="20"/>
        </w:rPr>
        <w:t xml:space="preserve">Golzio C et al. (2012). KCTD13 is a major driver of mirrored neuroanatomical phenotypes of the 16p11.2 CNV. Nature 485:363–367. DOI:10.1038/nature11091</w:t>
      </w:r>
    </w:p>
    <w:p>
      <w:pPr>
        <w:spacing w:after="60"/>
      </w:pPr>
      <w:r>
        <w:rPr>
          <w:b/>
          <w:bCs/>
        </w:rPr>
        <w:t xml:space="preserve">[7] </w:t>
      </w:r>
      <w:r>
        <w:rPr>
          <w:sz w:val="20"/>
          <w:szCs w:val="20"/>
        </w:rPr>
        <w:t xml:space="preserve">Bagheri H et al. (2016). Identifying candidate genes for 2p15p16.1 microdeletion. JCI Insight 1:e85461. DOI:10.1172/jci.insight.85461</w:t>
      </w:r>
    </w:p>
    <w:p>
      <w:pPr>
        <w:spacing w:after="60"/>
      </w:pPr>
      <w:r>
        <w:rPr>
          <w:b/>
          <w:bCs/>
        </w:rPr>
        <w:t xml:space="preserve">[8] </w:t>
      </w:r>
      <w:r>
        <w:rPr>
          <w:sz w:val="20"/>
          <w:szCs w:val="20"/>
        </w:rPr>
        <w:t xml:space="preserve">Miceli M et al. (2023). Trait-driven analysis of 2p15p16.1 microdeletion. Genes &amp; Genomics 45:495–508. DOI:10.1007/s13258-023-01369-7</w:t>
      </w:r>
    </w:p>
    <w:p>
      <w:pPr>
        <w:spacing w:after="60"/>
      </w:pPr>
      <w:r>
        <w:rPr>
          <w:b/>
          <w:bCs/>
        </w:rPr>
        <w:t xml:space="preserve">[9] </w:t>
      </w:r>
      <w:r>
        <w:rPr>
          <w:sz w:val="20"/>
          <w:szCs w:val="20"/>
        </w:rPr>
        <w:t xml:space="preserve">Samocha KE et al. (2014). A framework for the interpretation of de novo mutation. Nat Genet 46:944–950. DOI:10.1038/ng.3050</w:t>
      </w:r>
    </w:p>
    <w:p>
      <w:pPr>
        <w:spacing w:after="60"/>
      </w:pPr>
      <w:r>
        <w:rPr>
          <w:b/>
          <w:bCs/>
        </w:rPr>
        <w:t xml:space="preserve">[10] </w:t>
      </w:r>
      <w:r>
        <w:rPr>
          <w:sz w:val="20"/>
          <w:szCs w:val="20"/>
        </w:rPr>
        <w:t xml:space="preserve">Lek M et al. (ExAC, 2016). Analysis of protein-coding genetic variation in 60,706 humans. Nature 536:285–291. DOI:10.1038/nature19057</w:t>
      </w:r>
    </w:p>
    <w:p>
      <w:pPr>
        <w:spacing w:after="60"/>
      </w:pPr>
      <w:r>
        <w:rPr>
          <w:b/>
          <w:bCs/>
        </w:rPr>
        <w:t xml:space="preserve">[11] </w:t>
      </w:r>
      <w:r>
        <w:rPr>
          <w:sz w:val="20"/>
          <w:szCs w:val="20"/>
        </w:rPr>
        <w:t xml:space="preserve">Karczewski KJ et al. (2020). The mutational constraint spectrum quantified from variation in 141,456 humans. Nature 581:434–443. DOI:10.1038/s41586-020-2308-7</w:t>
      </w:r>
    </w:p>
    <w:p>
      <w:pPr>
        <w:spacing w:after="60"/>
      </w:pPr>
      <w:r>
        <w:rPr>
          <w:b/>
          <w:bCs/>
        </w:rPr>
        <w:t xml:space="preserve">[12] </w:t>
      </w:r>
      <w:r>
        <w:rPr>
          <w:sz w:val="20"/>
          <w:szCs w:val="20"/>
        </w:rPr>
        <w:t xml:space="preserve">Wright CF et al. (DDD, 2015). Genetic diagnosis of developmental disorders in the DDD study. Lancet 385:1305–1314. DOI:10.1016/S0140-6736(14)61705-0</w:t>
      </w:r>
    </w:p>
    <w:p>
      <w:pPr>
        <w:spacing w:after="60"/>
      </w:pPr>
      <w:r>
        <w:rPr>
          <w:b/>
          <w:bCs/>
        </w:rPr>
        <w:t xml:space="preserve">[13] </w:t>
      </w:r>
      <w:r>
        <w:rPr>
          <w:sz w:val="20"/>
          <w:szCs w:val="20"/>
        </w:rPr>
        <w:t xml:space="preserve">Deciphering Developmental Disorders Study (2017). Prevalence and architecture of de novo mutations in developmental disorders. Nature 542:433–438. DOI:10.1038/nature21062</w:t>
      </w:r>
    </w:p>
    <w:p>
      <w:pPr>
        <w:spacing w:after="60"/>
      </w:pPr>
      <w:r>
        <w:rPr>
          <w:b/>
          <w:bCs/>
        </w:rPr>
        <w:t xml:space="preserve">[14] </w:t>
      </w:r>
      <w:r>
        <w:rPr>
          <w:sz w:val="20"/>
          <w:szCs w:val="20"/>
        </w:rPr>
        <w:t xml:space="preserve">ClinGen Dosage Sensitivity SOP v2 (URL): https://clinicalgenome.org/docs/dosage-sensitivity-curation-sop-v2/</w:t>
      </w:r>
    </w:p>
    <w:p>
      <w:pPr>
        <w:spacing w:after="60"/>
      </w:pPr>
      <w:r>
        <w:rPr>
          <w:b/>
          <w:bCs/>
        </w:rPr>
        <w:t xml:space="preserve">[15] </w:t>
      </w:r>
      <w:r>
        <w:rPr>
          <w:sz w:val="20"/>
          <w:szCs w:val="20"/>
        </w:rPr>
        <w:t xml:space="preserve">McDonald-McGinn DM et al. (1993–). 22q11.2 Deletion Syndrome. GeneReviews. https://www.ncbi.nlm.nih.gov/books/NBK1523/</w:t>
      </w:r>
    </w:p>
    <w:p>
      <w:pPr>
        <w:spacing w:after="60"/>
      </w:pPr>
      <w:r>
        <w:rPr>
          <w:b/>
          <w:bCs/>
        </w:rPr>
        <w:t xml:space="preserve">[16] </w:t>
      </w:r>
      <w:r>
        <w:rPr>
          <w:sz w:val="20"/>
          <w:szCs w:val="20"/>
        </w:rPr>
        <w:t xml:space="preserve">Huang N, Lee I, Marcotte EM, Hurles ME (2010). Characterising and predicting haploinsufficiency. PLoS Genet 6:e1001154. DOI:10.1371/journal.pgen.1001154</w:t>
      </w:r>
    </w:p>
    <w:p>
      <w:pPr>
        <w:spacing w:after="60"/>
      </w:pPr>
      <w:r>
        <w:rPr>
          <w:b/>
          <w:bCs/>
        </w:rPr>
        <w:t xml:space="preserve">[17] </w:t>
      </w:r>
      <w:r>
        <w:rPr>
          <w:sz w:val="20"/>
          <w:szCs w:val="20"/>
        </w:rPr>
        <w:t xml:space="preserve">Shihab HA, Rogers MF, Campbell C, Gaunt TR (2017). HIPred. Bioinformatics 33:1751–1757. DOI:10.1093/bioinformatics/btx028</w:t>
      </w:r>
    </w:p>
    <w:p>
      <w:pPr>
        <w:spacing w:after="60"/>
      </w:pPr>
      <w:r>
        <w:rPr>
          <w:b/>
          <w:bCs/>
        </w:rPr>
        <w:t xml:space="preserve">[18] </w:t>
      </w:r>
      <w:r>
        <w:rPr>
          <w:sz w:val="20"/>
          <w:szCs w:val="20"/>
        </w:rPr>
        <w:t xml:space="preserve">Liu Z, Huang YF (2023). Deep multiple-instance learning (DosaCNV). bioRxiv. DOI:10.1101/2023.08.29.555384</w:t>
      </w:r>
    </w:p>
    <w:p>
      <w:pPr>
        <w:spacing w:after="60"/>
      </w:pPr>
      <w:r>
        <w:rPr>
          <w:b/>
          <w:bCs/>
        </w:rPr>
        <w:t xml:space="preserve">[19] </w:t>
      </w:r>
      <w:r>
        <w:rPr>
          <w:sz w:val="20"/>
          <w:szCs w:val="20"/>
        </w:rPr>
        <w:t xml:space="preserve">Rahaie M, Rabiee R, Alinejad-Rokny H (2023). DeepGenePrior. PLoS Comput Biol 19:e1011249. DOI:10.1371/journal.pcbi.1011249</w:t>
      </w:r>
    </w:p>
    <w:p>
      <w:pPr>
        <w:spacing w:after="60"/>
      </w:pPr>
      <w:r>
        <w:rPr>
          <w:b/>
          <w:bCs/>
        </w:rPr>
        <w:t xml:space="preserve">[20] </w:t>
      </w:r>
      <w:r>
        <w:rPr>
          <w:sz w:val="20"/>
          <w:szCs w:val="20"/>
        </w:rPr>
        <w:t xml:space="preserve">LaPolice TM, Huang YF (2023). DeepLOF. BMC Bioinformatics 24:347. DOI:10.1186/s12859-023-05481-z</w:t>
      </w:r>
    </w:p>
    <w:p>
      <w:pPr>
        <w:spacing w:after="60"/>
      </w:pPr>
      <w:r>
        <w:rPr>
          <w:b/>
          <w:bCs/>
        </w:rPr>
        <w:t xml:space="preserve">[21] </w:t>
      </w:r>
      <w:r>
        <w:rPr>
          <w:sz w:val="20"/>
          <w:szCs w:val="20"/>
        </w:rPr>
        <w:t xml:space="preserve">Collins RL et al. (2022). A cross-disorder dosage sensitivity map of the human genome. Cell 185:3041–3055. DOI:10.1016/j.cell.2022.06.036</w:t>
      </w:r>
    </w:p>
    <w:p>
      <w:pPr>
        <w:spacing w:after="60"/>
      </w:pPr>
      <w:r>
        <w:rPr>
          <w:b/>
          <w:bCs/>
        </w:rPr>
        <w:t xml:space="preserve">[22] </w:t>
      </w:r>
      <w:r>
        <w:rPr>
          <w:sz w:val="20"/>
          <w:szCs w:val="20"/>
        </w:rPr>
        <w:t xml:space="preserve">Schuetz M et al. (2024). CNVoyant. Sci Rep 14:22038. DOI:10.1038/s41598-024-72470-4</w:t>
      </w:r>
    </w:p>
    <w:p>
      <w:pPr>
        <w:spacing w:after="60"/>
      </w:pPr>
      <w:r>
        <w:rPr>
          <w:b/>
          <w:bCs/>
        </w:rPr>
        <w:t xml:space="preserve">[23] </w:t>
      </w:r>
      <w:r>
        <w:rPr>
          <w:sz w:val="20"/>
          <w:szCs w:val="20"/>
        </w:rPr>
        <w:t xml:space="preserve">Sládeček T et al. (2023). MarCNV. Sci Rep 13:9753. DOI:10.1038/s41598-023-37352-1</w:t>
      </w:r>
    </w:p>
    <w:p>
      <w:pPr>
        <w:spacing w:after="60"/>
      </w:pPr>
      <w:r>
        <w:rPr>
          <w:b/>
          <w:bCs/>
        </w:rPr>
        <w:t xml:space="preserve">[24] </w:t>
      </w:r>
      <w:r>
        <w:rPr>
          <w:sz w:val="20"/>
          <w:szCs w:val="20"/>
        </w:rPr>
        <w:t xml:space="preserve">Lv H et al. (2023). dbCNV. BMC Genomics 24:126. DOI:10.1186/s12864-023-09225-4</w:t>
      </w:r>
    </w:p>
    <w:p>
      <w:pPr>
        <w:spacing w:after="60"/>
      </w:pPr>
      <w:r>
        <w:rPr>
          <w:b/>
          <w:bCs/>
        </w:rPr>
        <w:t xml:space="preserve">[25] </w:t>
      </w:r>
      <w:r>
        <w:rPr>
          <w:sz w:val="20"/>
          <w:szCs w:val="20"/>
        </w:rPr>
        <w:t xml:space="preserve">Middelkamp S et al. (2019). Prioritization of genes driving congenital phenotypes. Genome Med 11:74. DOI:10.1186/s13073-019-0692-0</w:t>
      </w:r>
    </w:p>
    <w:p>
      <w:pPr>
        <w:spacing w:after="60"/>
      </w:pPr>
      <w:r>
        <w:rPr>
          <w:b/>
          <w:bCs/>
        </w:rPr>
        <w:t xml:space="preserve">[26] </w:t>
      </w:r>
      <w:r>
        <w:rPr>
          <w:sz w:val="20"/>
          <w:szCs w:val="20"/>
        </w:rPr>
        <w:t xml:space="preserve">Liu C et al. (2026, ahead-of-print). PathoSV. Genome Med. DOI:10.1186/s13073-026-01653-7</w:t>
      </w:r>
    </w:p>
    <w:p>
      <w:pPr>
        <w:spacing w:after="60"/>
      </w:pPr>
      <w:r>
        <w:rPr>
          <w:b/>
          <w:bCs/>
        </w:rPr>
        <w:t xml:space="preserve">[27] </w:t>
      </w:r>
      <w:r>
        <w:rPr>
          <w:sz w:val="20"/>
          <w:szCs w:val="20"/>
        </w:rPr>
        <w:t xml:space="preserve">Gu A, Chen JY (2025). GETgene-AI. Front Syst Biol 5:1649758. DOI:10.3389/fsysb.2025.1649758</w:t>
      </w:r>
    </w:p>
    <w:p>
      <w:pPr>
        <w:spacing w:after="60"/>
      </w:pPr>
      <w:r>
        <w:rPr>
          <w:b/>
          <w:bCs/>
        </w:rPr>
        <w:t xml:space="preserve">[28] </w:t>
      </w:r>
      <w:r>
        <w:rPr>
          <w:sz w:val="20"/>
          <w:szCs w:val="20"/>
        </w:rPr>
        <w:t xml:space="preserve">Watson CT et al. (2014). Genetics of microdeletion and microduplication syndromes. Annu Rev Genomics Hum Genet 15:215–244. DOI:10.1146/annurev-genom-091212-153408</w:t>
      </w:r>
    </w:p>
    <w:p>
      <w:pPr>
        <w:spacing w:after="60"/>
      </w:pPr>
      <w:r>
        <w:rPr>
          <w:b/>
          <w:bCs/>
        </w:rPr>
        <w:t xml:space="preserve">[29] </w:t>
      </w:r>
      <w:r>
        <w:rPr>
          <w:sz w:val="20"/>
          <w:szCs w:val="20"/>
        </w:rPr>
        <w:t xml:space="preserve">Motahari Z, Moody SA, Maynard TM, LaMantia AS (2019). In the line-up: deleted genes associated with DiGeorge/22q11.2. J Neurodev Disord 11:7. DOI:10.1186/s11689-019-9267-z</w:t>
      </w:r>
    </w:p>
    <w:p>
      <w:pPr>
        <w:spacing w:after="60"/>
      </w:pPr>
      <w:r>
        <w:rPr>
          <w:b/>
          <w:bCs/>
        </w:rPr>
        <w:t xml:space="preserve">[30] </w:t>
      </w:r>
      <w:r>
        <w:rPr>
          <w:sz w:val="20"/>
          <w:szCs w:val="20"/>
        </w:rPr>
        <w:t xml:space="preserve">Goldenberg P (2018). An update on common chromosome microdeletion and microduplication syndromes. Pediatr Ann 47:e198–e203. DOI:10.3928/19382359-20180419-01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-roman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2026-09-01T10:53:12.528Z</dcterms:created>
  <dcterms:modified xsi:type="dcterms:W3CDTF">2026-09-01T10:53:12.528Z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