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69BA" w14:textId="77777777" w:rsidR="008535C3" w:rsidRPr="008535C3" w:rsidRDefault="008535C3" w:rsidP="008535C3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kern w:val="0"/>
          <w:sz w:val="24"/>
          <w14:ligatures w14:val="none"/>
        </w:rPr>
        <w:t>Based on your technical framework of entropy dynamics and transition thresholds, here is the English translation of your analysis. I have maintained the specialized terminology (e.g., positive/negative flux $\phi$, transition probability $TP$, and negative entropy asymmetry $\omega$) to ensure the precision of the model remains intact.</w:t>
      </w:r>
    </w:p>
    <w:p w14:paraId="4E50CADA" w14:textId="77777777" w:rsidR="008535C3" w:rsidRPr="008535C3" w:rsidRDefault="008535C3" w:rsidP="008535C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宋体" w:eastAsia="宋体" w:hAnsi="宋体" w:cs="宋体"/>
          <w:kern w:val="0"/>
          <w:sz w:val="24"/>
          <w14:ligatures w14:val="none"/>
        </w:rPr>
        <w:pict w14:anchorId="3D89F424">
          <v:rect id="_x0000_i1025" style="width:0;height:1.5pt" o:hralign="center" o:hrstd="t" o:hr="t" fillcolor="#a0a0a0" stroked="f"/>
        </w:pict>
      </w:r>
    </w:p>
    <w:p w14:paraId="0C82F593" w14:textId="77777777" w:rsidR="008535C3" w:rsidRPr="008535C3" w:rsidRDefault="008535C3" w:rsidP="008535C3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Global Transition Risk Analysis: "High-Potential but High-Fragility" Entities (2025 Data Preview)</w:t>
      </w:r>
    </w:p>
    <w:p w14:paraId="1713BCDB" w14:textId="77777777" w:rsidR="008535C3" w:rsidRPr="008535C3" w:rsidRDefault="008535C3" w:rsidP="008535C3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Based on the latest 2025 datasets (World Bank, IMF, OECD States of Fragility, and the 2024/2025 Fragile States Index), this model identifies entities categorized as </w:t>
      </w: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"Promising but Under Alert."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These entities exhibit moderate fragility and high inequality risks with a potential downward trajectory.</w:t>
      </w:r>
    </w:p>
    <w:p w14:paraId="6B40D6BA" w14:textId="77777777" w:rsidR="008535C3" w:rsidRPr="008535C3" w:rsidRDefault="008535C3" w:rsidP="008535C3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Similar to the </w:t>
      </w: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Jakarta Case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>, these regions show stable macro-growth (positive flux $\phi^+$) but are experiencing a rapid surge in negative flux ($\phi^-$) due to urban polarization, land subsidence, and the destruction of "abundance" within poverty-stricken zones.</w:t>
      </w:r>
    </w:p>
    <w:p w14:paraId="317A8E1D" w14:textId="77777777" w:rsidR="008535C3" w:rsidRPr="008535C3" w:rsidRDefault="008535C3" w:rsidP="008535C3">
      <w:pPr>
        <w:widowControl/>
        <w:spacing w:after="100" w:afterAutospacing="1" w:line="240" w:lineRule="auto"/>
        <w:outlineLvl w:val="3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1. Core Systematic Characteristics</w:t>
      </w:r>
    </w:p>
    <w:p w14:paraId="45AAC1C8" w14:textId="77777777" w:rsidR="008535C3" w:rsidRPr="008535C3" w:rsidRDefault="008535C3" w:rsidP="008535C3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Buffer $\phi^+$ (0.20–0.35):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Moderate GDP growth (4–6%), upper-middle-income status, partial institutional credit, and digital potential.</w:t>
      </w:r>
    </w:p>
    <w:p w14:paraId="42D8E7ED" w14:textId="77777777" w:rsidR="008535C3" w:rsidRPr="008535C3" w:rsidRDefault="008535C3" w:rsidP="008535C3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Surge $\phi^-$ (0.35–0.50):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Driven by extreme inequality, social polarization, urban poverty, and environmental stressors.</w:t>
      </w:r>
    </w:p>
    <w:p w14:paraId="164659E0" w14:textId="77777777" w:rsidR="008535C3" w:rsidRPr="008535C3" w:rsidRDefault="008535C3" w:rsidP="008535C3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Transition Threshold ($TP$):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Currently stabilized at </w:t>
      </w: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0.1–0.4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>, significantly below the "Safe Transition" threshold of $TP \</w:t>
      </w:r>
      <w:proofErr w:type="spellStart"/>
      <w:r w:rsidRPr="008535C3">
        <w:rPr>
          <w:rFonts w:ascii="Arial" w:eastAsia="宋体" w:hAnsi="Arial" w:cs="Arial"/>
          <w:kern w:val="0"/>
          <w:sz w:val="24"/>
          <w14:ligatures w14:val="none"/>
        </w:rPr>
        <w:t>ge</w:t>
      </w:r>
      <w:proofErr w:type="spellEnd"/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0.52$.</w:t>
      </w:r>
    </w:p>
    <w:p w14:paraId="23F293A2" w14:textId="77777777" w:rsidR="008535C3" w:rsidRPr="008535C3" w:rsidRDefault="008535C3" w:rsidP="008535C3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Negative Entropy Asymmetry ($\omega \</w:t>
      </w:r>
      <w:proofErr w:type="spellStart"/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approx</w:t>
      </w:r>
      <w:proofErr w:type="spellEnd"/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3–5$):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Crisis impacts are amplified but have not yet reached the "extreme collapse" state (&gt;10) seen in entities like Venezuela or South Sudan.</w:t>
      </w:r>
    </w:p>
    <w:p w14:paraId="2C167C9A" w14:textId="77777777" w:rsidR="008535C3" w:rsidRPr="008535C3" w:rsidRDefault="008535C3" w:rsidP="008535C3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Inertia &amp; Intervention: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These entities possess positive inertial potential. If deep credit encoding, healthy decentralization, and long-termism are introduced, the trajectory can be reversed above the disaster-prevention baseline.</w:t>
      </w:r>
    </w:p>
    <w:p w14:paraId="75B6F61C" w14:textId="77777777" w:rsidR="008535C3" w:rsidRPr="008535C3" w:rsidRDefault="008535C3" w:rsidP="008535C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宋体" w:eastAsia="宋体" w:hAnsi="宋体" w:cs="宋体"/>
          <w:kern w:val="0"/>
          <w:sz w:val="24"/>
          <w14:ligatures w14:val="none"/>
        </w:rPr>
        <w:pict w14:anchorId="7067E636">
          <v:rect id="_x0000_i1026" style="width:0;height:1.5pt" o:hralign="center" o:hrstd="t" o:hr="t" fillcolor="#a0a0a0" stroked="f"/>
        </w:pict>
      </w:r>
    </w:p>
    <w:p w14:paraId="070C8C08" w14:textId="77777777" w:rsidR="008535C3" w:rsidRPr="008535C3" w:rsidRDefault="008535C3" w:rsidP="008535C3">
      <w:pPr>
        <w:widowControl/>
        <w:spacing w:after="100" w:afterAutospacing="1" w:line="240" w:lineRule="auto"/>
        <w:outlineLvl w:val="3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2. Priority Candidate List (Population &gt;1M, Annualized Scale)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302"/>
        <w:gridCol w:w="1755"/>
        <w:gridCol w:w="2476"/>
      </w:tblGrid>
      <w:tr w:rsidR="008535C3" w:rsidRPr="008535C3" w14:paraId="3EB9CC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4CC20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7AA76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Economic Buffer (ϕ+)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34B9A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Negative Drivers (ϕ−)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851E0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Risk Profile</w:t>
            </w:r>
          </w:p>
        </w:tc>
      </w:tr>
      <w:tr w:rsidR="008535C3" w:rsidRPr="008535C3" w14:paraId="48223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39B4F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Jakarta (Indonesia)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A0BAD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Contributes 17%+ of national GDP.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ECDEF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Gini $\</w:t>
            </w:r>
            <w:proofErr w:type="spellStart"/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approx</w:t>
            </w:r>
            <w:proofErr w:type="spellEnd"/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0.40+$; land subsidence in North Jakarta; slum expansion.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EF461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Urban polarization &amp; environmental collapse.</w:t>
            </w:r>
          </w:p>
        </w:tc>
      </w:tr>
      <w:tr w:rsidR="008535C3" w:rsidRPr="008535C3" w14:paraId="3BF4D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30E6A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Manila (Philippines)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CEDD9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Rapid urban growth/consumption.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D628B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High poverty rates; gang violence; extreme flood risk.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37A1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Amplified social polarization.</w:t>
            </w:r>
          </w:p>
        </w:tc>
      </w:tr>
      <w:tr w:rsidR="008535C3" w:rsidRPr="008535C3" w14:paraId="43649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298C8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Lagos (Nigeria)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BF810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African economic hub; high growth.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85B9F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Infrastructure collapse; extreme inequality; systemic violence.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CC7C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High-potential/High-chaos nexus.</w:t>
            </w:r>
          </w:p>
        </w:tc>
      </w:tr>
      <w:tr w:rsidR="008535C3" w:rsidRPr="008535C3" w14:paraId="550AB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3049D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Mumbai (India)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4A599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Financial center; strong GDP.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198A7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Global-top inequality; massive slum density (e.g., Dharavi).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A0FBE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Wealth concentration vs. basic service deficit.</w:t>
            </w:r>
          </w:p>
        </w:tc>
      </w:tr>
      <w:tr w:rsidR="008535C3" w:rsidRPr="008535C3" w14:paraId="4BCCF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95FBD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Johannesburg (SA)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A9E6A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High-output urban economy.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C30A8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Record-high Gini; systemic crime; racial/economic polarization.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38974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Middle-income trap with extreme friction.</w:t>
            </w:r>
          </w:p>
        </w:tc>
      </w:tr>
      <w:tr w:rsidR="008535C3" w:rsidRPr="008535C3" w14:paraId="7283F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719DA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Bangkok (Thailand)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7783E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Contributes 40%+ of national GDP.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CB744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Urban-rural divide; political polarization; chronic flood risk.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F9640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Resilience vs. political/environmental stress.</w:t>
            </w:r>
          </w:p>
        </w:tc>
      </w:tr>
      <w:tr w:rsidR="008535C3" w:rsidRPr="008535C3" w14:paraId="2461D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D0372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Karachi (Pakistan)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0041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National economic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8C7A2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Water crisis; urban violence; poverty amplification.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F5BCF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Rising fragility in a volatile macro-climate.</w:t>
            </w:r>
          </w:p>
        </w:tc>
      </w:tr>
      <w:tr w:rsidR="008535C3" w:rsidRPr="008535C3" w14:paraId="703A3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11706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Istanbul (Turkey)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D3313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Cross-continental hub; high GDP.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D16F9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Chronic inflation; seismic risk; </w:t>
            </w: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intense political polarization.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73BB3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Macro-shocks vs. geographic leverage.</w:t>
            </w:r>
          </w:p>
        </w:tc>
      </w:tr>
      <w:tr w:rsidR="008535C3" w:rsidRPr="008535C3" w14:paraId="50134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A2DF9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Brazil (SP / 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25D88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Diversified emerging market.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B0D76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"</w:t>
            </w:r>
            <w:proofErr w:type="spellStart"/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Favelization</w:t>
            </w:r>
            <w:proofErr w:type="spellEnd"/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"; organized crime; social fragmentation.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046A7" w14:textId="77777777" w:rsidR="008535C3" w:rsidRPr="008535C3" w:rsidRDefault="008535C3" w:rsidP="008535C3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8535C3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Abundance destruction via urban friction.</w:t>
            </w:r>
          </w:p>
        </w:tc>
      </w:tr>
    </w:tbl>
    <w:p w14:paraId="0E6D11C6" w14:textId="77777777" w:rsidR="008535C3" w:rsidRPr="008535C3" w:rsidRDefault="008535C3" w:rsidP="008535C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宋体" w:eastAsia="宋体" w:hAnsi="宋体" w:cs="宋体"/>
          <w:kern w:val="0"/>
          <w:sz w:val="24"/>
          <w14:ligatures w14:val="none"/>
        </w:rPr>
        <w:pict w14:anchorId="5CF79D5A">
          <v:rect id="_x0000_i1027" style="width:0;height:1.5pt" o:hralign="center" o:hrstd="t" o:hr="t" fillcolor="#a0a0a0" stroked="f"/>
        </w:pict>
      </w:r>
    </w:p>
    <w:p w14:paraId="094F9986" w14:textId="77777777" w:rsidR="008535C3" w:rsidRPr="008535C3" w:rsidRDefault="008535C3" w:rsidP="008535C3">
      <w:pPr>
        <w:widowControl/>
        <w:spacing w:after="100" w:afterAutospacing="1" w:line="240" w:lineRule="auto"/>
        <w:outlineLvl w:val="3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3. Summary of the "Negative Transition" Warning</w:t>
      </w:r>
    </w:p>
    <w:p w14:paraId="4DC14CD2" w14:textId="77777777" w:rsidR="008535C3" w:rsidRPr="008535C3" w:rsidRDefault="008535C3" w:rsidP="008535C3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Unlike "failed states," these entities look "statistically healthy" on paper (GDP growth, middle-income status). However, they have fallen into </w:t>
      </w: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clustered negative surpluses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>:</w:t>
      </w:r>
    </w:p>
    <w:p w14:paraId="0BACF566" w14:textId="77777777" w:rsidR="008535C3" w:rsidRPr="008535C3" w:rsidRDefault="008535C3" w:rsidP="008535C3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Surplus Negatives: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Excessive debt, inflation, and environmental degradation.</w:t>
      </w:r>
    </w:p>
    <w:p w14:paraId="054F0D1F" w14:textId="77777777" w:rsidR="008535C3" w:rsidRPr="008535C3" w:rsidRDefault="008535C3" w:rsidP="008535C3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Socio-Psychological Negatives: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Deepening polarization and social tearing.</w:t>
      </w:r>
    </w:p>
    <w:p w14:paraId="44B7012E" w14:textId="77777777" w:rsidR="008535C3" w:rsidRPr="008535C3" w:rsidRDefault="008535C3" w:rsidP="008535C3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8535C3">
        <w:rPr>
          <w:rFonts w:ascii="Arial" w:eastAsia="宋体" w:hAnsi="Arial" w:cs="Arial"/>
          <w:b/>
          <w:bCs/>
          <w:kern w:val="0"/>
          <w:sz w:val="24"/>
          <w14:ligatures w14:val="none"/>
        </w:rPr>
        <w:t>Mobilization Risk (v3.0):</w:t>
      </w:r>
      <w:r w:rsidRPr="008535C3">
        <w:rPr>
          <w:rFonts w:ascii="Arial" w:eastAsia="宋体" w:hAnsi="Arial" w:cs="Arial"/>
          <w:kern w:val="0"/>
          <w:sz w:val="24"/>
          <w14:ligatures w14:val="none"/>
        </w:rPr>
        <w:t xml:space="preserve"> Indicates that competition between PMS (Positive Mobilization Systems) and NMS (Negative Mobilization Systems) is currently at a critical point where intervention is still possible.</w:t>
      </w:r>
    </w:p>
    <w:p w14:paraId="151B6AD8" w14:textId="07BCC89D" w:rsidR="00D837A8" w:rsidRPr="008535C3" w:rsidRDefault="00D837A8">
      <w:pPr>
        <w:rPr>
          <w:rFonts w:hint="eastAsia"/>
        </w:rPr>
      </w:pPr>
    </w:p>
    <w:sectPr w:rsidR="00D837A8" w:rsidRPr="00853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47F1"/>
    <w:multiLevelType w:val="multilevel"/>
    <w:tmpl w:val="48E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F5E2C"/>
    <w:multiLevelType w:val="multilevel"/>
    <w:tmpl w:val="16F8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476104">
    <w:abstractNumId w:val="0"/>
  </w:num>
  <w:num w:numId="2" w16cid:durableId="1110322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9E"/>
    <w:rsid w:val="00273D88"/>
    <w:rsid w:val="005E0E97"/>
    <w:rsid w:val="00847B6A"/>
    <w:rsid w:val="008535C3"/>
    <w:rsid w:val="00D837A8"/>
    <w:rsid w:val="00D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0A7A9"/>
  <w15:chartTrackingRefBased/>
  <w15:docId w15:val="{7C9DCDC3-41C0-4682-946D-A1CF52C0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11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1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1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1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1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1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1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1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11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1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1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11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11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11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11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11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11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11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1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11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11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1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1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11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1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蕉 花</dc:creator>
  <cp:keywords/>
  <dc:description/>
  <cp:lastModifiedBy>蕉 花</cp:lastModifiedBy>
  <cp:revision>2</cp:revision>
  <dcterms:created xsi:type="dcterms:W3CDTF">2026-01-04T14:20:00Z</dcterms:created>
  <dcterms:modified xsi:type="dcterms:W3CDTF">2026-01-04T14:21:00Z</dcterms:modified>
</cp:coreProperties>
</file>