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08D54" w14:textId="21066DE6" w:rsidR="00372175" w:rsidRPr="00C717E6" w:rsidRDefault="00372175" w:rsidP="00372175">
      <w:pPr>
        <w:rPr>
          <w:rFonts w:ascii="Arial" w:hAnsi="Arial" w:cs="Arial"/>
          <w:b/>
          <w:bCs/>
          <w:sz w:val="28"/>
          <w:szCs w:val="28"/>
        </w:rPr>
      </w:pPr>
      <w:r w:rsidRPr="00C717E6">
        <w:rPr>
          <w:rFonts w:ascii="Arial" w:hAnsi="Arial" w:cs="Arial"/>
          <w:b/>
          <w:bCs/>
          <w:sz w:val="28"/>
          <w:szCs w:val="28"/>
        </w:rPr>
        <w:t>Project brief</w:t>
      </w:r>
      <w:r w:rsidRPr="00C717E6">
        <w:rPr>
          <w:rFonts w:ascii="Arial" w:hAnsi="Arial" w:cs="Arial"/>
          <w:b/>
          <w:bCs/>
          <w:sz w:val="28"/>
          <w:szCs w:val="28"/>
        </w:rPr>
        <w:t>:</w:t>
      </w:r>
    </w:p>
    <w:p w14:paraId="760AB03F" w14:textId="2B58A3C8" w:rsidR="00372175" w:rsidRPr="00C717E6" w:rsidRDefault="00372175" w:rsidP="00372175">
      <w:pPr>
        <w:rPr>
          <w:rFonts w:ascii="Arial" w:hAnsi="Arial" w:cs="Arial"/>
          <w:lang w:val="nl-NL"/>
        </w:rPr>
      </w:pPr>
      <w:r w:rsidRPr="00C717E6">
        <w:rPr>
          <w:rFonts w:ascii="Arial" w:hAnsi="Arial" w:cs="Arial"/>
        </w:rPr>
        <w:t>I developed a</w:t>
      </w:r>
      <w:r w:rsidR="006472DF" w:rsidRPr="00C717E6">
        <w:rPr>
          <w:rFonts w:ascii="Arial" w:hAnsi="Arial" w:cs="Arial"/>
        </w:rPr>
        <w:t xml:space="preserve"> MATLAB</w:t>
      </w:r>
      <w:r w:rsidRPr="00C717E6">
        <w:rPr>
          <w:rFonts w:ascii="Arial" w:hAnsi="Arial" w:cs="Arial"/>
        </w:rPr>
        <w:t xml:space="preserve"> function fo</w:t>
      </w:r>
      <w:r w:rsidR="006472DF" w:rsidRPr="00C717E6">
        <w:rPr>
          <w:rFonts w:ascii="Arial" w:hAnsi="Arial" w:cs="Arial"/>
        </w:rPr>
        <w:t>r</w:t>
      </w:r>
      <w:r w:rsidRPr="00C717E6">
        <w:rPr>
          <w:rFonts w:ascii="Arial" w:hAnsi="Arial" w:cs="Arial"/>
        </w:rPr>
        <w:t xml:space="preserve"> the calculation of the price of an average strike Asian call option that is priced according to the Heston model (Heston, 1993) with Monte Carlo simulation using the Euler discretization (</w:t>
      </w:r>
      <w:r w:rsidRPr="00C717E6">
        <w:rPr>
          <w:rFonts w:ascii="Arial" w:hAnsi="Arial" w:cs="Arial"/>
          <w:lang w:val="nl-NL"/>
        </w:rPr>
        <w:t>Lord, Koekkoek and Van Dijk, 2007) scheme.</w:t>
      </w:r>
    </w:p>
    <w:p w14:paraId="4E0EC928" w14:textId="24D9F30E" w:rsidR="00372175" w:rsidRPr="00C717E6" w:rsidRDefault="00372175" w:rsidP="00372175">
      <w:pPr>
        <w:rPr>
          <w:rFonts w:ascii="Arial" w:hAnsi="Arial" w:cs="Arial"/>
          <w:lang w:val="nl-NL"/>
        </w:rPr>
      </w:pPr>
      <w:r w:rsidRPr="00C717E6">
        <w:rPr>
          <w:rFonts w:ascii="Arial" w:hAnsi="Arial" w:cs="Arial"/>
          <w:lang w:val="nl-NL"/>
        </w:rPr>
        <w:t xml:space="preserve">I also </w:t>
      </w:r>
      <w:r w:rsidR="006472DF" w:rsidRPr="00C717E6">
        <w:rPr>
          <w:rFonts w:ascii="Arial" w:hAnsi="Arial" w:cs="Arial"/>
          <w:lang w:val="nl-NL"/>
        </w:rPr>
        <w:t>studied</w:t>
      </w:r>
      <w:r w:rsidRPr="00C717E6">
        <w:rPr>
          <w:rFonts w:ascii="Arial" w:hAnsi="Arial" w:cs="Arial"/>
          <w:lang w:val="nl-NL"/>
        </w:rPr>
        <w:t xml:space="preserve"> on the </w:t>
      </w:r>
      <w:r w:rsidR="006472DF" w:rsidRPr="00C717E6">
        <w:rPr>
          <w:rFonts w:ascii="Arial" w:hAnsi="Arial" w:cs="Arial"/>
          <w:lang w:val="nl-NL"/>
        </w:rPr>
        <w:t>impact of changing different parameters on the option pricing valuation.</w:t>
      </w:r>
    </w:p>
    <w:p w14:paraId="19028554" w14:textId="77777777" w:rsidR="00372175" w:rsidRPr="00C717E6" w:rsidRDefault="00372175" w:rsidP="00372175">
      <w:pPr>
        <w:rPr>
          <w:rFonts w:ascii="Arial" w:hAnsi="Arial" w:cs="Arial"/>
          <w:sz w:val="28"/>
          <w:szCs w:val="28"/>
        </w:rPr>
      </w:pPr>
    </w:p>
    <w:p w14:paraId="0A4585A5" w14:textId="179B617D" w:rsidR="00372175" w:rsidRPr="00372175" w:rsidRDefault="00372175" w:rsidP="00372175">
      <w:pPr>
        <w:rPr>
          <w:rFonts w:ascii="Arial" w:hAnsi="Arial" w:cs="Arial"/>
          <w:b/>
          <w:bCs/>
          <w:sz w:val="28"/>
          <w:szCs w:val="28"/>
        </w:rPr>
      </w:pPr>
      <w:r w:rsidRPr="00C717E6">
        <w:rPr>
          <w:rFonts w:ascii="Arial" w:hAnsi="Arial" w:cs="Arial"/>
          <w:b/>
          <w:bCs/>
          <w:sz w:val="28"/>
          <w:szCs w:val="28"/>
        </w:rPr>
        <w:t>Background Knowledge:</w:t>
      </w:r>
    </w:p>
    <w:p w14:paraId="77B6F805" w14:textId="7F6F71B0" w:rsidR="00372175" w:rsidRPr="00C717E6" w:rsidRDefault="00372175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t xml:space="preserve"> An average strike Asian call option has the payoff</w:t>
      </w:r>
    </w:p>
    <w:p w14:paraId="493D1E8D" w14:textId="15678986" w:rsidR="00372175" w:rsidRPr="00372175" w:rsidRDefault="00372175" w:rsidP="00372175">
      <w:pPr>
        <w:rPr>
          <w:rFonts w:ascii="Arial" w:hAnsi="Arial" w:cs="Arial"/>
        </w:rPr>
      </w:pPr>
      <w:r w:rsidRPr="00C717E6">
        <w:rPr>
          <w:rFonts w:ascii="Arial" w:hAnsi="Arial" w:cs="Arial"/>
          <w:noProof/>
        </w:rPr>
        <w:drawing>
          <wp:inline distT="0" distB="0" distL="0" distR="0" wp14:anchorId="209C8503" wp14:editId="26DB44CE">
            <wp:extent cx="3907790" cy="491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2ECB" w14:textId="364677A4" w:rsidR="00372175" w:rsidRPr="00C717E6" w:rsidRDefault="00372175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t xml:space="preserve">at the expiration date </w:t>
      </w:r>
      <w:r w:rsidRPr="00C717E6">
        <w:rPr>
          <w:rFonts w:ascii="Arial" w:hAnsi="Arial" w:cs="Arial"/>
          <w:i/>
          <w:iCs/>
        </w:rPr>
        <w:t xml:space="preserve">T. </w:t>
      </w:r>
      <w:r w:rsidRPr="00C717E6">
        <w:rPr>
          <w:rFonts w:ascii="Arial" w:hAnsi="Arial" w:cs="Arial"/>
        </w:rPr>
        <w:t xml:space="preserve">It is assumed that the price of the underlying </w:t>
      </w:r>
      <w:r w:rsidRPr="00C717E6">
        <w:rPr>
          <w:rFonts w:ascii="Arial" w:hAnsi="Arial" w:cs="Arial"/>
          <w:i/>
          <w:iCs/>
        </w:rPr>
        <w:t xml:space="preserve">St </w:t>
      </w:r>
      <w:r w:rsidRPr="00C717E6">
        <w:rPr>
          <w:rFonts w:ascii="Arial" w:hAnsi="Arial" w:cs="Arial"/>
        </w:rPr>
        <w:t xml:space="preserve">, </w:t>
      </w:r>
      <w:r w:rsidRPr="00C717E6">
        <w:rPr>
          <w:rFonts w:ascii="Arial" w:hAnsi="Arial" w:cs="Arial"/>
          <w:i/>
          <w:iCs/>
        </w:rPr>
        <w:t xml:space="preserve">0 </w:t>
      </w:r>
      <w:r w:rsidRPr="00C717E6">
        <w:rPr>
          <w:rFonts w:ascii="Arial" w:hAnsi="Arial" w:cs="Arial"/>
        </w:rPr>
        <w:t xml:space="preserve">≤ </w:t>
      </w:r>
      <w:r w:rsidRPr="00C717E6">
        <w:rPr>
          <w:rFonts w:ascii="Arial" w:hAnsi="Arial" w:cs="Arial"/>
          <w:i/>
          <w:iCs/>
        </w:rPr>
        <w:t xml:space="preserve">t </w:t>
      </w:r>
      <w:r w:rsidRPr="00C717E6">
        <w:rPr>
          <w:rFonts w:ascii="Arial" w:hAnsi="Arial" w:cs="Arial"/>
        </w:rPr>
        <w:t xml:space="preserve">≤ </w:t>
      </w:r>
      <w:r w:rsidRPr="00C717E6">
        <w:rPr>
          <w:rFonts w:ascii="Arial" w:hAnsi="Arial" w:cs="Arial"/>
          <w:i/>
          <w:iCs/>
        </w:rPr>
        <w:t>T</w:t>
      </w:r>
      <w:r w:rsidRPr="00C717E6">
        <w:rPr>
          <w:rFonts w:ascii="Arial" w:hAnsi="Arial" w:cs="Arial"/>
        </w:rPr>
        <w:t xml:space="preserve">, follows a stochastic process under the risk-neutral measure with stochastic volatility </w:t>
      </w:r>
      <w:r w:rsidRPr="00C717E6">
        <w:rPr>
          <w:rFonts w:ascii="Arial" w:hAnsi="Arial" w:cs="Arial"/>
        </w:rPr>
        <w:t>σ</w:t>
      </w:r>
      <w:r w:rsidRPr="00C717E6">
        <w:rPr>
          <w:rFonts w:ascii="Arial" w:hAnsi="Arial" w:cs="Arial"/>
          <w:i/>
          <w:iCs/>
        </w:rPr>
        <w:t xml:space="preserve">t </w:t>
      </w:r>
      <w:r w:rsidRPr="00C717E6">
        <w:rPr>
          <w:rFonts w:ascii="Arial" w:hAnsi="Arial" w:cs="Arial"/>
        </w:rPr>
        <w:t>of the following form:</w:t>
      </w:r>
    </w:p>
    <w:p w14:paraId="4903246D" w14:textId="40139E64" w:rsidR="00372175" w:rsidRPr="00C717E6" w:rsidRDefault="00372175" w:rsidP="00372175">
      <w:pPr>
        <w:rPr>
          <w:rFonts w:ascii="Arial" w:hAnsi="Arial" w:cs="Arial"/>
        </w:rPr>
      </w:pPr>
      <w:r w:rsidRPr="00C717E6">
        <w:rPr>
          <w:rFonts w:ascii="Arial" w:hAnsi="Arial" w:cs="Arial"/>
          <w:noProof/>
        </w:rPr>
        <w:drawing>
          <wp:inline distT="0" distB="0" distL="0" distR="0" wp14:anchorId="11F7A78A" wp14:editId="448600E3">
            <wp:extent cx="4105910" cy="6038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2B75" w14:textId="3F8614D2" w:rsidR="00372175" w:rsidRPr="00C717E6" w:rsidRDefault="00372175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t>This model is often referred to as Heston (1993) model. The stochastic variance follows a mean-reverting process. The meaning of the parameters is the following:</w:t>
      </w:r>
    </w:p>
    <w:p w14:paraId="38AC2414" w14:textId="4D7B7B49" w:rsidR="00372175" w:rsidRPr="00372175" w:rsidRDefault="00372175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drawing>
          <wp:inline distT="0" distB="0" distL="0" distR="0" wp14:anchorId="482D0BDF" wp14:editId="59EB8CBE">
            <wp:extent cx="2631057" cy="8897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854" cy="9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2345" w14:textId="2D2B8DFE" w:rsidR="00372175" w:rsidRPr="00C717E6" w:rsidRDefault="00372175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t xml:space="preserve"> </w:t>
      </w:r>
      <w:r w:rsidRPr="00C717E6">
        <w:rPr>
          <w:rFonts w:ascii="Arial" w:hAnsi="Arial" w:cs="Arial"/>
          <w:i/>
          <w:iCs/>
        </w:rPr>
        <w:t xml:space="preserve">Wt </w:t>
      </w:r>
      <w:r w:rsidRPr="00C717E6">
        <w:rPr>
          <w:rFonts w:ascii="Arial" w:hAnsi="Arial" w:cs="Arial"/>
        </w:rPr>
        <w:t xml:space="preserve">is a two-dimensional Wiener process that is </w:t>
      </w:r>
      <w:r w:rsidRPr="00C717E6">
        <w:rPr>
          <w:rFonts w:ascii="Arial" w:hAnsi="Arial" w:cs="Arial"/>
          <w:i/>
          <w:iCs/>
        </w:rPr>
        <w:t>N</w:t>
      </w:r>
      <w:r w:rsidRPr="00C717E6">
        <w:rPr>
          <w:rFonts w:ascii="Arial" w:hAnsi="Arial" w:cs="Arial"/>
        </w:rPr>
        <w:t>(0,</w:t>
      </w:r>
      <w:r w:rsidR="00BB0C4B" w:rsidRPr="00C717E6">
        <w:rPr>
          <w:rFonts w:ascii="Arial" w:hAnsi="Arial" w:cs="Arial"/>
        </w:rPr>
        <w:t>Σ</w:t>
      </w:r>
      <w:r w:rsidRPr="00C717E6">
        <w:rPr>
          <w:rFonts w:ascii="Arial" w:hAnsi="Arial" w:cs="Arial"/>
        </w:rPr>
        <w:t>) – distributed with covariance matrix:</w:t>
      </w:r>
      <w:r w:rsidRPr="00C717E6">
        <w:rPr>
          <w:rFonts w:ascii="Arial" w:hAnsi="Arial" w:cs="Arial"/>
        </w:rPr>
        <w:t xml:space="preserve"> </w:t>
      </w:r>
    </w:p>
    <w:p w14:paraId="2B75EC5A" w14:textId="6ABF71BE" w:rsidR="00372175" w:rsidRPr="00372175" w:rsidRDefault="00372175" w:rsidP="00372175">
      <w:pPr>
        <w:rPr>
          <w:rFonts w:ascii="Arial" w:hAnsi="Arial" w:cs="Arial"/>
        </w:rPr>
      </w:pPr>
      <w:r w:rsidRPr="00C717E6">
        <w:rPr>
          <w:rFonts w:ascii="Arial" w:hAnsi="Arial" w:cs="Arial"/>
          <w:noProof/>
        </w:rPr>
        <w:drawing>
          <wp:inline distT="0" distB="0" distL="0" distR="0" wp14:anchorId="392B32BF" wp14:editId="40AFCCD0">
            <wp:extent cx="1466215" cy="52641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F29" w14:textId="153583A0" w:rsidR="00372175" w:rsidRPr="00C717E6" w:rsidRDefault="00372175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t xml:space="preserve">An instrument with the path dependent payoff in (1) can be valued using Monte Carlo methods. The time horizon can be split into </w:t>
      </w:r>
      <w:r w:rsidRPr="00C717E6">
        <w:rPr>
          <w:rFonts w:ascii="Arial" w:hAnsi="Arial" w:cs="Arial"/>
          <w:i/>
          <w:iCs/>
        </w:rPr>
        <w:t xml:space="preserve">N </w:t>
      </w:r>
      <w:r w:rsidRPr="00C717E6">
        <w:rPr>
          <w:rFonts w:ascii="Arial" w:hAnsi="Arial" w:cs="Arial"/>
        </w:rPr>
        <w:t xml:space="preserve">intervals. Generating </w:t>
      </w:r>
      <w:r w:rsidRPr="00C717E6">
        <w:rPr>
          <w:rFonts w:ascii="Arial" w:hAnsi="Arial" w:cs="Arial"/>
          <w:i/>
          <w:iCs/>
        </w:rPr>
        <w:t xml:space="preserve">M </w:t>
      </w:r>
      <w:r w:rsidRPr="00C717E6">
        <w:rPr>
          <w:rFonts w:ascii="Arial" w:hAnsi="Arial" w:cs="Arial"/>
        </w:rPr>
        <w:t xml:space="preserve">paths for the asset price, one can approximate the continuous payoff function taking the arithmetic average of the </w:t>
      </w:r>
      <w:r w:rsidRPr="00C717E6">
        <w:rPr>
          <w:rFonts w:ascii="Arial" w:hAnsi="Arial" w:cs="Arial"/>
          <w:i/>
          <w:iCs/>
        </w:rPr>
        <w:t>N</w:t>
      </w:r>
      <w:r w:rsidRPr="00C717E6">
        <w:rPr>
          <w:rFonts w:ascii="Arial" w:hAnsi="Arial" w:cs="Arial"/>
        </w:rPr>
        <w:t>+1 asset prices. The option price V0 can then be approximated as follows:</w:t>
      </w:r>
    </w:p>
    <w:p w14:paraId="780AA1A7" w14:textId="52BC6D21" w:rsidR="00372175" w:rsidRPr="00C717E6" w:rsidRDefault="00372175" w:rsidP="00372175">
      <w:pPr>
        <w:rPr>
          <w:rFonts w:ascii="Arial" w:hAnsi="Arial" w:cs="Arial"/>
        </w:rPr>
      </w:pPr>
      <w:r w:rsidRPr="00C717E6">
        <w:rPr>
          <w:rFonts w:ascii="Arial" w:hAnsi="Arial" w:cs="Arial"/>
          <w:noProof/>
        </w:rPr>
        <w:drawing>
          <wp:inline distT="0" distB="0" distL="0" distR="0" wp14:anchorId="5CBCCEC8" wp14:editId="6129BA8E">
            <wp:extent cx="3398520" cy="569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FEED" w14:textId="77777777" w:rsidR="00C717E6" w:rsidRPr="00C717E6" w:rsidRDefault="00C717E6" w:rsidP="00372175">
      <w:pPr>
        <w:rPr>
          <w:rFonts w:ascii="Arial" w:hAnsi="Arial" w:cs="Arial"/>
        </w:rPr>
      </w:pPr>
    </w:p>
    <w:p w14:paraId="6EE24E41" w14:textId="3E83EC03" w:rsidR="00372175" w:rsidRPr="00C717E6" w:rsidRDefault="006472DF" w:rsidP="00372175">
      <w:pPr>
        <w:rPr>
          <w:rFonts w:ascii="Arial" w:hAnsi="Arial" w:cs="Arial"/>
          <w:b/>
          <w:bCs/>
          <w:sz w:val="28"/>
          <w:szCs w:val="28"/>
        </w:rPr>
      </w:pPr>
      <w:r w:rsidRPr="00C717E6">
        <w:rPr>
          <w:rFonts w:ascii="Arial" w:hAnsi="Arial" w:cs="Arial"/>
          <w:b/>
          <w:bCs/>
          <w:sz w:val="28"/>
          <w:szCs w:val="28"/>
        </w:rPr>
        <w:lastRenderedPageBreak/>
        <w:t>An Example</w:t>
      </w:r>
      <w:r w:rsidR="00C717E6" w:rsidRPr="00C717E6">
        <w:rPr>
          <w:rFonts w:ascii="Arial" w:hAnsi="Arial" w:cs="Arial"/>
          <w:b/>
          <w:bCs/>
          <w:sz w:val="28"/>
          <w:szCs w:val="28"/>
        </w:rPr>
        <w:t xml:space="preserve"> from Monte Carlo Simulations</w:t>
      </w:r>
      <w:r w:rsidR="00372175" w:rsidRPr="00C717E6">
        <w:rPr>
          <w:rFonts w:ascii="Arial" w:hAnsi="Arial" w:cs="Arial"/>
          <w:b/>
          <w:bCs/>
          <w:sz w:val="28"/>
          <w:szCs w:val="28"/>
        </w:rPr>
        <w:t>:</w:t>
      </w:r>
    </w:p>
    <w:p w14:paraId="6393866A" w14:textId="2F2FC0A0" w:rsidR="00372175" w:rsidRPr="00C717E6" w:rsidRDefault="006472DF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t xml:space="preserve">For parameter set: </w:t>
      </w:r>
    </w:p>
    <w:p w14:paraId="55FD8AAC" w14:textId="324B45A3" w:rsidR="006472DF" w:rsidRPr="00C717E6" w:rsidRDefault="006472DF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drawing>
          <wp:inline distT="0" distB="0" distL="0" distR="0" wp14:anchorId="0EF1004F" wp14:editId="055BEACC">
            <wp:extent cx="5274310" cy="271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5A88" w14:textId="633BDF05" w:rsidR="006472DF" w:rsidRPr="00C717E6" w:rsidRDefault="006472DF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drawing>
          <wp:inline distT="0" distB="0" distL="0" distR="0" wp14:anchorId="5C270174" wp14:editId="39BC8584">
            <wp:extent cx="3804198" cy="2864498"/>
            <wp:effectExtent l="0" t="0" r="6350" b="0"/>
            <wp:docPr id="11" name="图片占位符 10">
              <a:extLst xmlns:a="http://schemas.openxmlformats.org/drawingml/2006/main">
                <a:ext uri="{FF2B5EF4-FFF2-40B4-BE49-F238E27FC236}">
                  <a16:creationId xmlns:a16="http://schemas.microsoft.com/office/drawing/2014/main" id="{A32AFEC9-955D-4912-8B6F-F76160E7EB2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占位符 10">
                      <a:extLst>
                        <a:ext uri="{FF2B5EF4-FFF2-40B4-BE49-F238E27FC236}">
                          <a16:creationId xmlns:a16="http://schemas.microsoft.com/office/drawing/2014/main" id="{A32AFEC9-955D-4912-8B6F-F76160E7EB2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751" cy="28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B3A9" w14:textId="028FFE8F" w:rsidR="006472DF" w:rsidRPr="00C717E6" w:rsidRDefault="006472DF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drawing>
          <wp:inline distT="0" distB="0" distL="0" distR="0" wp14:anchorId="7315235D" wp14:editId="35C3ABFC">
            <wp:extent cx="3814071" cy="2892489"/>
            <wp:effectExtent l="0" t="0" r="0" b="3175"/>
            <wp:docPr id="9" name="内容占位符 6">
              <a:extLst xmlns:a="http://schemas.openxmlformats.org/drawingml/2006/main">
                <a:ext uri="{FF2B5EF4-FFF2-40B4-BE49-F238E27FC236}">
                  <a16:creationId xmlns:a16="http://schemas.microsoft.com/office/drawing/2014/main" id="{287C1862-1EAB-4602-9C48-994333665D1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内容占位符 6">
                      <a:extLst>
                        <a:ext uri="{FF2B5EF4-FFF2-40B4-BE49-F238E27FC236}">
                          <a16:creationId xmlns:a16="http://schemas.microsoft.com/office/drawing/2014/main" id="{287C1862-1EAB-4602-9C48-994333665D1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921" cy="29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71B0" w14:textId="59D2588D" w:rsidR="006472DF" w:rsidRPr="00C717E6" w:rsidRDefault="006472DF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t>The simulation result is that the fair price for this option is 12.05.</w:t>
      </w:r>
    </w:p>
    <w:p w14:paraId="759BF5E8" w14:textId="6809C46F" w:rsidR="006472DF" w:rsidRDefault="006472DF" w:rsidP="00372175">
      <w:pPr>
        <w:rPr>
          <w:rFonts w:ascii="Arial" w:hAnsi="Arial" w:cs="Arial"/>
        </w:rPr>
      </w:pPr>
      <w:r w:rsidRPr="00C717E6">
        <w:rPr>
          <w:rFonts w:ascii="Arial" w:hAnsi="Arial" w:cs="Arial"/>
        </w:rPr>
        <w:t xml:space="preserve">From the second image we can observe that the simulation result converges after around </w:t>
      </w:r>
      <w:r w:rsidR="002F1907" w:rsidRPr="00C717E6">
        <w:rPr>
          <w:rFonts w:ascii="Arial" w:hAnsi="Arial" w:cs="Arial"/>
        </w:rPr>
        <w:t>10</w:t>
      </w:r>
      <w:r w:rsidRPr="00C717E6">
        <w:rPr>
          <w:rFonts w:ascii="Arial" w:hAnsi="Arial" w:cs="Arial"/>
        </w:rPr>
        <w:t xml:space="preserve">0k </w:t>
      </w:r>
      <w:r w:rsidR="002F1907" w:rsidRPr="00C717E6">
        <w:rPr>
          <w:rFonts w:ascii="Arial" w:hAnsi="Arial" w:cs="Arial"/>
        </w:rPr>
        <w:t xml:space="preserve">paths generated by </w:t>
      </w:r>
      <w:r w:rsidRPr="00C717E6">
        <w:rPr>
          <w:rFonts w:ascii="Arial" w:hAnsi="Arial" w:cs="Arial"/>
        </w:rPr>
        <w:t xml:space="preserve">Monte Carlo simulations. By calculating the sample standard deviation, we can conclude that to achieve a 95% confidence that the error is smaller than 5%, 65k </w:t>
      </w:r>
      <w:r w:rsidR="002F1907" w:rsidRPr="00C717E6">
        <w:rPr>
          <w:rFonts w:ascii="Arial" w:hAnsi="Arial" w:cs="Arial"/>
        </w:rPr>
        <w:t>paths</w:t>
      </w:r>
      <w:r w:rsidRPr="00C717E6">
        <w:rPr>
          <w:rFonts w:ascii="Arial" w:hAnsi="Arial" w:cs="Arial"/>
        </w:rPr>
        <w:t xml:space="preserve"> are good enough.</w:t>
      </w:r>
    </w:p>
    <w:p w14:paraId="59C1D600" w14:textId="77777777" w:rsidR="00DF71FC" w:rsidRDefault="00DF71FC" w:rsidP="00372175">
      <w:pPr>
        <w:rPr>
          <w:rFonts w:ascii="Arial" w:hAnsi="Arial" w:cs="Arial"/>
        </w:rPr>
      </w:pPr>
    </w:p>
    <w:p w14:paraId="78B8529D" w14:textId="588DCB6A" w:rsidR="003A1FCD" w:rsidRPr="00DF71FC" w:rsidRDefault="003A1FCD" w:rsidP="00372175">
      <w:pPr>
        <w:rPr>
          <w:rFonts w:ascii="Arial" w:hAnsi="Arial" w:cs="Arial"/>
          <w:b/>
          <w:bCs/>
          <w:sz w:val="28"/>
          <w:szCs w:val="28"/>
        </w:rPr>
      </w:pPr>
      <w:r w:rsidRPr="00DF71FC">
        <w:rPr>
          <w:rFonts w:ascii="Arial" w:hAnsi="Arial" w:cs="Arial"/>
          <w:b/>
          <w:bCs/>
          <w:sz w:val="28"/>
          <w:szCs w:val="28"/>
        </w:rPr>
        <w:t xml:space="preserve">The </w:t>
      </w:r>
      <w:r w:rsidR="00DF71FC" w:rsidRPr="00DF71FC">
        <w:rPr>
          <w:rFonts w:ascii="Arial" w:hAnsi="Arial" w:cs="Arial"/>
          <w:b/>
          <w:bCs/>
          <w:sz w:val="28"/>
          <w:szCs w:val="28"/>
        </w:rPr>
        <w:t>Impact of Initial Volatility:</w:t>
      </w:r>
    </w:p>
    <w:p w14:paraId="2BC0EF42" w14:textId="3CCE6B45" w:rsidR="00DF71FC" w:rsidRDefault="00DF71FC" w:rsidP="00DF71FC">
      <w:pPr>
        <w:rPr>
          <w:rFonts w:ascii="Arial" w:hAnsi="Arial" w:cs="Arial"/>
        </w:rPr>
      </w:pPr>
      <w:r w:rsidRPr="00DF71FC">
        <w:rPr>
          <w:rFonts w:ascii="Arial" w:hAnsi="Arial" w:cs="Arial"/>
        </w:rPr>
        <w:t>Higher volatility leads to higher option price:</w:t>
      </w:r>
      <w:r>
        <w:rPr>
          <w:rFonts w:ascii="Arial" w:hAnsi="Arial" w:cs="Arial"/>
        </w:rPr>
        <w:t xml:space="preserve"> </w:t>
      </w:r>
      <w:r w:rsidRPr="00DF71FC">
        <w:rPr>
          <w:rFonts w:ascii="Arial" w:hAnsi="Arial" w:cs="Arial"/>
        </w:rPr>
        <w:t>Vega (</w:t>
      </w:r>
      <m:oMath>
        <m:f>
          <m:fPr>
            <m:type m:val="lin"/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w:rPr>
                <w:rFonts w:ascii="Cambria Math" w:hAnsi="Cambria Math" w:cs="Arial"/>
              </w:rPr>
              <m:t>ⅆf</m:t>
            </m:r>
          </m:num>
          <m:den>
            <m:r>
              <w:rPr>
                <w:rFonts w:ascii="Cambria Math" w:hAnsi="Cambria Math" w:cs="Arial"/>
              </w:rPr>
              <m:t>dσ</m:t>
            </m:r>
          </m:den>
        </m:f>
      </m:oMath>
      <w:r w:rsidRPr="00DF71FC">
        <w:rPr>
          <w:rFonts w:ascii="Arial" w:hAnsi="Arial" w:cs="Arial"/>
        </w:rPr>
        <w:t>) &gt; 0.</w:t>
      </w:r>
      <w:r>
        <w:rPr>
          <w:rFonts w:ascii="Arial" w:hAnsi="Arial" w:cs="Arial"/>
        </w:rPr>
        <w:t xml:space="preserve"> </w:t>
      </w:r>
    </w:p>
    <w:tbl>
      <w:tblPr>
        <w:tblW w:w="3231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615"/>
        <w:gridCol w:w="1616"/>
      </w:tblGrid>
      <w:tr w:rsidR="00DF71FC" w:rsidRPr="00DF71FC" w14:paraId="74A5DD9A" w14:textId="77777777" w:rsidTr="00DF71FC">
        <w:trPr>
          <w:trHeight w:val="602"/>
        </w:trPr>
        <w:tc>
          <w:tcPr>
            <w:tcW w:w="161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14:paraId="612E9F91" w14:textId="769A38EA" w:rsidR="00DF71FC" w:rsidRPr="00DF71FC" w:rsidRDefault="00DF71FC" w:rsidP="00DF71FC">
            <w:pPr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0</m:t>
                  </m:r>
                </m:sub>
              </m:sSub>
            </m:oMath>
            <w:r w:rsidRPr="00DF71FC">
              <w:rPr>
                <w:rFonts w:ascii="Arial" w:hAnsi="Arial" w:cs="Arial"/>
              </w:rPr>
              <w:t xml:space="preserve"> = 0.1</w:t>
            </w:r>
          </w:p>
        </w:tc>
        <w:tc>
          <w:tcPr>
            <w:tcW w:w="161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14:paraId="54AC64DA" w14:textId="0D3823E7" w:rsidR="00DF71FC" w:rsidRPr="00DF71FC" w:rsidRDefault="00DF71FC" w:rsidP="00DF71FC">
            <w:pPr>
              <w:rPr>
                <w:rFonts w:ascii="Arial" w:hAnsi="Arial" w:cs="Arial"/>
                <w:b/>
                <w:bCs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V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0</m:t>
                  </m:r>
                </m:e>
              </m:acc>
            </m:oMath>
            <w:r w:rsidRPr="00DF71FC">
              <w:rPr>
                <w:rFonts w:ascii="Arial" w:hAnsi="Arial" w:cs="Arial"/>
                <w:b/>
                <w:bCs/>
              </w:rPr>
              <w:t xml:space="preserve"> = 9.70</w:t>
            </w:r>
          </w:p>
        </w:tc>
      </w:tr>
      <w:tr w:rsidR="00DF71FC" w:rsidRPr="00DF71FC" w14:paraId="46967D04" w14:textId="77777777" w:rsidTr="00DF71FC">
        <w:trPr>
          <w:trHeight w:val="602"/>
        </w:trPr>
        <w:tc>
          <w:tcPr>
            <w:tcW w:w="161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14:paraId="1A33580E" w14:textId="5578F487" w:rsidR="00DF71FC" w:rsidRPr="00DF71FC" w:rsidRDefault="00DF71FC" w:rsidP="00DF71FC">
            <w:pPr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0</m:t>
                  </m:r>
                </m:sub>
              </m:sSub>
            </m:oMath>
            <w:r w:rsidRPr="00DF71FC">
              <w:rPr>
                <w:rFonts w:ascii="Arial" w:hAnsi="Arial" w:cs="Arial"/>
              </w:rPr>
              <w:t xml:space="preserve"> = 0.4</w:t>
            </w:r>
          </w:p>
        </w:tc>
        <w:tc>
          <w:tcPr>
            <w:tcW w:w="161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14:paraId="3EC5D559" w14:textId="15C540AC" w:rsidR="00DF71FC" w:rsidRPr="00DF71FC" w:rsidRDefault="00DF71FC" w:rsidP="00DF71FC">
            <w:pPr>
              <w:rPr>
                <w:rFonts w:ascii="Arial" w:hAnsi="Arial" w:cs="Arial"/>
                <w:b/>
                <w:bCs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V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0</m:t>
                  </m:r>
                </m:e>
              </m:acc>
            </m:oMath>
            <w:r w:rsidRPr="00DF71FC">
              <w:rPr>
                <w:rFonts w:ascii="Arial" w:hAnsi="Arial" w:cs="Arial"/>
                <w:b/>
                <w:bCs/>
              </w:rPr>
              <w:t xml:space="preserve"> = 14.10</w:t>
            </w:r>
          </w:p>
        </w:tc>
      </w:tr>
      <w:tr w:rsidR="00DF71FC" w:rsidRPr="00DF71FC" w14:paraId="189C2AEB" w14:textId="77777777" w:rsidTr="00DF71FC">
        <w:trPr>
          <w:trHeight w:val="602"/>
        </w:trPr>
        <w:tc>
          <w:tcPr>
            <w:tcW w:w="161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14:paraId="1646D973" w14:textId="0CBF21EC" w:rsidR="00DF71FC" w:rsidRPr="00DF71FC" w:rsidRDefault="00DF71FC" w:rsidP="00DF71FC">
            <w:pPr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0</m:t>
                  </m:r>
                </m:sub>
              </m:sSub>
            </m:oMath>
            <w:r w:rsidRPr="00DF71FC">
              <w:rPr>
                <w:rFonts w:ascii="Arial" w:hAnsi="Arial" w:cs="Arial"/>
              </w:rPr>
              <w:t xml:space="preserve"> = 0.7</w:t>
            </w:r>
          </w:p>
        </w:tc>
        <w:tc>
          <w:tcPr>
            <w:tcW w:w="161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14:paraId="3710BFD5" w14:textId="29FBA4FC" w:rsidR="00DF71FC" w:rsidRPr="00DF71FC" w:rsidRDefault="00DF71FC" w:rsidP="00DF71FC">
            <w:pPr>
              <w:rPr>
                <w:rFonts w:ascii="Arial" w:hAnsi="Arial" w:cs="Arial"/>
                <w:b/>
                <w:bCs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V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0</m:t>
                  </m:r>
                </m:e>
              </m:acc>
            </m:oMath>
            <w:r w:rsidRPr="00DF71FC">
              <w:rPr>
                <w:rFonts w:ascii="Arial" w:hAnsi="Arial" w:cs="Arial"/>
                <w:b/>
                <w:bCs/>
              </w:rPr>
              <w:t xml:space="preserve"> = 17.99</w:t>
            </w:r>
          </w:p>
        </w:tc>
      </w:tr>
    </w:tbl>
    <w:p w14:paraId="69673A72" w14:textId="77777777" w:rsidR="00DF71FC" w:rsidRDefault="00DF71FC" w:rsidP="00DF71FC">
      <w:pPr>
        <w:rPr>
          <w:rFonts w:ascii="Arial" w:hAnsi="Arial" w:cs="Arial"/>
        </w:rPr>
      </w:pPr>
    </w:p>
    <w:p w14:paraId="763F735B" w14:textId="20B8B793" w:rsidR="00DF71FC" w:rsidRDefault="00DF71FC" w:rsidP="00DF71FC">
      <w:pPr>
        <w:rPr>
          <w:rFonts w:ascii="Arial" w:hAnsi="Arial" w:cs="Arial"/>
        </w:rPr>
      </w:pPr>
      <w:r>
        <w:rPr>
          <w:rFonts w:ascii="Arial" w:hAnsi="Arial" w:cs="Arial"/>
        </w:rPr>
        <w:t>The reason is that a l</w:t>
      </w:r>
      <w:r w:rsidRPr="00DF71FC">
        <w:rPr>
          <w:rFonts w:ascii="Arial" w:hAnsi="Arial" w:cs="Arial"/>
        </w:rPr>
        <w:t xml:space="preserve">arger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σ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Pr="00DF71FC">
        <w:rPr>
          <w:rFonts w:ascii="Arial" w:hAnsi="Arial" w:cs="Arial"/>
        </w:rPr>
        <w:t xml:space="preserve"> gives a </w:t>
      </w:r>
      <w:r w:rsidRPr="00DF71FC">
        <w:rPr>
          <w:rFonts w:ascii="Arial" w:hAnsi="Arial" w:cs="Arial"/>
          <w:b/>
          <w:bCs/>
        </w:rPr>
        <w:t>fatter</w:t>
      </w:r>
      <w:r w:rsidRPr="00DF71FC">
        <w:rPr>
          <w:rFonts w:ascii="Arial" w:hAnsi="Arial" w:cs="Arial"/>
        </w:rPr>
        <w:t xml:space="preserve"> right tail to the stock price</w:t>
      </w:r>
      <w:r>
        <w:rPr>
          <w:rFonts w:ascii="Arial" w:hAnsi="Arial" w:cs="Arial"/>
        </w:rPr>
        <w:t>.</w:t>
      </w:r>
    </w:p>
    <w:p w14:paraId="1D49B12B" w14:textId="71CE939F" w:rsidR="00DF71FC" w:rsidRDefault="00DF71FC" w:rsidP="00DF71FC">
      <w:pPr>
        <w:rPr>
          <w:rFonts w:ascii="Arial" w:hAnsi="Arial" w:cs="Arial"/>
        </w:rPr>
      </w:pPr>
      <w:r w:rsidRPr="00DF71FC">
        <w:rPr>
          <w:rFonts w:ascii="Arial" w:hAnsi="Arial" w:cs="Arial"/>
        </w:rPr>
        <w:drawing>
          <wp:inline distT="0" distB="0" distL="0" distR="0" wp14:anchorId="7788B1B0" wp14:editId="4BFADBC9">
            <wp:extent cx="3913895" cy="2957804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70E4DB11-69E8-450B-B29F-D4CFD6ACBF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70E4DB11-69E8-450B-B29F-D4CFD6ACBF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434" cy="29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2BC2" w14:textId="77777777" w:rsidR="00DF71FC" w:rsidRPr="00DF71FC" w:rsidRDefault="00DF71FC" w:rsidP="00DF71FC">
      <w:pPr>
        <w:rPr>
          <w:rFonts w:ascii="Arial" w:hAnsi="Arial" w:cs="Arial"/>
        </w:rPr>
      </w:pPr>
    </w:p>
    <w:p w14:paraId="52C198A5" w14:textId="77777777" w:rsidR="00DF71FC" w:rsidRPr="00C717E6" w:rsidRDefault="00DF71FC" w:rsidP="00372175">
      <w:pPr>
        <w:rPr>
          <w:rFonts w:ascii="Arial" w:hAnsi="Arial" w:cs="Arial"/>
        </w:rPr>
      </w:pPr>
    </w:p>
    <w:sectPr w:rsidR="00DF71FC" w:rsidRPr="00C717E6" w:rsidSect="0047797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33004" w14:textId="77777777" w:rsidR="0013601F" w:rsidRDefault="0013601F" w:rsidP="00372175">
      <w:pPr>
        <w:spacing w:after="0" w:line="240" w:lineRule="auto"/>
      </w:pPr>
      <w:r>
        <w:separator/>
      </w:r>
    </w:p>
  </w:endnote>
  <w:endnote w:type="continuationSeparator" w:id="0">
    <w:p w14:paraId="083E7EAE" w14:textId="77777777" w:rsidR="0013601F" w:rsidRDefault="0013601F" w:rsidP="0037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FCDE7" w14:textId="77777777" w:rsidR="0013601F" w:rsidRDefault="0013601F" w:rsidP="00372175">
      <w:pPr>
        <w:spacing w:after="0" w:line="240" w:lineRule="auto"/>
      </w:pPr>
      <w:r>
        <w:separator/>
      </w:r>
    </w:p>
  </w:footnote>
  <w:footnote w:type="continuationSeparator" w:id="0">
    <w:p w14:paraId="4FFEC98B" w14:textId="77777777" w:rsidR="0013601F" w:rsidRDefault="0013601F" w:rsidP="00372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613CA"/>
    <w:multiLevelType w:val="hybridMultilevel"/>
    <w:tmpl w:val="E162F504"/>
    <w:lvl w:ilvl="0" w:tplc="342E1E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0C8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2E5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A90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A40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F4B6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EDE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FA21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056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56"/>
    <w:rsid w:val="0013601F"/>
    <w:rsid w:val="001B3427"/>
    <w:rsid w:val="002F1907"/>
    <w:rsid w:val="00327B72"/>
    <w:rsid w:val="00372175"/>
    <w:rsid w:val="003A1FCD"/>
    <w:rsid w:val="0047797E"/>
    <w:rsid w:val="006472DF"/>
    <w:rsid w:val="006668CD"/>
    <w:rsid w:val="00BB0C4B"/>
    <w:rsid w:val="00C717E6"/>
    <w:rsid w:val="00DF71FC"/>
    <w:rsid w:val="00E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CD88F"/>
  <w15:chartTrackingRefBased/>
  <w15:docId w15:val="{44FC320C-4DAD-4CAC-9955-516D87FC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1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175"/>
  </w:style>
  <w:style w:type="paragraph" w:styleId="Footer">
    <w:name w:val="footer"/>
    <w:basedOn w:val="Normal"/>
    <w:link w:val="FooterChar"/>
    <w:uiPriority w:val="99"/>
    <w:unhideWhenUsed/>
    <w:rsid w:val="003721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175"/>
  </w:style>
  <w:style w:type="paragraph" w:styleId="NormalWeb">
    <w:name w:val="Normal (Web)"/>
    <w:basedOn w:val="Normal"/>
    <w:uiPriority w:val="99"/>
    <w:semiHidden/>
    <w:unhideWhenUsed/>
    <w:rsid w:val="00DF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2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自航</dc:creator>
  <cp:keywords/>
  <dc:description/>
  <cp:lastModifiedBy>潘 自航</cp:lastModifiedBy>
  <cp:revision>6</cp:revision>
  <dcterms:created xsi:type="dcterms:W3CDTF">2021-03-01T05:39:00Z</dcterms:created>
  <dcterms:modified xsi:type="dcterms:W3CDTF">2021-03-01T06:13:00Z</dcterms:modified>
</cp:coreProperties>
</file>