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A6B16F8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2995E449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147FA5" w14:textId="77777777" w:rsidR="007052B7" w:rsidRDefault="007052B7" w:rsidP="00BC6003">
      <w:r>
        <w:separator/>
      </w:r>
    </w:p>
  </w:endnote>
  <w:endnote w:type="continuationSeparator" w:id="0">
    <w:p w14:paraId="4E43E862" w14:textId="77777777" w:rsidR="007052B7" w:rsidRDefault="007052B7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CCCBE3" w14:textId="77777777" w:rsidR="007052B7" w:rsidRDefault="007052B7" w:rsidP="00BC6003">
      <w:r>
        <w:separator/>
      </w:r>
    </w:p>
  </w:footnote>
  <w:footnote w:type="continuationSeparator" w:id="0">
    <w:p w14:paraId="405D7EC8" w14:textId="77777777" w:rsidR="007052B7" w:rsidRDefault="007052B7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7DA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2B7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0EA9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2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658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Maity, Niharika G CTR USARMY USARPAC (USA)</cp:lastModifiedBy>
  <cp:revision>4</cp:revision>
  <cp:lastPrinted>2025-04-21T17:32:00Z</cp:lastPrinted>
  <dcterms:created xsi:type="dcterms:W3CDTF">2026-07-16T01:10:00Z</dcterms:created>
  <dcterms:modified xsi:type="dcterms:W3CDTF">2026-08-12T16:45:00Z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