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44"/>
          <w:szCs w:val="44"/>
        </w:rPr>
        <w:t xml:space="preserve">GMN Simplex Kernel</w:t>
      </w:r>
    </w:p>
    <w:p>
      <w:pPr>
        <w:spacing w:after="40"/>
      </w:pPr>
      <w:r>
        <w:rPr>
          <w:rFonts w:ascii="Calibri" w:cs="Calibri" w:eastAsia="Calibri" w:hAnsi="Calibri"/>
          <w:color w:val="2E5496"/>
          <w:sz w:val="26"/>
          <w:szCs w:val="26"/>
        </w:rPr>
        <w:t xml:space="preserve">Operational Description and Stage 4 Specification</w:t>
      </w:r>
    </w:p>
    <w:p>
      <w:pPr>
        <w:pBdr>
          <w:bottom w:val="single" w:color="1F3864" w:sz="12" w:space="6"/>
        </w:pBdr>
        <w:spacing w:after="200"/>
      </w:pPr>
      <w:r>
        <w:rPr>
          <w:rFonts w:ascii="Calibri" w:cs="Calibri" w:eastAsia="Calibri" w:hAnsi="Calibri"/>
          <w:i/>
          <w:iCs/>
          <w:color w:val="595959"/>
          <w:sz w:val="20"/>
          <w:szCs w:val="20"/>
        </w:rPr>
        <w:t xml:space="preserve">Float32 compute kernel for GMN generative Simplex projection</w:t>
      </w:r>
    </w:p>
    <w:p>
      <w:pPr>
        <w:pStyle w:val="Heading1"/>
        <w:spacing w:after="120" w:before="260"/>
      </w:pPr>
      <w:r>
        <w:rPr>
          <w:rFonts w:ascii="Calibri" w:cs="Calibri" w:eastAsia="Calibri" w:hAnsi="Calibri"/>
          <w:b/>
          <w:bCs/>
          <w:color w:val="1F3864"/>
          <w:sz w:val="30"/>
          <w:szCs w:val="30"/>
        </w:rPr>
        <w:t xml:space="preserve">1. Purpose and Scope</w:t>
      </w:r>
    </w:p>
    <w:p>
      <w:pPr>
        <w:spacing w:after="120" w:line="276"/>
        <w:jc w:val="both"/>
      </w:pPr>
      <w:r>
        <w:rPr>
          <w:rFonts w:ascii="Calibri" w:cs="Calibri" w:eastAsia="Calibri" w:hAnsi="Calibri"/>
          <w:b w:val="false"/>
          <w:bCs w:val="false"/>
          <w:i w:val="false"/>
          <w:iCs w:val="false"/>
          <w:sz w:val="21"/>
          <w:szCs w:val="21"/>
        </w:rPr>
        <w:t xml:space="preserve">The GMN Simplex kernel is a specialized float32 compute path that replaces the per-node </w:t>
      </w:r>
      <w:r>
        <w:rPr>
          <w:rFonts w:ascii="Consolas" w:cs="Consolas" w:eastAsia="Consolas" w:hAnsi="Consolas"/>
          <w:color w:val="7A3E00"/>
          <w:sz w:val="19"/>
          <w:szCs w:val="19"/>
        </w:rPr>
        <w:t xml:space="preserve">pyEDM.Simplex</w:t>
      </w:r>
      <w:r>
        <w:rPr>
          <w:rFonts w:ascii="Calibri" w:cs="Calibri" w:eastAsia="Calibri" w:hAnsi="Calibri"/>
          <w:b w:val="false"/>
          <w:bCs w:val="false"/>
          <w:i w:val="false"/>
          <w:iCs w:val="false"/>
          <w:sz w:val="21"/>
          <w:szCs w:val="21"/>
        </w:rPr>
        <w:t xml:space="preserve"> call inside </w:t>
      </w:r>
      <w:r>
        <w:rPr>
          <w:rFonts w:ascii="Consolas" w:cs="Consolas" w:eastAsia="Consolas" w:hAnsi="Consolas"/>
          <w:color w:val="7A3E00"/>
          <w:sz w:val="19"/>
          <w:szCs w:val="19"/>
        </w:rPr>
        <w:t xml:space="preserve">GMN.Generate()</w:t>
      </w:r>
      <w:r>
        <w:rPr>
          <w:rFonts w:ascii="Calibri" w:cs="Calibri" w:eastAsia="Calibri" w:hAnsi="Calibri"/>
          <w:b w:val="false"/>
          <w:bCs w:val="false"/>
          <w:i w:val="false"/>
          <w:iCs w:val="false"/>
          <w:sz w:val="21"/>
          <w:szCs w:val="21"/>
        </w:rPr>
        <w:t xml:space="preserve"> on the default generative geometry. It exists to remove the serial per-node bottleneck of the generation loop: at each timestep GMN iterates over the network nodes and, by default, each node invokes pyEDM, whose per-call overhead — DataFrame growth, string parsing, k-d tree construction, and re-embedding — dominates runtime as node count grows.</w:t>
      </w:r>
    </w:p>
    <w:p>
      <w:pPr>
        <w:spacing w:after="120" w:line="276"/>
        <w:jc w:val="both"/>
      </w:pPr>
      <w:r>
        <w:rPr>
          <w:rFonts w:ascii="Calibri" w:cs="Calibri" w:eastAsia="Calibri" w:hAnsi="Calibri"/>
          <w:b w:val="false"/>
          <w:bCs w:val="false"/>
          <w:i w:val="false"/>
          <w:iCs w:val="false"/>
          <w:sz w:val="21"/>
          <w:szCs w:val="21"/>
        </w:rPr>
        <w:t xml:space="preserve">This document describes what the kernel does, the correctness bound it guarantees, the conditions under which it applies, its measured performance and resource behavior, and how to verify each of those claims. Section 9 is a forward-looking specification for the next optimization stage (vectorized block processing) and is explicitly labeled as design, not delivered work.</w:t>
      </w:r>
    </w:p>
    <w:p>
      <w:pPr>
        <w:spacing w:after="120" w:line="276"/>
        <w:jc w:val="both"/>
      </w:pPr>
      <w:r>
        <w:rPr>
          <w:rFonts w:ascii="Calibri" w:cs="Calibri" w:eastAsia="Calibri" w:hAnsi="Calibri"/>
          <w:b w:val="false"/>
          <w:bCs w:val="false"/>
          <w:i w:val="false"/>
          <w:iCs w:val="false"/>
          <w:sz w:val="21"/>
          <w:szCs w:val="21"/>
        </w:rPr>
        <w:t xml:space="preserve">Out of scope: SMap nodes, forecast mode, and any node using non-default neighbor geometry. These continue to run the unchanged pyEDM reference path (see Section 4).</w:t>
      </w:r>
    </w:p>
    <w:p>
      <w:pPr>
        <w:pStyle w:val="Heading1"/>
        <w:spacing w:after="120" w:before="260"/>
      </w:pPr>
      <w:r>
        <w:rPr>
          <w:rFonts w:ascii="Calibri" w:cs="Calibri" w:eastAsia="Calibri" w:hAnsi="Calibri"/>
          <w:b/>
          <w:bCs/>
          <w:color w:val="1F3864"/>
          <w:sz w:val="30"/>
          <w:szCs w:val="30"/>
        </w:rPr>
        <w:t xml:space="preserve">2. What the Kernel Does</w:t>
      </w:r>
    </w:p>
    <w:p>
      <w:pPr>
        <w:spacing w:after="120" w:line="276"/>
        <w:jc w:val="both"/>
      </w:pPr>
      <w:r>
        <w:rPr>
          <w:rFonts w:ascii="Calibri" w:cs="Calibri" w:eastAsia="Calibri" w:hAnsi="Calibri"/>
          <w:b w:val="false"/>
          <w:bCs w:val="false"/>
          <w:i w:val="false"/>
          <w:iCs w:val="false"/>
          <w:sz w:val="21"/>
          <w:szCs w:val="21"/>
        </w:rPr>
        <w:t xml:space="preserve">For each eligible node the kernel builds, once at setup, a frozen float32 embedded library from the node’s data through the prediction start. Because the GMN generative library is fixed at that point, this library never grows over the horizon. At each generative step the kernel performs a brute-force Euclidean k-nearest-neighbor search of the single prediction vector against that frozen library, applies pyEDM’s deterministic tie ordering, and projects using floored exponential weights.</w:t>
      </w:r>
    </w:p>
    <w:p>
      <w:pPr>
        <w:spacing w:after="120" w:line="276"/>
        <w:jc w:val="both"/>
      </w:pPr>
      <w:r>
        <w:rPr>
          <w:rFonts w:ascii="Calibri" w:cs="Calibri" w:eastAsia="Calibri" w:hAnsi="Calibri"/>
          <w:b w:val="false"/>
          <w:bCs w:val="false"/>
          <w:i w:val="false"/>
          <w:iCs w:val="false"/>
          <w:sz w:val="21"/>
          <w:szCs w:val="21"/>
        </w:rPr>
        <w:t xml:space="preserve">The per-step sequence is:</w:t>
      </w:r>
    </w:p>
    <w:p>
      <w:pPr>
        <w:pStyle w:val="ListParagraph"/>
        <w:numPr>
          <w:ilvl w:val="0"/>
          <w:numId w:val="1"/>
        </w:numPr>
        <w:spacing w:after="80" w:line="276"/>
      </w:pPr>
      <w:r>
        <w:rPr>
          <w:rFonts w:ascii="Calibri" w:cs="Calibri" w:eastAsia="Calibri" w:hAnsi="Calibri"/>
          <w:b w:val="false"/>
          <w:bCs w:val="false"/>
          <w:i w:val="false"/>
          <w:iCs w:val="false"/>
          <w:sz w:val="21"/>
          <w:szCs w:val="21"/>
        </w:rPr>
        <w:t xml:space="preserve">Assemble the prediction embedding vector from a short rolling raw-history buffer (length set by the embedding span), without re-embedding the full series.</w:t>
      </w:r>
    </w:p>
    <w:p>
      <w:pPr>
        <w:pStyle w:val="ListParagraph"/>
        <w:numPr>
          <w:ilvl w:val="0"/>
          <w:numId w:val="1"/>
        </w:numPr>
        <w:spacing w:after="80" w:line="276"/>
      </w:pPr>
      <w:r>
        <w:rPr>
          <w:rFonts w:ascii="Calibri" w:cs="Calibri" w:eastAsia="Calibri" w:hAnsi="Calibri"/>
          <w:b w:val="false"/>
          <w:bCs w:val="false"/>
          <w:i w:val="false"/>
          <w:iCs w:val="false"/>
          <w:sz w:val="21"/>
          <w:szCs w:val="21"/>
        </w:rPr>
        <w:t xml:space="preserve">Compute Euclidean distances from that vector to every library row. A k-d tree is deliberately not used: with one query point per step, a tree’s build cost never amortizes.</w:t>
      </w:r>
    </w:p>
    <w:p>
      <w:pPr>
        <w:pStyle w:val="ListParagraph"/>
        <w:numPr>
          <w:ilvl w:val="0"/>
          <w:numId w:val="1"/>
        </w:numPr>
        <w:spacing w:after="80" w:line="276"/>
      </w:pPr>
      <w:r>
        <w:rPr>
          <w:rFonts w:ascii="Calibri" w:cs="Calibri" w:eastAsia="Calibri" w:hAnsi="Calibri"/>
          <w:b w:val="false"/>
          <w:bCs w:val="false"/>
          <w:i w:val="false"/>
          <w:iCs w:val="false"/>
          <w:sz w:val="21"/>
          <w:szCs w:val="21"/>
        </w:rPr>
        <w:t xml:space="preserve">Select k neighbors by the deterministic rule — distance, then proximity (</w:t>
      </w:r>
      <w:r>
        <w:rPr>
          <w:rFonts w:ascii="Consolas" w:cs="Consolas" w:eastAsia="Consolas" w:hAnsi="Consolas"/>
          <w:color w:val="7A3E00"/>
          <w:sz w:val="19"/>
          <w:szCs w:val="19"/>
        </w:rPr>
        <w:t xml:space="preserve">|predRow − libRow|</w:t>
      </w:r>
      <w:r>
        <w:rPr>
          <w:rFonts w:ascii="Calibri" w:cs="Calibri" w:eastAsia="Calibri" w:hAnsi="Calibri"/>
          <w:b w:val="false"/>
          <w:bCs w:val="false"/>
          <w:i w:val="false"/>
          <w:iCs w:val="false"/>
          <w:sz w:val="21"/>
          <w:szCs w:val="21"/>
        </w:rPr>
        <w:t xml:space="preserve">), then library-row index — matching pyEDM’s tie-break.</w:t>
      </w:r>
    </w:p>
    <w:p>
      <w:pPr>
        <w:pStyle w:val="ListParagraph"/>
        <w:numPr>
          <w:ilvl w:val="0"/>
          <w:numId w:val="1"/>
        </w:numPr>
        <w:spacing w:after="80" w:line="276"/>
      </w:pPr>
      <w:r>
        <w:rPr>
          <w:rFonts w:ascii="Calibri" w:cs="Calibri" w:eastAsia="Calibri" w:hAnsi="Calibri"/>
          <w:b w:val="false"/>
          <w:bCs w:val="false"/>
          <w:i w:val="false"/>
          <w:iCs w:val="false"/>
          <w:sz w:val="21"/>
          <w:szCs w:val="21"/>
        </w:rPr>
        <w:t xml:space="preserve">Project as the weighted average of the neighbors’ target-at-(neighbor + Tp) values, with weights </w:t>
      </w:r>
      <w:r>
        <w:rPr>
          <w:rFonts w:ascii="Consolas" w:cs="Consolas" w:eastAsia="Consolas" w:hAnsi="Consolas"/>
          <w:color w:val="7A3E00"/>
          <w:sz w:val="19"/>
          <w:szCs w:val="19"/>
        </w:rPr>
        <w:t xml:space="preserve">exp(−d/dMin)</w:t>
      </w:r>
      <w:r>
        <w:rPr>
          <w:rFonts w:ascii="Calibri" w:cs="Calibri" w:eastAsia="Calibri" w:hAnsi="Calibri"/>
          <w:b w:val="false"/>
          <w:bCs w:val="false"/>
          <w:i w:val="false"/>
          <w:iCs w:val="false"/>
          <w:sz w:val="21"/>
          <w:szCs w:val="21"/>
        </w:rPr>
        <w:t xml:space="preserve"> and </w:t>
      </w:r>
      <w:r>
        <w:rPr>
          <w:rFonts w:ascii="Consolas" w:cs="Consolas" w:eastAsia="Consolas" w:hAnsi="Consolas"/>
          <w:color w:val="7A3E00"/>
          <w:sz w:val="19"/>
          <w:szCs w:val="19"/>
        </w:rPr>
        <w:t xml:space="preserve">dMin</w:t>
      </w:r>
      <w:r>
        <w:rPr>
          <w:rFonts w:ascii="Calibri" w:cs="Calibri" w:eastAsia="Calibri" w:hAnsi="Calibri"/>
          <w:b w:val="false"/>
          <w:bCs w:val="false"/>
          <w:i w:val="false"/>
          <w:iCs w:val="false"/>
          <w:sz w:val="21"/>
          <w:szCs w:val="21"/>
        </w:rPr>
        <w:t xml:space="preserve"> floored at 1E-6.</w:t>
      </w:r>
    </w:p>
    <w:p>
      <w:pPr>
        <w:spacing w:after="120" w:line="276"/>
        <w:jc w:val="both"/>
      </w:pPr>
      <w:r>
        <w:rPr>
          <w:rFonts w:ascii="Calibri" w:cs="Calibri" w:eastAsia="Calibri" w:hAnsi="Calibri"/>
          <w:b w:val="false"/>
          <w:bCs w:val="false"/>
          <w:i w:val="false"/>
          <w:iCs w:val="false"/>
          <w:sz w:val="21"/>
          <w:szCs w:val="21"/>
        </w:rPr>
        <w:t xml:space="preserve">The operational significance is what is </w:t>
      </w:r>
      <w:r>
        <w:rPr>
          <w:rFonts w:ascii="Calibri" w:cs="Calibri" w:eastAsia="Calibri" w:hAnsi="Calibri"/>
          <w:b w:val="false"/>
          <w:bCs w:val="false"/>
          <w:i/>
          <w:iCs/>
          <w:sz w:val="21"/>
          <w:szCs w:val="21"/>
        </w:rPr>
        <w:t xml:space="preserve">absent</w:t>
      </w:r>
      <w:r>
        <w:rPr>
          <w:rFonts w:ascii="Calibri" w:cs="Calibri" w:eastAsia="Calibri" w:hAnsi="Calibri"/>
          <w:b w:val="false"/>
          <w:bCs w:val="false"/>
          <w:i w:val="false"/>
          <w:iCs w:val="false"/>
          <w:sz w:val="21"/>
          <w:szCs w:val="21"/>
        </w:rPr>
        <w:t xml:space="preserve"> from this loop relative to the pyEDM path: no DataFrame concatenation, no string-based column parsing, no k-d tree rebuild, and no re-embedding. That removal is the entire performance story (Section 6).</w:t>
      </w:r>
    </w:p>
    <w:p>
      <w:pPr>
        <w:pStyle w:val="Heading1"/>
        <w:spacing w:after="120" w:before="260"/>
      </w:pPr>
      <w:r>
        <w:rPr>
          <w:rFonts w:ascii="Calibri" w:cs="Calibri" w:eastAsia="Calibri" w:hAnsi="Calibri"/>
          <w:b/>
          <w:bCs/>
          <w:color w:val="1F3864"/>
          <w:sz w:val="30"/>
          <w:szCs w:val="30"/>
        </w:rPr>
        <w:t xml:space="preserve">3. Correctness and Its Bound</w:t>
      </w:r>
    </w:p>
    <w:p>
      <w:pPr>
        <w:spacing w:after="120" w:line="276"/>
        <w:jc w:val="both"/>
      </w:pPr>
      <w:r>
        <w:rPr>
          <w:rFonts w:ascii="Calibri" w:cs="Calibri" w:eastAsia="Calibri" w:hAnsi="Calibri"/>
          <w:b w:val="false"/>
          <w:bCs w:val="false"/>
          <w:i w:val="false"/>
          <w:iCs w:val="false"/>
          <w:sz w:val="21"/>
          <w:szCs w:val="21"/>
        </w:rPr>
        <w:t xml:space="preserve">The kernel reproduces pyEDM 2.5.7 (commit 4ad6b04) to a relative tolerance of 1×10⁻⁵ in float32 on the default path. This is enforced by a parity fixture suite that captures pyEDM’s output layers and applies a split contract: real-valued layers (embedding, neighbor distances, weights, projection) are compared to the relative tolerance, while structural layers (neighbor identity under ties, inf-padding pattern, library membership) must match exactly.</w:t>
      </w:r>
    </w:p>
    <w:p>
      <w:pPr>
        <w:spacing w:after="120" w:line="276"/>
        <w:jc w:val="both"/>
      </w:pPr>
      <w:r>
        <w:rPr>
          <w:rFonts w:ascii="Calibri" w:cs="Calibri" w:eastAsia="Calibri" w:hAnsi="Calibri"/>
          <w:b w:val="false"/>
          <w:bCs w:val="false"/>
          <w:i w:val="false"/>
          <w:iCs w:val="false"/>
          <w:sz w:val="21"/>
          <w:szCs w:val="21"/>
        </w:rPr>
        <w:t xml:space="preserve">Two honest caveats define the boundary of this claim:</w:t>
      </w:r>
    </w:p>
    <w:p>
      <w:pPr>
        <w:pStyle w:val="ListParagraph"/>
        <w:numPr>
          <w:ilvl w:val="0"/>
          <w:numId w:val="1"/>
        </w:numPr>
        <w:spacing w:after="80" w:line="276"/>
      </w:pPr>
      <w:r>
        <w:rPr>
          <w:rFonts w:ascii="Calibri" w:cs="Calibri" w:eastAsia="Calibri" w:hAnsi="Calibri"/>
          <w:b/>
          <w:bCs/>
          <w:i w:val="false"/>
          <w:iCs w:val="false"/>
          <w:sz w:val="21"/>
          <w:szCs w:val="21"/>
        </w:rPr>
        <w:t xml:space="preserve">Float32, not bit-identical. </w:t>
      </w:r>
      <w:r>
        <w:rPr>
          <w:rFonts w:ascii="Calibri" w:cs="Calibri" w:eastAsia="Calibri" w:hAnsi="Calibri"/>
          <w:b w:val="false"/>
          <w:bCs w:val="false"/>
          <w:i w:val="false"/>
          <w:iCs w:val="false"/>
          <w:sz w:val="21"/>
          <w:szCs w:val="21"/>
        </w:rPr>
        <w:t xml:space="preserve">The kernel computes in float32 where pyEDM uses float64, so agreement is to tolerance, not to the last bit. The 1×10⁻⁵ bound holds per single-step projection.</w:t>
      </w:r>
    </w:p>
    <w:p>
      <w:pPr>
        <w:pStyle w:val="ListParagraph"/>
        <w:numPr>
          <w:ilvl w:val="0"/>
          <w:numId w:val="1"/>
        </w:numPr>
        <w:spacing w:after="80" w:line="276"/>
      </w:pPr>
      <w:r>
        <w:rPr>
          <w:rFonts w:ascii="Calibri" w:cs="Calibri" w:eastAsia="Calibri" w:hAnsi="Calibri"/>
          <w:b/>
          <w:bCs/>
          <w:i w:val="false"/>
          <w:iCs w:val="false"/>
          <w:sz w:val="21"/>
          <w:szCs w:val="21"/>
        </w:rPr>
        <w:t xml:space="preserve">Trajectory divergence compounds. </w:t>
      </w:r>
      <w:r>
        <w:rPr>
          <w:rFonts w:ascii="Calibri" w:cs="Calibri" w:eastAsia="Calibri" w:hAnsi="Calibri"/>
          <w:b w:val="false"/>
          <w:bCs w:val="false"/>
          <w:i w:val="false"/>
          <w:iCs w:val="false"/>
          <w:sz w:val="21"/>
          <w:szCs w:val="21"/>
        </w:rPr>
        <w:t xml:space="preserve">In generation, each step’s output feeds the next, so per-step differences of order 10⁻⁶ accumulate into a bounded, same-basin divergence band — on the order of 10⁻³ over 100 steps. This is expected behavior, not error, and is why trajectory tests assert a divergence band rather than pointwise equality.</w:t>
      </w:r>
    </w:p>
    <w:p>
      <w:pPr>
        <w:pStyle w:val="Heading1"/>
        <w:spacing w:after="120" w:before="260"/>
      </w:pPr>
      <w:r>
        <w:rPr>
          <w:rFonts w:ascii="Calibri" w:cs="Calibri" w:eastAsia="Calibri" w:hAnsi="Calibri"/>
          <w:b/>
          <w:bCs/>
          <w:color w:val="1F3864"/>
          <w:sz w:val="30"/>
          <w:szCs w:val="30"/>
        </w:rPr>
        <w:t xml:space="preserve">4. Eligibility Scope — Kernel vs. Fallback</w:t>
      </w:r>
    </w:p>
    <w:p>
      <w:pPr>
        <w:spacing w:after="120" w:line="276"/>
        <w:jc w:val="both"/>
      </w:pPr>
      <w:r>
        <w:rPr>
          <w:rFonts w:ascii="Calibri" w:cs="Calibri" w:eastAsia="Calibri" w:hAnsi="Calibri"/>
          <w:b w:val="false"/>
          <w:bCs w:val="false"/>
          <w:i w:val="false"/>
          <w:iCs w:val="false"/>
          <w:sz w:val="21"/>
          <w:szCs w:val="21"/>
        </w:rPr>
        <w:t xml:space="preserve">Eligibility is decided per node at setup. The kernel handles the default generative geometry; anything outside it routes that individual node to the pyEDM reference path. A network mixing eligible and ineligible nodes simply runs, with the eligible nodes accelerated and the rest on the reference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shd w:fill="1F3864" w:val="clear"/>
            <w:tcMar>
              <w:top w:type="dxa" w:w="60"/>
              <w:left w:type="dxa" w:w="90"/>
              <w:bottom w:type="dxa" w:w="60"/>
              <w:right w:type="dxa" w:w="90"/>
            </w:tcMar>
          </w:tcPr>
          <w:p>
            <w:r>
              <w:rPr>
                <w:rFonts w:ascii="Calibri" w:cs="Calibri" w:eastAsia="Calibri" w:hAnsi="Calibri"/>
                <w:b/>
                <w:bCs/>
                <w:color w:val="FFFFFF"/>
                <w:sz w:val="20"/>
                <w:szCs w:val="20"/>
              </w:rPr>
              <w:t xml:space="preserve">Per-node configuration</w:t>
            </w:r>
          </w:p>
        </w:tc>
        <w:tc>
          <w:tcPr>
            <w:tcW w:type="dxa" w:w="3760"/>
            <w:shd w:fill="1F3864" w:val="clear"/>
            <w:tcMar>
              <w:top w:type="dxa" w:w="60"/>
              <w:left w:type="dxa" w:w="90"/>
              <w:bottom w:type="dxa" w:w="60"/>
              <w:right w:type="dxa" w:w="90"/>
            </w:tcMar>
          </w:tcPr>
          <w:p>
            <w:r>
              <w:rPr>
                <w:rFonts w:ascii="Calibri" w:cs="Calibri" w:eastAsia="Calibri" w:hAnsi="Calibri"/>
                <w:b/>
                <w:bCs/>
                <w:color w:val="FFFFFF"/>
                <w:sz w:val="20"/>
                <w:szCs w:val="20"/>
              </w:rPr>
              <w:t xml:space="preserve">Handling</w:t>
            </w:r>
          </w:p>
        </w:tc>
      </w:tr>
      <w:tr>
        <w:tc>
          <w:tcPr>
            <w:tcW w:type="dxa" w:w="5600"/>
            <w:shd w:fill="FFFFFF" w:val="clear"/>
            <w:tcMar>
              <w:top w:type="dxa" w:w="50"/>
              <w:left w:type="dxa" w:w="90"/>
              <w:bottom w:type="dxa" w:w="50"/>
              <w:right w:type="dxa" w:w="90"/>
            </w:tcMar>
          </w:tcPr>
          <w:p>
            <w:r>
              <w:rPr>
                <w:rFonts w:ascii="Calibri" w:cs="Calibri" w:eastAsia="Calibri" w:hAnsi="Calibri"/>
                <w:sz w:val="19"/>
                <w:szCs w:val="19"/>
              </w:rPr>
              <w:t xml:space="preserve">E, tau, Tp (embedding parameters)</w:t>
            </w:r>
          </w:p>
        </w:tc>
        <w:tc>
          <w:tcPr>
            <w:tcW w:type="dxa" w:w="3760"/>
            <w:shd w:fill="FFFFFF" w:val="clear"/>
            <w:tcMar>
              <w:top w:type="dxa" w:w="50"/>
              <w:left w:type="dxa" w:w="90"/>
              <w:bottom w:type="dxa" w:w="50"/>
              <w:right w:type="dxa" w:w="90"/>
            </w:tcMar>
          </w:tcPr>
          <w:p>
            <w:r>
              <w:rPr>
                <w:rFonts w:ascii="Calibri" w:cs="Calibri" w:eastAsia="Calibri" w:hAnsi="Calibri"/>
                <w:sz w:val="19"/>
                <w:szCs w:val="19"/>
              </w:rPr>
              <w:t xml:space="preserve">Handled by the kernel</w:t>
            </w:r>
          </w:p>
        </w:tc>
      </w:tr>
      <w:tr>
        <w:tc>
          <w:tcPr>
            <w:tcW w:type="dxa" w:w="5600"/>
            <w:shd w:fill="F2F5FA" w:val="clear"/>
            <w:tcMar>
              <w:top w:type="dxa" w:w="50"/>
              <w:left w:type="dxa" w:w="90"/>
              <w:bottom w:type="dxa" w:w="50"/>
              <w:right w:type="dxa" w:w="90"/>
            </w:tcMar>
          </w:tcPr>
          <w:p>
            <w:r>
              <w:rPr>
                <w:rFonts w:ascii="Calibri" w:cs="Calibri" w:eastAsia="Calibri" w:hAnsi="Calibri"/>
                <w:sz w:val="19"/>
                <w:szCs w:val="19"/>
              </w:rPr>
              <w:t xml:space="preserve">lib / pred (custom library or prediction range)</w:t>
            </w:r>
          </w:p>
        </w:tc>
        <w:tc>
          <w:tcPr>
            <w:tcW w:type="dxa" w:w="3760"/>
            <w:shd w:fill="F2F5FA" w:val="clear"/>
            <w:tcMar>
              <w:top w:type="dxa" w:w="50"/>
              <w:left w:type="dxa" w:w="90"/>
              <w:bottom w:type="dxa" w:w="50"/>
              <w:right w:type="dxa" w:w="90"/>
            </w:tcMar>
          </w:tcPr>
          <w:p>
            <w:r>
              <w:rPr>
                <w:rFonts w:ascii="Calibri" w:cs="Calibri" w:eastAsia="Calibri" w:hAnsi="Calibri"/>
                <w:sz w:val="19"/>
                <w:szCs w:val="19"/>
              </w:rPr>
              <w:t xml:space="preserve">pyEDM fallback</w:t>
            </w:r>
          </w:p>
        </w:tc>
      </w:tr>
      <w:tr>
        <w:tc>
          <w:tcPr>
            <w:tcW w:type="dxa" w:w="5600"/>
            <w:shd w:fill="FFFFFF" w:val="clear"/>
            <w:tcMar>
              <w:top w:type="dxa" w:w="50"/>
              <w:left w:type="dxa" w:w="90"/>
              <w:bottom w:type="dxa" w:w="50"/>
              <w:right w:type="dxa" w:w="90"/>
            </w:tcMar>
          </w:tcPr>
          <w:p>
            <w:r>
              <w:rPr>
                <w:rFonts w:ascii="Calibri" w:cs="Calibri" w:eastAsia="Calibri" w:hAnsi="Calibri"/>
                <w:sz w:val="19"/>
                <w:szCs w:val="19"/>
              </w:rPr>
              <w:t xml:space="preserve">exclusionRadius &gt; 0</w:t>
            </w:r>
          </w:p>
        </w:tc>
        <w:tc>
          <w:tcPr>
            <w:tcW w:type="dxa" w:w="3760"/>
            <w:shd w:fill="FFFFFF" w:val="clear"/>
            <w:tcMar>
              <w:top w:type="dxa" w:w="50"/>
              <w:left w:type="dxa" w:w="90"/>
              <w:bottom w:type="dxa" w:w="50"/>
              <w:right w:type="dxa" w:w="90"/>
            </w:tcMar>
          </w:tcPr>
          <w:p>
            <w:r>
              <w:rPr>
                <w:rFonts w:ascii="Calibri" w:cs="Calibri" w:eastAsia="Calibri" w:hAnsi="Calibri"/>
                <w:sz w:val="19"/>
                <w:szCs w:val="19"/>
              </w:rPr>
              <w:t xml:space="preserve">pyEDM fallback</w:t>
            </w:r>
          </w:p>
        </w:tc>
      </w:tr>
      <w:tr>
        <w:tc>
          <w:tcPr>
            <w:tcW w:type="dxa" w:w="5600"/>
            <w:shd w:fill="F2F5FA" w:val="clear"/>
            <w:tcMar>
              <w:top w:type="dxa" w:w="50"/>
              <w:left w:type="dxa" w:w="90"/>
              <w:bottom w:type="dxa" w:w="50"/>
              <w:right w:type="dxa" w:w="90"/>
            </w:tcMar>
          </w:tcPr>
          <w:p>
            <w:r>
              <w:rPr>
                <w:rFonts w:ascii="Calibri" w:cs="Calibri" w:eastAsia="Calibri" w:hAnsi="Calibri"/>
                <w:sz w:val="19"/>
                <w:szCs w:val="19"/>
              </w:rPr>
              <w:t xml:space="preserve">validLib (restricted library rows)</w:t>
            </w:r>
          </w:p>
        </w:tc>
        <w:tc>
          <w:tcPr>
            <w:tcW w:type="dxa" w:w="3760"/>
            <w:shd w:fill="F2F5FA" w:val="clear"/>
            <w:tcMar>
              <w:top w:type="dxa" w:w="50"/>
              <w:left w:type="dxa" w:w="90"/>
              <w:bottom w:type="dxa" w:w="50"/>
              <w:right w:type="dxa" w:w="90"/>
            </w:tcMar>
          </w:tcPr>
          <w:p>
            <w:r>
              <w:rPr>
                <w:rFonts w:ascii="Calibri" w:cs="Calibri" w:eastAsia="Calibri" w:hAnsi="Calibri"/>
                <w:sz w:val="19"/>
                <w:szCs w:val="19"/>
              </w:rPr>
              <w:t xml:space="preserve">pyEDM fallback</w:t>
            </w:r>
          </w:p>
        </w:tc>
      </w:tr>
      <w:tr>
        <w:tc>
          <w:tcPr>
            <w:tcW w:type="dxa" w:w="5600"/>
            <w:shd w:fill="FFFFFF" w:val="clear"/>
            <w:tcMar>
              <w:top w:type="dxa" w:w="50"/>
              <w:left w:type="dxa" w:w="90"/>
              <w:bottom w:type="dxa" w:w="50"/>
              <w:right w:type="dxa" w:w="90"/>
            </w:tcMar>
          </w:tcPr>
          <w:p>
            <w:r>
              <w:rPr>
                <w:rFonts w:ascii="Calibri" w:cs="Calibri" w:eastAsia="Calibri" w:hAnsi="Calibri"/>
                <w:sz w:val="19"/>
                <w:szCs w:val="19"/>
              </w:rPr>
              <w:t xml:space="preserve">Library too small for k neighbors</w:t>
            </w:r>
          </w:p>
        </w:tc>
        <w:tc>
          <w:tcPr>
            <w:tcW w:type="dxa" w:w="3760"/>
            <w:shd w:fill="FFFFFF" w:val="clear"/>
            <w:tcMar>
              <w:top w:type="dxa" w:w="50"/>
              <w:left w:type="dxa" w:w="90"/>
              <w:bottom w:type="dxa" w:w="50"/>
              <w:right w:type="dxa" w:w="90"/>
            </w:tcMar>
          </w:tcPr>
          <w:p>
            <w:r>
              <w:rPr>
                <w:rFonts w:ascii="Calibri" w:cs="Calibri" w:eastAsia="Calibri" w:hAnsi="Calibri"/>
                <w:sz w:val="19"/>
                <w:szCs w:val="19"/>
              </w:rPr>
              <w:t xml:space="preserve">pyEDM fallback</w:t>
            </w:r>
          </w:p>
        </w:tc>
      </w:tr>
    </w:tbl>
    <w:p>
      <w:pPr>
        <w:spacing w:after="120" w:line="276"/>
        <w:jc w:val="both"/>
      </w:pPr>
      <w:r>
        <w:rPr>
          <w:rFonts w:ascii="Calibri" w:cs="Calibri" w:eastAsia="Calibri" w:hAnsi="Calibri"/>
          <w:b w:val="false"/>
          <w:bCs w:val="false"/>
          <w:i w:val="false"/>
          <w:iCs w:val="false"/>
          <w:sz w:val="21"/>
          <w:szCs w:val="21"/>
        </w:rPr>
        <w:t xml:space="preserve">The critical operational point: the kernel does </w:t>
      </w:r>
      <w:r>
        <w:rPr>
          <w:rFonts w:ascii="Calibri" w:cs="Calibri" w:eastAsia="Calibri" w:hAnsi="Calibri"/>
          <w:b w:val="false"/>
          <w:bCs w:val="false"/>
          <w:i/>
          <w:iCs/>
          <w:sz w:val="21"/>
          <w:szCs w:val="21"/>
        </w:rPr>
        <w:t xml:space="preserve">not</w:t>
      </w:r>
      <w:r>
        <w:rPr>
          <w:rFonts w:ascii="Calibri" w:cs="Calibri" w:eastAsia="Calibri" w:hAnsi="Calibri"/>
          <w:b w:val="false"/>
          <w:bCs w:val="false"/>
          <w:i w:val="false"/>
          <w:iCs w:val="false"/>
          <w:sz w:val="21"/>
          <w:szCs w:val="21"/>
        </w:rPr>
        <w:t xml:space="preserve"> impose a static embedding. Per-node E, tau, and Tp are honored, so GMN’s per-node configuration flexibility is fully preserved — validated on a mixed network whose nodes span E ∈ {3, 8, 5, 10, 6, 4} and Tp ∈ {1, 1, 2, 1, 1, 3}, each matching its own pyEDM oracle to within 10⁻⁵. Only per-node neighbor-geometry customization (lib, pred, exclusion, validLib) triggers fallback.</w:t>
      </w:r>
    </w:p>
    <w:p>
      <w:pPr>
        <w:pStyle w:val="Heading1"/>
        <w:spacing w:after="120" w:before="260"/>
      </w:pPr>
      <w:r>
        <w:rPr>
          <w:rFonts w:ascii="Calibri" w:cs="Calibri" w:eastAsia="Calibri" w:hAnsi="Calibri"/>
          <w:b/>
          <w:bCs/>
          <w:color w:val="1F3864"/>
          <w:sz w:val="30"/>
          <w:szCs w:val="30"/>
        </w:rPr>
        <w:t xml:space="preserve">5. Defaults and Invocation</w:t>
      </w:r>
    </w:p>
    <w:p>
      <w:pPr>
        <w:spacing w:after="120" w:line="276"/>
        <w:jc w:val="both"/>
      </w:pPr>
      <w:r>
        <w:rPr>
          <w:rFonts w:ascii="Calibri" w:cs="Calibri" w:eastAsia="Calibri" w:hAnsi="Calibri"/>
          <w:b w:val="false"/>
          <w:bCs w:val="false"/>
          <w:i w:val="false"/>
          <w:iCs w:val="false"/>
          <w:sz w:val="21"/>
          <w:szCs w:val="21"/>
        </w:rPr>
        <w:t xml:space="preserve">The kernel is on by default. The </w:t>
      </w:r>
      <w:r>
        <w:rPr>
          <w:rFonts w:ascii="Consolas" w:cs="Consolas" w:eastAsia="Consolas" w:hAnsi="Consolas"/>
          <w:color w:val="7A3E00"/>
          <w:sz w:val="19"/>
          <w:szCs w:val="19"/>
        </w:rPr>
        <w:t xml:space="preserve">--pyedm</w:t>
      </w:r>
      <w:r>
        <w:rPr>
          <w:rFonts w:ascii="Calibri" w:cs="Calibri" w:eastAsia="Calibri" w:hAnsi="Calibri"/>
          <w:b w:val="false"/>
          <w:bCs w:val="false"/>
          <w:i w:val="false"/>
          <w:iCs w:val="false"/>
          <w:sz w:val="21"/>
          <w:szCs w:val="21"/>
        </w:rPr>
        <w:t xml:space="preserve"> flag forces the reference path for all nodes. The dispatch backend is serial by default; a parallel flat thread pool is available via </w:t>
      </w:r>
      <w:r>
        <w:rPr>
          <w:rFonts w:ascii="Consolas" w:cs="Consolas" w:eastAsia="Consolas" w:hAnsi="Consolas"/>
          <w:color w:val="7A3E00"/>
          <w:sz w:val="19"/>
          <w:szCs w:val="19"/>
        </w:rPr>
        <w:t xml:space="preserve">-b parallel</w:t>
      </w:r>
      <w:r>
        <w:rPr>
          <w:rFonts w:ascii="Calibri" w:cs="Calibri" w:eastAsia="Calibri" w:hAnsi="Calibri"/>
          <w:b w:val="false"/>
          <w:bCs w:val="false"/>
          <w:i w:val="false"/>
          <w:iCs w:val="false"/>
          <w:sz w:val="21"/>
          <w:szCs w:val="21"/>
        </w:rPr>
        <w:t xml:space="preserve"> but is not beneficial for the kernel (Section 7).</w:t>
      </w:r>
    </w:p>
    <w:p>
      <w:pPr>
        <w:spacing w:after="120" w:line="276"/>
        <w:jc w:val="both"/>
      </w:pPr>
      <w:r>
        <w:rPr>
          <w:rFonts w:ascii="Calibri" w:cs="Calibri" w:eastAsia="Calibri" w:hAnsi="Calibri"/>
          <w:b w:val="false"/>
          <w:bCs w:val="false"/>
          <w:i w:val="false"/>
          <w:iCs w:val="false"/>
          <w:sz w:val="21"/>
          <w:szCs w:val="21"/>
        </w:rPr>
        <w:t xml:space="preserve">Consequently, a no-flag run now generates via the kernel on a serial backend. Its output matches the former pyEDM default to 1×10⁻⁵ rather than being bit-identical — the behavioral change to be aware of when comparing against historical reference outputs.</w:t>
      </w:r>
    </w:p>
    <w:p>
      <w:pPr>
        <w:pStyle w:val="Heading1"/>
        <w:spacing w:after="120" w:before="260"/>
      </w:pPr>
      <w:r>
        <w:rPr>
          <w:rFonts w:ascii="Calibri" w:cs="Calibri" w:eastAsia="Calibri" w:hAnsi="Calibri"/>
          <w:b/>
          <w:bCs/>
          <w:color w:val="1F3864"/>
          <w:sz w:val="30"/>
          <w:szCs w:val="30"/>
        </w:rPr>
        <w:t xml:space="preserve">6. Performance — Measured, Serial</w:t>
      </w:r>
    </w:p>
    <w:p>
      <w:pPr>
        <w:spacing w:after="120" w:line="276"/>
        <w:jc w:val="both"/>
      </w:pPr>
      <w:r>
        <w:rPr>
          <w:rFonts w:ascii="Calibri" w:cs="Calibri" w:eastAsia="Calibri" w:hAnsi="Calibri"/>
          <w:b w:val="false"/>
          <w:bCs w:val="false"/>
          <w:i w:val="false"/>
          <w:iCs w:val="false"/>
          <w:sz w:val="21"/>
          <w:szCs w:val="21"/>
        </w:rPr>
        <w:t xml:space="preserve">All figures below are serial (no parallelism) and were measured through the application entry point against generated benchmark networks, comparing the kernel path to the pyEDM serial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60"/>
              <w:left w:type="dxa" w:w="90"/>
              <w:bottom w:type="dxa" w:w="60"/>
              <w:right w:type="dxa" w:w="90"/>
            </w:tcMar>
          </w:tcPr>
          <w:p>
            <w:r>
              <w:rPr>
                <w:rFonts w:ascii="Calibri" w:cs="Calibri" w:eastAsia="Calibri" w:hAnsi="Calibri"/>
                <w:b/>
                <w:bCs/>
                <w:color w:val="FFFFFF"/>
                <w:sz w:val="20"/>
                <w:szCs w:val="20"/>
              </w:rPr>
              <w:t xml:space="preserve">Network size</w:t>
            </w:r>
          </w:p>
        </w:tc>
        <w:tc>
          <w:tcPr>
            <w:tcW w:type="dxa" w:w="4680"/>
            <w:shd w:fill="1F3864" w:val="clear"/>
            <w:tcMar>
              <w:top w:type="dxa" w:w="60"/>
              <w:left w:type="dxa" w:w="90"/>
              <w:bottom w:type="dxa" w:w="60"/>
              <w:right w:type="dxa" w:w="90"/>
            </w:tcMar>
          </w:tcPr>
          <w:p>
            <w:r>
              <w:rPr>
                <w:rFonts w:ascii="Calibri" w:cs="Calibri" w:eastAsia="Calibri" w:hAnsi="Calibri"/>
                <w:b/>
                <w:bCs/>
                <w:color w:val="FFFFFF"/>
                <w:sz w:val="20"/>
                <w:szCs w:val="20"/>
              </w:rPr>
              <w:t xml:space="preserve">Kernel speedup vs. pyEDM (serial)</w:t>
            </w:r>
          </w:p>
        </w:tc>
      </w:tr>
      <w:tr>
        <w:tc>
          <w:tcPr>
            <w:tcW w:type="dxa" w:w="4680"/>
            <w:shd w:fill="FFFFFF" w:val="clear"/>
            <w:tcMar>
              <w:top w:type="dxa" w:w="50"/>
              <w:left w:type="dxa" w:w="90"/>
              <w:bottom w:type="dxa" w:w="50"/>
              <w:right w:type="dxa" w:w="90"/>
            </w:tcMar>
          </w:tcPr>
          <w:p>
            <w:r>
              <w:rPr>
                <w:rFonts w:ascii="Calibri" w:cs="Calibri" w:eastAsia="Calibri" w:hAnsi="Calibri"/>
                <w:sz w:val="19"/>
                <w:szCs w:val="19"/>
              </w:rPr>
              <w:t xml:space="preserve">50 nodes</w:t>
            </w:r>
          </w:p>
        </w:tc>
        <w:tc>
          <w:tcPr>
            <w:tcW w:type="dxa" w:w="4680"/>
            <w:shd w:fill="FFFFFF" w:val="clear"/>
            <w:tcMar>
              <w:top w:type="dxa" w:w="50"/>
              <w:left w:type="dxa" w:w="90"/>
              <w:bottom w:type="dxa" w:w="50"/>
              <w:right w:type="dxa" w:w="90"/>
            </w:tcMar>
          </w:tcPr>
          <w:p>
            <w:r>
              <w:rPr>
                <w:rFonts w:ascii="Calibri" w:cs="Calibri" w:eastAsia="Calibri" w:hAnsi="Calibri"/>
                <w:sz w:val="19"/>
                <w:szCs w:val="19"/>
              </w:rPr>
              <w:t xml:space="preserve">~6×</w:t>
            </w:r>
          </w:p>
        </w:tc>
      </w:tr>
      <w:tr>
        <w:tc>
          <w:tcPr>
            <w:tcW w:type="dxa" w:w="4680"/>
            <w:shd w:fill="F2F5FA" w:val="clear"/>
            <w:tcMar>
              <w:top w:type="dxa" w:w="50"/>
              <w:left w:type="dxa" w:w="90"/>
              <w:bottom w:type="dxa" w:w="50"/>
              <w:right w:type="dxa" w:w="90"/>
            </w:tcMar>
          </w:tcPr>
          <w:p>
            <w:r>
              <w:rPr>
                <w:rFonts w:ascii="Calibri" w:cs="Calibri" w:eastAsia="Calibri" w:hAnsi="Calibri"/>
                <w:sz w:val="19"/>
                <w:szCs w:val="19"/>
              </w:rPr>
              <w:t xml:space="preserve">200 nodes</w:t>
            </w:r>
          </w:p>
        </w:tc>
        <w:tc>
          <w:tcPr>
            <w:tcW w:type="dxa" w:w="4680"/>
            <w:shd w:fill="F2F5FA" w:val="clear"/>
            <w:tcMar>
              <w:top w:type="dxa" w:w="50"/>
              <w:left w:type="dxa" w:w="90"/>
              <w:bottom w:type="dxa" w:w="50"/>
              <w:right w:type="dxa" w:w="90"/>
            </w:tcMar>
          </w:tcPr>
          <w:p>
            <w:r>
              <w:rPr>
                <w:rFonts w:ascii="Calibri" w:cs="Calibri" w:eastAsia="Calibri" w:hAnsi="Calibri"/>
                <w:sz w:val="19"/>
                <w:szCs w:val="19"/>
              </w:rPr>
              <w:t xml:space="preserve">~26×</w:t>
            </w:r>
          </w:p>
        </w:tc>
      </w:tr>
      <w:tr>
        <w:tc>
          <w:tcPr>
            <w:tcW w:type="dxa" w:w="4680"/>
            <w:shd w:fill="FFFFFF" w:val="clear"/>
            <w:tcMar>
              <w:top w:type="dxa" w:w="50"/>
              <w:left w:type="dxa" w:w="90"/>
              <w:bottom w:type="dxa" w:w="50"/>
              <w:right w:type="dxa" w:w="90"/>
            </w:tcMar>
          </w:tcPr>
          <w:p>
            <w:r>
              <w:rPr>
                <w:rFonts w:ascii="Calibri" w:cs="Calibri" w:eastAsia="Calibri" w:hAnsi="Calibri"/>
                <w:sz w:val="19"/>
                <w:szCs w:val="19"/>
              </w:rPr>
              <w:t xml:space="preserve">200–1000 nodes</w:t>
            </w:r>
          </w:p>
        </w:tc>
        <w:tc>
          <w:tcPr>
            <w:tcW w:type="dxa" w:w="4680"/>
            <w:shd w:fill="FFFFFF" w:val="clear"/>
            <w:tcMar>
              <w:top w:type="dxa" w:w="50"/>
              <w:left w:type="dxa" w:w="90"/>
              <w:bottom w:type="dxa" w:w="50"/>
              <w:right w:type="dxa" w:w="90"/>
            </w:tcMar>
          </w:tcPr>
          <w:p>
            <w:r>
              <w:rPr>
                <w:rFonts w:ascii="Calibri" w:cs="Calibri" w:eastAsia="Calibri" w:hAnsi="Calibri"/>
                <w:sz w:val="19"/>
                <w:szCs w:val="19"/>
              </w:rPr>
              <w:t xml:space="preserve">~50–200×</w:t>
            </w:r>
          </w:p>
        </w:tc>
      </w:tr>
    </w:tbl>
    <w:p>
      <w:pPr>
        <w:spacing w:after="120" w:line="276"/>
        <w:jc w:val="both"/>
      </w:pPr>
      <w:r>
        <w:rPr>
          <w:rFonts w:ascii="Calibri" w:cs="Calibri" w:eastAsia="Calibri" w:hAnsi="Calibri"/>
          <w:b w:val="false"/>
          <w:bCs w:val="false"/>
          <w:i w:val="false"/>
          <w:iCs w:val="false"/>
          <w:sz w:val="21"/>
          <w:szCs w:val="21"/>
        </w:rPr>
        <w:t xml:space="preserve">The scaling property that matters operationally: per-node cost is flat-to-improving with network size — approximately 90–130 microseconds per node per step, essentially constant from 200 to 1000 nodes, and nearly unchanged when the library was quadrupled in length. Total runtime is therefore linear in (nodes × steps), with no superlinear blowup. This serial speedup is the delivered result and requires no parallelism.</w:t>
      </w:r>
    </w:p>
    <w:p>
      <w:pPr>
        <w:pStyle w:val="Heading1"/>
        <w:spacing w:after="120" w:before="260"/>
      </w:pPr>
      <w:r>
        <w:rPr>
          <w:rFonts w:ascii="Calibri" w:cs="Calibri" w:eastAsia="Calibri" w:hAnsi="Calibri"/>
          <w:b/>
          <w:bCs/>
          <w:color w:val="1F3864"/>
          <w:sz w:val="30"/>
          <w:szCs w:val="30"/>
        </w:rPr>
        <w:t xml:space="preserve">7. Why Node-Level Parallelism Does Not Help</w:t>
      </w:r>
    </w:p>
    <w:p>
      <w:pPr>
        <w:spacing w:after="120" w:line="276"/>
        <w:jc w:val="both"/>
      </w:pPr>
      <w:r>
        <w:rPr>
          <w:rFonts w:ascii="Calibri" w:cs="Calibri" w:eastAsia="Calibri" w:hAnsi="Calibri"/>
          <w:b w:val="false"/>
          <w:bCs w:val="false"/>
          <w:i w:val="false"/>
          <w:iCs w:val="false"/>
          <w:sz w:val="21"/>
          <w:szCs w:val="21"/>
        </w:rPr>
        <w:t xml:space="preserve">Node-level thread parallelism was measured and does not pay for the kernel. Parallel-over-serial gain stayed below 1.0 (approximately 0.70–0.84) across three independent levers, tested separately:</w:t>
      </w:r>
    </w:p>
    <w:p>
      <w:pPr>
        <w:pStyle w:val="ListParagraph"/>
        <w:numPr>
          <w:ilvl w:val="0"/>
          <w:numId w:val="1"/>
        </w:numPr>
        <w:spacing w:after="80" w:line="276"/>
      </w:pPr>
      <w:r>
        <w:rPr>
          <w:rFonts w:ascii="Calibri" w:cs="Calibri" w:eastAsia="Calibri" w:hAnsi="Calibri"/>
          <w:b w:val="false"/>
          <w:bCs w:val="false"/>
          <w:i w:val="false"/>
          <w:iCs w:val="false"/>
          <w:sz w:val="21"/>
          <w:szCs w:val="21"/>
        </w:rPr>
        <w:t xml:space="preserve">Chunk size (dispatch granularity) swept from coarse to one-node-per-chunk.</w:t>
      </w:r>
    </w:p>
    <w:p>
      <w:pPr>
        <w:pStyle w:val="ListParagraph"/>
        <w:numPr>
          <w:ilvl w:val="0"/>
          <w:numId w:val="1"/>
        </w:numPr>
        <w:spacing w:after="80" w:line="276"/>
      </w:pPr>
      <w:r>
        <w:rPr>
          <w:rFonts w:ascii="Calibri" w:cs="Calibri" w:eastAsia="Calibri" w:hAnsi="Calibri"/>
          <w:b w:val="false"/>
          <w:bCs w:val="false"/>
          <w:i w:val="false"/>
          <w:iCs w:val="false"/>
          <w:sz w:val="21"/>
          <w:szCs w:val="21"/>
        </w:rPr>
        <w:t xml:space="preserve">Library length increased fourfold.</w:t>
      </w:r>
    </w:p>
    <w:p>
      <w:pPr>
        <w:pStyle w:val="ListParagraph"/>
        <w:numPr>
          <w:ilvl w:val="0"/>
          <w:numId w:val="1"/>
        </w:numPr>
        <w:spacing w:after="80" w:line="276"/>
      </w:pPr>
      <w:r>
        <w:rPr>
          <w:rFonts w:ascii="Calibri" w:cs="Calibri" w:eastAsia="Calibri" w:hAnsi="Calibri"/>
          <w:b w:val="false"/>
          <w:bCs w:val="false"/>
          <w:i w:val="false"/>
          <w:iCs w:val="false"/>
          <w:sz w:val="21"/>
          <w:szCs w:val="21"/>
        </w:rPr>
        <w:t xml:space="preserve">Embedding dimension E raised from 5 to 10 to 20.</w:t>
      </w:r>
    </w:p>
    <w:p>
      <w:pPr>
        <w:spacing w:after="120" w:line="276"/>
        <w:jc w:val="both"/>
      </w:pPr>
      <w:r>
        <w:rPr>
          <w:rFonts w:ascii="Calibri" w:cs="Calibri" w:eastAsia="Calibri" w:hAnsi="Calibri"/>
          <w:b w:val="false"/>
          <w:bCs w:val="false"/>
          <w:i w:val="false"/>
          <w:iCs w:val="false"/>
          <w:sz w:val="21"/>
          <w:szCs w:val="21"/>
        </w:rPr>
        <w:t xml:space="preserve">None moved the gain above 1.0. The mechanism: the kernel makes per-node work so cheap and numpy-thin that the fixed per-call Python and GIL overhead dominates, and that overhead scales with the work rather than being amortized by it — so threads cannot overlap it. The conclusion, backed by all three sweeps, is to ship serial as the default. The parallel scheduler remains in the tree but off; it is retained as the substrate for the batched approach in Section 9, where parallelism operates at a different granularity.</w:t>
      </w:r>
    </w:p>
    <w:p>
      <w:pPr>
        <w:pStyle w:val="Heading1"/>
        <w:spacing w:after="120" w:before="260"/>
      </w:pPr>
      <w:r>
        <w:rPr>
          <w:rFonts w:ascii="Calibri" w:cs="Calibri" w:eastAsia="Calibri" w:hAnsi="Calibri"/>
          <w:b/>
          <w:bCs/>
          <w:color w:val="1F3864"/>
          <w:sz w:val="30"/>
          <w:szCs w:val="30"/>
        </w:rPr>
        <w:t xml:space="preserve">8. Resource Profile</w:t>
      </w:r>
    </w:p>
    <w:p>
      <w:pPr>
        <w:spacing w:after="120" w:line="276"/>
        <w:jc w:val="both"/>
      </w:pPr>
      <w:r>
        <w:rPr>
          <w:rFonts w:ascii="Calibri" w:cs="Calibri" w:eastAsia="Calibri" w:hAnsi="Calibri"/>
          <w:b w:val="false"/>
          <w:bCs w:val="false"/>
          <w:i w:val="false"/>
          <w:iCs w:val="false"/>
          <w:sz w:val="21"/>
          <w:szCs w:val="21"/>
        </w:rPr>
        <w:t xml:space="preserve">Memory is bounded and flat across the horizon — a strict improvement over the pyEDM path, whose per-node DataFrame grew every step. Steady-state memory is dominated by the resident frozen libraries, approximately:</w:t>
      </w:r>
    </w:p>
    <w:p>
      <w:pPr>
        <w:spacing w:after="120" w:before="60"/>
        <w:jc w:val="center"/>
      </w:pPr>
      <w:r>
        <w:rPr>
          <w:rFonts w:ascii="Consolas" w:cs="Consolas" w:eastAsia="Consolas" w:hAnsi="Consolas"/>
          <w:color w:val="7A3E00"/>
          <w:sz w:val="19"/>
          <w:szCs w:val="19"/>
        </w:rPr>
        <w:t xml:space="preserve">N_nodes  ×  N_lib  ×  E  ×  nCols  ×  4 bytes</w:t>
      </w:r>
    </w:p>
    <w:p>
      <w:pPr>
        <w:spacing w:after="120" w:line="276"/>
        <w:jc w:val="both"/>
      </w:pPr>
      <w:r>
        <w:rPr>
          <w:rFonts w:ascii="Calibri" w:cs="Calibri" w:eastAsia="Calibri" w:hAnsi="Calibri"/>
          <w:b w:val="false"/>
          <w:bCs w:val="false"/>
          <w:i w:val="false"/>
          <w:iCs w:val="false"/>
          <w:sz w:val="21"/>
          <w:szCs w:val="21"/>
        </w:rPr>
        <w:t xml:space="preserve">This resident cost is constant over the horizon (the point of freezing the library) but is large in the node × library dimension. At extreme scale — for example 10⁵ nodes, a 10⁴-row library, E = 15, several input columns — the resident library set reaches hundreds of gigabytes and becomes the binding constraint </w:t>
      </w:r>
      <w:r>
        <w:rPr>
          <w:rFonts w:ascii="Calibri" w:cs="Calibri" w:eastAsia="Calibri" w:hAnsi="Calibri"/>
          <w:b w:val="false"/>
          <w:bCs w:val="false"/>
          <w:i/>
          <w:iCs/>
          <w:sz w:val="21"/>
          <w:szCs w:val="21"/>
        </w:rPr>
        <w:t xml:space="preserve">before</w:t>
      </w:r>
      <w:r>
        <w:rPr>
          <w:rFonts w:ascii="Calibri" w:cs="Calibri" w:eastAsia="Calibri" w:hAnsi="Calibri"/>
          <w:b w:val="false"/>
          <w:bCs w:val="false"/>
          <w:i w:val="false"/>
          <w:iCs w:val="false"/>
          <w:sz w:val="21"/>
          <w:szCs w:val="21"/>
        </w:rPr>
        <w:t xml:space="preserve"> runtime does. That ceiling is distinct from the per-step transient and is not addressed by batching alone (Section 9.6). CPU use is single-threaded per node by default and scales linearly with (nodes × steps).</w:t>
      </w:r>
    </w:p>
    <w:p>
      <w:pPr>
        <w:pStyle w:val="Heading1"/>
        <w:spacing w:after="120" w:before="260"/>
      </w:pPr>
      <w:r>
        <w:rPr>
          <w:rFonts w:ascii="Calibri" w:cs="Calibri" w:eastAsia="Calibri" w:hAnsi="Calibri"/>
          <w:b/>
          <w:bCs/>
          <w:color w:val="1F3864"/>
          <w:sz w:val="30"/>
          <w:szCs w:val="30"/>
        </w:rPr>
        <w:t xml:space="preserve">9. Next Step — Vectorized Block Processing (Stage 4 Specification)</w:t>
      </w:r>
    </w:p>
    <w:p>
      <w:pPr>
        <w:pBdr>
          <w:left w:val="single" w:color="C55A11" w:sz="18" w:space="8"/>
        </w:pBdr>
        <w:shd w:fill="FCE9D6" w:val="clear"/>
        <w:spacing w:after="140" w:before="100" w:line="276"/>
      </w:pPr>
      <w:r>
        <w:rPr>
          <w:rFonts w:ascii="Calibri" w:cs="Calibri" w:eastAsia="Calibri" w:hAnsi="Calibri"/>
          <w:b/>
          <w:bCs/>
          <w:i w:val="false"/>
          <w:iCs w:val="false"/>
          <w:sz w:val="21"/>
          <w:szCs w:val="21"/>
        </w:rPr>
        <w:t xml:space="preserve">Status: proposed design, not yet implemented or measured. </w:t>
      </w:r>
      <w:r>
        <w:rPr>
          <w:rFonts w:ascii="Calibri" w:cs="Calibri" w:eastAsia="Calibri" w:hAnsi="Calibri"/>
          <w:b w:val="false"/>
          <w:bCs w:val="false"/>
          <w:i w:val="false"/>
          <w:iCs w:val="false"/>
          <w:sz w:val="21"/>
          <w:szCs w:val="21"/>
        </w:rPr>
        <w:t xml:space="preserve">This section specifies the next optimization and defines the criteria that would validate it. The performance claims are expected mechanisms, not results; no batched implementation or measurement exists yet.</w:t>
      </w:r>
    </w:p>
    <w:p>
      <w:pPr>
        <w:pStyle w:val="Heading2"/>
        <w:spacing w:after="90" w:before="180"/>
      </w:pPr>
      <w:r>
        <w:rPr>
          <w:rFonts w:ascii="Calibri" w:cs="Calibri" w:eastAsia="Calibri" w:hAnsi="Calibri"/>
          <w:b/>
          <w:bCs/>
          <w:color w:val="2E5496"/>
          <w:sz w:val="24"/>
          <w:szCs w:val="24"/>
        </w:rPr>
        <w:t xml:space="preserve">9.1 Motivation and the Lever</w:t>
      </w:r>
    </w:p>
    <w:p>
      <w:pPr>
        <w:spacing w:after="120" w:line="276"/>
        <w:jc w:val="both"/>
      </w:pPr>
      <w:r>
        <w:rPr>
          <w:rFonts w:ascii="Calibri" w:cs="Calibri" w:eastAsia="Calibri" w:hAnsi="Calibri"/>
          <w:b w:val="false"/>
          <w:bCs w:val="false"/>
          <w:i w:val="false"/>
          <w:iCs w:val="false"/>
          <w:sz w:val="21"/>
          <w:szCs w:val="21"/>
        </w:rPr>
        <w:t xml:space="preserve">Section 7 established that per-node cost is dominated by fixed per-call Python/GIL overhead, not the neighbor scan, and Section 8 that the work per node is numpy-thin. Since all nodes within a timestep are independent (each reads only the previous step’s outputs), the lever is to collapse N per-node calls into one batched numpy operation across nodes — vectorization, not threads. The goal is to reduce the per-call overhead that Section 7 proved dominant, improving serial throughput.</w:t>
      </w:r>
    </w:p>
    <w:p>
      <w:pPr>
        <w:pStyle w:val="Heading2"/>
        <w:spacing w:after="90" w:before="180"/>
      </w:pPr>
      <w:r>
        <w:rPr>
          <w:rFonts w:ascii="Calibri" w:cs="Calibri" w:eastAsia="Calibri" w:hAnsi="Calibri"/>
          <w:b/>
          <w:bCs/>
          <w:color w:val="2E5496"/>
          <w:sz w:val="24"/>
          <w:szCs w:val="24"/>
        </w:rPr>
        <w:t xml:space="preserve">9.2 Scope and Inherited Limitations</w:t>
      </w:r>
    </w:p>
    <w:p>
      <w:pPr>
        <w:spacing w:after="120" w:line="276"/>
        <w:jc w:val="both"/>
      </w:pPr>
      <w:r>
        <w:rPr>
          <w:rFonts w:ascii="Calibri" w:cs="Calibri" w:eastAsia="Calibri" w:hAnsi="Calibri"/>
          <w:b/>
          <w:bCs/>
          <w:i w:val="false"/>
          <w:iCs w:val="false"/>
          <w:sz w:val="21"/>
          <w:szCs w:val="21"/>
        </w:rPr>
        <w:t xml:space="preserve">Simplex-default only. </w:t>
      </w:r>
      <w:r>
        <w:rPr>
          <w:rFonts w:ascii="Calibri" w:cs="Calibri" w:eastAsia="Calibri" w:hAnsi="Calibri"/>
          <w:b w:val="false"/>
          <w:bCs w:val="false"/>
          <w:i w:val="false"/>
          <w:iCs w:val="false"/>
          <w:sz w:val="21"/>
          <w:szCs w:val="21"/>
        </w:rPr>
        <w:t xml:space="preserve">Batching inherits the scalar kernel’s eligibility exactly: it applies to Simplex nodes on the default generative geometry. SMap nodes, forecast mode, and any node that falls back to pyEDM in the scalar kernel are excluded from every batch and run their existing paths. Batching is a throughput optimization within the already-eligible set, not an expansion of scope. A network that is mostly SMap or mostly non-default-geometry gains little regardless of node count; the eligible fraction is what batches.</w:t>
      </w:r>
    </w:p>
    <w:p>
      <w:pPr>
        <w:spacing w:after="120" w:line="276"/>
        <w:jc w:val="both"/>
      </w:pPr>
      <w:r>
        <w:rPr>
          <w:rFonts w:ascii="Calibri" w:cs="Calibri" w:eastAsia="Calibri" w:hAnsi="Calibri"/>
          <w:b/>
          <w:bCs/>
          <w:i w:val="false"/>
          <w:iCs w:val="false"/>
          <w:sz w:val="21"/>
          <w:szCs w:val="21"/>
        </w:rPr>
        <w:t xml:space="preserve">Per-node embedding parameters are preserved but partition the work. </w:t>
      </w:r>
      <w:r>
        <w:rPr>
          <w:rFonts w:ascii="Calibri" w:cs="Calibri" w:eastAsia="Calibri" w:hAnsi="Calibri"/>
          <w:b w:val="false"/>
          <w:bCs w:val="false"/>
          <w:i w:val="false"/>
          <w:iCs w:val="false"/>
          <w:sz w:val="21"/>
          <w:szCs w:val="21"/>
        </w:rPr>
        <w:t xml:space="preserve">Nodes are not required to share E, tau, or Tp globally. However, a single batch must be shape-homogeneous, because stacking libraries into one tensor fixes its dimensions. Nodes are therefore bucketed at setup by full embedding shape — the joint key </w:t>
      </w:r>
      <w:r>
        <w:rPr>
          <w:rFonts w:ascii="Consolas" w:cs="Consolas" w:eastAsia="Consolas" w:hAnsi="Consolas"/>
          <w:color w:val="7A3E00"/>
          <w:sz w:val="19"/>
          <w:szCs w:val="19"/>
        </w:rPr>
        <w:t xml:space="preserve">(E, tau, nCols)</w:t>
      </w:r>
      <w:r>
        <w:rPr>
          <w:rFonts w:ascii="Calibri" w:cs="Calibri" w:eastAsia="Calibri" w:hAnsi="Calibri"/>
          <w:b w:val="false"/>
          <w:bCs w:val="false"/>
          <w:i w:val="false"/>
          <w:iCs w:val="false"/>
          <w:sz w:val="21"/>
          <w:szCs w:val="21"/>
        </w:rPr>
        <w:t xml:space="preserve"> — and vectorized within each bucket. Tp does not affect embedding shape (it only shifts which target row each library row maps to), so mixed Tp within a bucket is cheaper to accommodate than mixed E.</w:t>
      </w:r>
    </w:p>
    <w:p>
      <w:pPr>
        <w:spacing w:after="120" w:line="276"/>
        <w:jc w:val="both"/>
      </w:pPr>
      <w:r>
        <w:rPr>
          <w:rFonts w:ascii="Calibri" w:cs="Calibri" w:eastAsia="Calibri" w:hAnsi="Calibri"/>
          <w:b/>
          <w:bCs/>
          <w:i w:val="false"/>
          <w:iCs w:val="false"/>
          <w:sz w:val="21"/>
          <w:szCs w:val="21"/>
        </w:rPr>
        <w:t xml:space="preserve">The consequence, stated plainly: </w:t>
      </w:r>
      <w:r>
        <w:rPr>
          <w:rFonts w:ascii="Calibri" w:cs="Calibri" w:eastAsia="Calibri" w:hAnsi="Calibri"/>
          <w:b w:val="false"/>
          <w:bCs w:val="false"/>
          <w:i w:val="false"/>
          <w:iCs w:val="false"/>
          <w:sz w:val="21"/>
          <w:szCs w:val="21"/>
        </w:rPr>
        <w:t xml:space="preserve">vectorization gain scales with bucket size. A maximally heterogeneous network — every node a distinct embedding shape — degenerates to the per-node kernel with no batching benefit. Because the embedded dimension is </w:t>
      </w:r>
      <w:r>
        <w:rPr>
          <w:rFonts w:ascii="Consolas" w:cs="Consolas" w:eastAsia="Consolas" w:hAnsi="Consolas"/>
          <w:color w:val="7A3E00"/>
          <w:sz w:val="19"/>
          <w:szCs w:val="19"/>
        </w:rPr>
        <w:t xml:space="preserve">E × nCols</w:t>
      </w:r>
      <w:r>
        <w:rPr>
          <w:rFonts w:ascii="Calibri" w:cs="Calibri" w:eastAsia="Calibri" w:hAnsi="Calibri"/>
          <w:b w:val="false"/>
          <w:bCs w:val="false"/>
          <w:i w:val="false"/>
          <w:iCs w:val="false"/>
          <w:sz w:val="21"/>
          <w:szCs w:val="21"/>
        </w:rPr>
        <w:t xml:space="preserve">, two nodes that share E but differ in input-column count (in-degree) have different tensor widths and cannot stack together. In a real GMN network where in-degree varies, nCols variance is the dominant source of bucket fragmentation — a concrete, testable prediction about when batching helps.</w:t>
      </w:r>
    </w:p>
    <w:p>
      <w:pPr>
        <w:pStyle w:val="Heading2"/>
        <w:spacing w:after="90" w:before="180"/>
      </w:pPr>
      <w:r>
        <w:rPr>
          <w:rFonts w:ascii="Calibri" w:cs="Calibri" w:eastAsia="Calibri" w:hAnsi="Calibri"/>
          <w:b/>
          <w:bCs/>
          <w:color w:val="2E5496"/>
          <w:sz w:val="24"/>
          <w:szCs w:val="24"/>
        </w:rPr>
        <w:t xml:space="preserve">9.3 Data Model — Bucketed Batch Tensors</w:t>
      </w:r>
    </w:p>
    <w:p>
      <w:pPr>
        <w:spacing w:after="120" w:line="276"/>
        <w:jc w:val="both"/>
      </w:pPr>
      <w:r>
        <w:rPr>
          <w:rFonts w:ascii="Calibri" w:cs="Calibri" w:eastAsia="Calibri" w:hAnsi="Calibri"/>
          <w:b w:val="false"/>
          <w:bCs w:val="false"/>
          <w:i w:val="false"/>
          <w:iCs w:val="false"/>
          <w:sz w:val="21"/>
          <w:szCs w:val="21"/>
        </w:rPr>
        <w:t xml:space="preserve">At setup, partition the eligible nodes by </w:t>
      </w:r>
      <w:r>
        <w:rPr>
          <w:rFonts w:ascii="Consolas" w:cs="Consolas" w:eastAsia="Consolas" w:hAnsi="Consolas"/>
          <w:color w:val="7A3E00"/>
          <w:sz w:val="19"/>
          <w:szCs w:val="19"/>
        </w:rPr>
        <w:t xml:space="preserve">(E, tau, nCols)</w:t>
      </w:r>
      <w:r>
        <w:rPr>
          <w:rFonts w:ascii="Calibri" w:cs="Calibri" w:eastAsia="Calibri" w:hAnsi="Calibri"/>
          <w:b w:val="false"/>
          <w:bCs w:val="false"/>
          <w:i w:val="false"/>
          <w:iCs w:val="false"/>
          <w:sz w:val="21"/>
          <w:szCs w:val="21"/>
        </w:rPr>
        <w:t xml:space="preserve">. For each bucket, stack its member libraries into a 3-D float32 tensor of shape </w:t>
      </w:r>
      <w:r>
        <w:rPr>
          <w:rFonts w:ascii="Consolas" w:cs="Consolas" w:eastAsia="Consolas" w:hAnsi="Consolas"/>
          <w:color w:val="7A3E00"/>
          <w:sz w:val="19"/>
          <w:szCs w:val="19"/>
        </w:rPr>
        <w:t xml:space="preserve">(n_bucket, N_lib, E·nCols)</w:t>
      </w:r>
      <w:r>
        <w:rPr>
          <w:rFonts w:ascii="Calibri" w:cs="Calibri" w:eastAsia="Calibri" w:hAnsi="Calibri"/>
          <w:b w:val="false"/>
          <w:bCs w:val="false"/>
          <w:i w:val="false"/>
          <w:iCs w:val="false"/>
          <w:sz w:val="21"/>
          <w:szCs w:val="21"/>
        </w:rPr>
        <w:t xml:space="preserve">, with the aligned per-node target vectors and rolling prediction vectors stored alongside. Like the scalar frozen library, this is built once and amortized over the horizon; its resident memory is the same cost given in Section 8, laid out contiguously per bucket.</w:t>
      </w:r>
    </w:p>
    <w:p>
      <w:pPr>
        <w:pStyle w:val="Heading2"/>
        <w:spacing w:after="90" w:before="180"/>
      </w:pPr>
      <w:r>
        <w:rPr>
          <w:rFonts w:ascii="Calibri" w:cs="Calibri" w:eastAsia="Calibri" w:hAnsi="Calibri"/>
          <w:b/>
          <w:bCs/>
          <w:color w:val="2E5496"/>
          <w:sz w:val="24"/>
          <w:szCs w:val="24"/>
        </w:rPr>
        <w:t xml:space="preserve">9.4 Batched Compute</w:t>
      </w:r>
    </w:p>
    <w:p>
      <w:pPr>
        <w:spacing w:after="120" w:line="276"/>
        <w:jc w:val="both"/>
      </w:pPr>
      <w:r>
        <w:rPr>
          <w:rFonts w:ascii="Calibri" w:cs="Calibri" w:eastAsia="Calibri" w:hAnsi="Calibri"/>
          <w:b w:val="false"/>
          <w:bCs w:val="false"/>
          <w:i w:val="false"/>
          <w:iCs w:val="false"/>
          <w:sz w:val="21"/>
          <w:szCs w:val="21"/>
        </w:rPr>
        <w:t xml:space="preserve">Per bucket, the three operations are batched:</w:t>
      </w:r>
    </w:p>
    <w:p>
      <w:pPr>
        <w:pStyle w:val="ListParagraph"/>
        <w:numPr>
          <w:ilvl w:val="0"/>
          <w:numId w:val="1"/>
        </w:numPr>
        <w:spacing w:after="80" w:line="276"/>
      </w:pPr>
      <w:r>
        <w:rPr>
          <w:rFonts w:ascii="Calibri" w:cs="Calibri" w:eastAsia="Calibri" w:hAnsi="Calibri"/>
          <w:b w:val="false"/>
          <w:bCs w:val="false"/>
          <w:i w:val="false"/>
          <w:iCs w:val="false"/>
          <w:sz w:val="21"/>
          <w:szCs w:val="21"/>
        </w:rPr>
        <w:t xml:space="preserve">Distance via the </w:t>
      </w:r>
      <w:r>
        <w:rPr>
          <w:rFonts w:ascii="Consolas" w:cs="Consolas" w:eastAsia="Consolas" w:hAnsi="Consolas"/>
          <w:color w:val="7A3E00"/>
          <w:sz w:val="19"/>
          <w:szCs w:val="19"/>
        </w:rPr>
        <w:t xml:space="preserve">‖a‖² − 2a·b + ‖b‖²</w:t>
      </w:r>
      <w:r>
        <w:rPr>
          <w:rFonts w:ascii="Calibri" w:cs="Calibri" w:eastAsia="Calibri" w:hAnsi="Calibri"/>
          <w:b w:val="false"/>
          <w:bCs w:val="false"/>
          <w:i w:val="false"/>
          <w:iCs w:val="false"/>
          <w:sz w:val="21"/>
          <w:szCs w:val="21"/>
        </w:rPr>
        <w:t xml:space="preserve"> expansion, to avoid materializing the </w:t>
      </w:r>
      <w:r>
        <w:rPr>
          <w:rFonts w:ascii="Consolas" w:cs="Consolas" w:eastAsia="Consolas" w:hAnsi="Consolas"/>
          <w:color w:val="7A3E00"/>
          <w:sz w:val="19"/>
          <w:szCs w:val="19"/>
        </w:rPr>
        <w:t xml:space="preserve">(n_bucket × N_lib × dim)</w:t>
      </w:r>
      <w:r>
        <w:rPr>
          <w:rFonts w:ascii="Calibri" w:cs="Calibri" w:eastAsia="Calibri" w:hAnsi="Calibri"/>
          <w:b w:val="false"/>
          <w:bCs w:val="false"/>
          <w:i w:val="false"/>
          <w:iCs w:val="false"/>
          <w:sz w:val="21"/>
          <w:szCs w:val="21"/>
        </w:rPr>
        <w:t xml:space="preserve"> difference tensor — the memory hazard batching must sidestep.</w:t>
      </w:r>
    </w:p>
    <w:p>
      <w:pPr>
        <w:pStyle w:val="ListParagraph"/>
        <w:numPr>
          <w:ilvl w:val="0"/>
          <w:numId w:val="1"/>
        </w:numPr>
        <w:spacing w:after="80" w:line="276"/>
      </w:pPr>
      <w:r>
        <w:rPr>
          <w:rFonts w:ascii="Calibri" w:cs="Calibri" w:eastAsia="Calibri" w:hAnsi="Calibri"/>
          <w:b w:val="false"/>
          <w:bCs w:val="false"/>
          <w:i w:val="false"/>
          <w:iCs w:val="false"/>
          <w:sz w:val="21"/>
          <w:szCs w:val="21"/>
        </w:rPr>
        <w:t xml:space="preserve">A batched partition/sort for k neighbors, applying the identical deterministic tie rule (distance, proximity, library index).</w:t>
      </w:r>
    </w:p>
    <w:p>
      <w:pPr>
        <w:pStyle w:val="ListParagraph"/>
        <w:numPr>
          <w:ilvl w:val="0"/>
          <w:numId w:val="1"/>
        </w:numPr>
        <w:spacing w:after="80" w:line="276"/>
      </w:pPr>
      <w:r>
        <w:rPr>
          <w:rFonts w:ascii="Calibri" w:cs="Calibri" w:eastAsia="Calibri" w:hAnsi="Calibri"/>
          <w:b w:val="false"/>
          <w:bCs w:val="false"/>
          <w:i w:val="false"/>
          <w:iCs w:val="false"/>
          <w:sz w:val="21"/>
          <w:szCs w:val="21"/>
        </w:rPr>
        <w:t xml:space="preserve">A batched floored-exponential projection, identical weighting and 1E-6 floor.</w:t>
      </w:r>
    </w:p>
    <w:p>
      <w:pPr>
        <w:spacing w:after="120" w:line="276"/>
        <w:jc w:val="both"/>
      </w:pPr>
      <w:r>
        <w:rPr>
          <w:rFonts w:ascii="Calibri" w:cs="Calibri" w:eastAsia="Calibri" w:hAnsi="Calibri"/>
          <w:b w:val="false"/>
          <w:bCs w:val="false"/>
          <w:i w:val="false"/>
          <w:iCs w:val="false"/>
          <w:sz w:val="21"/>
          <w:szCs w:val="21"/>
        </w:rPr>
        <w:t xml:space="preserve">The numerical requirement is strict: batching changes memory layout, not arithmetic. The batched path must produce per-node results identical to the scalar kernel, which is what makes the existing parity fixtures a sufficient gate (Section 9.7).</w:t>
      </w:r>
    </w:p>
    <w:p>
      <w:pPr>
        <w:pStyle w:val="Heading2"/>
        <w:spacing w:after="90" w:before="180"/>
      </w:pPr>
      <w:r>
        <w:rPr>
          <w:rFonts w:ascii="Calibri" w:cs="Calibri" w:eastAsia="Calibri" w:hAnsi="Calibri"/>
          <w:b/>
          <w:bCs/>
          <w:color w:val="2E5496"/>
          <w:sz w:val="24"/>
          <w:szCs w:val="24"/>
        </w:rPr>
        <w:t xml:space="preserve">9.5 The Block Parameter (Memory-Bounded Batching)</w:t>
      </w:r>
    </w:p>
    <w:p>
      <w:pPr>
        <w:spacing w:after="120" w:line="276"/>
        <w:jc w:val="both"/>
      </w:pPr>
      <w:r>
        <w:rPr>
          <w:rFonts w:ascii="Calibri" w:cs="Calibri" w:eastAsia="Calibri" w:hAnsi="Calibri"/>
          <w:b w:val="false"/>
          <w:bCs w:val="false"/>
          <w:i w:val="false"/>
          <w:iCs w:val="false"/>
          <w:sz w:val="21"/>
          <w:szCs w:val="21"/>
        </w:rPr>
        <w:t xml:space="preserve">Each bucket is processed in blocks of an absolute node count, not a percentage. The distinction is deliberate: the memory ceiling is absolute — set by </w:t>
      </w:r>
      <w:r>
        <w:rPr>
          <w:rFonts w:ascii="Consolas" w:cs="Consolas" w:eastAsia="Consolas" w:hAnsi="Consolas"/>
          <w:color w:val="7A3E00"/>
          <w:sz w:val="19"/>
          <w:szCs w:val="19"/>
        </w:rPr>
        <w:t xml:space="preserve">N_lib × dim × float32</w:t>
      </w:r>
      <w:r>
        <w:rPr>
          <w:rFonts w:ascii="Calibri" w:cs="Calibri" w:eastAsia="Calibri" w:hAnsi="Calibri"/>
          <w:b w:val="false"/>
          <w:bCs w:val="false"/>
          <w:i w:val="false"/>
          <w:iCs w:val="false"/>
          <w:sz w:val="21"/>
          <w:szCs w:val="21"/>
        </w:rPr>
        <w:t xml:space="preserve"> — and independent of how many nodes the network has, so a percentage would blow the budget on large networks and waste vectorization on small ones. The block size should default to a value auto-derived from a configurable memory budget (a fraction of available RAM), then capped at the efficiency knee — in the low hundreds — because vectorization gain saturates there while memory keeps growing linearly. The value is user-overridable. The block parameter bounds the transient distance computation; it does not reduce resident memory.</w:t>
      </w:r>
    </w:p>
    <w:p>
      <w:pPr>
        <w:pStyle w:val="Heading2"/>
        <w:spacing w:after="90" w:before="180"/>
      </w:pPr>
      <w:r>
        <w:rPr>
          <w:rFonts w:ascii="Calibri" w:cs="Calibri" w:eastAsia="Calibri" w:hAnsi="Calibri"/>
          <w:b/>
          <w:bCs/>
          <w:color w:val="2E5496"/>
          <w:sz w:val="24"/>
          <w:szCs w:val="24"/>
        </w:rPr>
        <w:t xml:space="preserve">9.6 What Blocking Does Not Solve</w:t>
      </w:r>
    </w:p>
    <w:p>
      <w:pPr>
        <w:spacing w:after="120" w:line="276"/>
        <w:jc w:val="both"/>
      </w:pPr>
      <w:r>
        <w:rPr>
          <w:rFonts w:ascii="Calibri" w:cs="Calibri" w:eastAsia="Calibri" w:hAnsi="Calibri"/>
          <w:b w:val="false"/>
          <w:bCs w:val="false"/>
          <w:i w:val="false"/>
          <w:iCs w:val="false"/>
          <w:sz w:val="21"/>
          <w:szCs w:val="21"/>
        </w:rPr>
        <w:t xml:space="preserve">The block parameter bounds the per-step transient only. The resident frozen-library set (Section 8) is unaffected and remains the binding constraint at extreme scale. Reducing </w:t>
      </w:r>
      <w:r>
        <w:rPr>
          <w:rFonts w:ascii="Calibri" w:cs="Calibri" w:eastAsia="Calibri" w:hAnsi="Calibri"/>
          <w:b w:val="false"/>
          <w:bCs w:val="false"/>
          <w:i/>
          <w:iCs/>
          <w:sz w:val="21"/>
          <w:szCs w:val="21"/>
        </w:rPr>
        <w:t xml:space="preserve">that</w:t>
      </w:r>
      <w:r>
        <w:rPr>
          <w:rFonts w:ascii="Calibri" w:cs="Calibri" w:eastAsia="Calibri" w:hAnsi="Calibri"/>
          <w:b w:val="false"/>
          <w:bCs w:val="false"/>
          <w:i w:val="false"/>
          <w:iCs w:val="false"/>
          <w:sz w:val="21"/>
          <w:szCs w:val="21"/>
        </w:rPr>
        <w:t xml:space="preserve"> requires node sharding across processes or machines, or streaming libraries from disk — a higher-level architecture that sits above blocking and is out of scope for Stage 4. The block parameter must not be presented as the answer to 10⁵-node memory; it is necessary but not sufficient at that scale.</w:t>
      </w:r>
    </w:p>
    <w:p>
      <w:pPr>
        <w:pStyle w:val="Heading2"/>
        <w:spacing w:after="90" w:before="180"/>
      </w:pPr>
      <w:r>
        <w:rPr>
          <w:rFonts w:ascii="Calibri" w:cs="Calibri" w:eastAsia="Calibri" w:hAnsi="Calibri"/>
          <w:b/>
          <w:bCs/>
          <w:color w:val="2E5496"/>
          <w:sz w:val="24"/>
          <w:szCs w:val="24"/>
        </w:rPr>
        <w:t xml:space="preserve">9.7 Correctness Gate — What "Validated by Scaling Tests" Means</w:t>
      </w:r>
    </w:p>
    <w:p>
      <w:pPr>
        <w:spacing w:after="120" w:line="276"/>
        <w:jc w:val="both"/>
      </w:pPr>
      <w:r>
        <w:rPr>
          <w:rFonts w:ascii="Calibri" w:cs="Calibri" w:eastAsia="Calibri" w:hAnsi="Calibri"/>
          <w:b w:val="false"/>
          <w:bCs w:val="false"/>
          <w:i w:val="false"/>
          <w:iCs w:val="false"/>
          <w:sz w:val="21"/>
          <w:szCs w:val="21"/>
        </w:rPr>
        <w:t xml:space="preserve">Acceptance has two parts.</w:t>
      </w:r>
    </w:p>
    <w:p>
      <w:pPr>
        <w:pStyle w:val="ListParagraph"/>
        <w:numPr>
          <w:ilvl w:val="0"/>
          <w:numId w:val="1"/>
        </w:numPr>
        <w:spacing w:after="80" w:line="276"/>
      </w:pPr>
      <w:r>
        <w:rPr>
          <w:rFonts w:ascii="Calibri" w:cs="Calibri" w:eastAsia="Calibri" w:hAnsi="Calibri"/>
          <w:b/>
          <w:bCs/>
          <w:i w:val="false"/>
          <w:iCs w:val="false"/>
          <w:sz w:val="21"/>
          <w:szCs w:val="21"/>
        </w:rPr>
        <w:t xml:space="preserve">Correctness. </w:t>
      </w:r>
      <w:r>
        <w:rPr>
          <w:rFonts w:ascii="Calibri" w:cs="Calibri" w:eastAsia="Calibri" w:hAnsi="Calibri"/>
          <w:b w:val="false"/>
          <w:bCs w:val="false"/>
          <w:i w:val="false"/>
          <w:iCs w:val="false"/>
          <w:sz w:val="21"/>
          <w:szCs w:val="21"/>
        </w:rPr>
        <w:t xml:space="preserve">The batched kernel must reproduce the scalar kernel’s per-node results. The existing parity fixtures gate it unchanged (same 1×10⁻⁵ versus pyEDM 2.5.7, same tie and inf-padding exactness), plus a batch-versus-scalar equivalence test asserting the batched output matches the per-node output node for node.</w:t>
      </w:r>
    </w:p>
    <w:p>
      <w:pPr>
        <w:pStyle w:val="ListParagraph"/>
        <w:numPr>
          <w:ilvl w:val="0"/>
          <w:numId w:val="1"/>
        </w:numPr>
        <w:spacing w:after="80" w:line="276"/>
      </w:pPr>
      <w:r>
        <w:rPr>
          <w:rFonts w:ascii="Calibri" w:cs="Calibri" w:eastAsia="Calibri" w:hAnsi="Calibri"/>
          <w:b/>
          <w:bCs/>
          <w:i w:val="false"/>
          <w:iCs w:val="false"/>
          <w:sz w:val="21"/>
          <w:szCs w:val="21"/>
        </w:rPr>
        <w:t xml:space="preserve">Performance. </w:t>
      </w:r>
      <w:r>
        <w:rPr>
          <w:rFonts w:ascii="Calibri" w:cs="Calibri" w:eastAsia="Calibri" w:hAnsi="Calibri"/>
          <w:b w:val="false"/>
          <w:bCs w:val="false"/>
          <w:i w:val="false"/>
          <w:iCs w:val="false"/>
          <w:sz w:val="21"/>
          <w:szCs w:val="21"/>
        </w:rPr>
        <w:t xml:space="preserve">Measured serial throughput gain over the scalar kernel, via the scaling harness, across bucket-size and block-size sweeps — reported as the honest curve, including the heterogeneous regime where bucket fragmentation erases the gain.</w:t>
      </w:r>
    </w:p>
    <w:p>
      <w:pPr>
        <w:spacing w:after="120" w:line="276"/>
        <w:jc w:val="both"/>
      </w:pPr>
      <w:r>
        <w:rPr>
          <w:rFonts w:ascii="Calibri" w:cs="Calibri" w:eastAsia="Calibri" w:hAnsi="Calibri"/>
          <w:b w:val="false"/>
          <w:bCs w:val="false"/>
          <w:i w:val="false"/>
          <w:iCs w:val="false"/>
          <w:sz w:val="21"/>
          <w:szCs w:val="21"/>
        </w:rPr>
        <w:t xml:space="preserve">This measurement does not yet exist. The criterion defines what would validate Stage 4; it does not report a result.</w:t>
      </w:r>
    </w:p>
    <w:p>
      <w:pPr>
        <w:pStyle w:val="Heading2"/>
        <w:spacing w:after="90" w:before="180"/>
      </w:pPr>
      <w:r>
        <w:rPr>
          <w:rFonts w:ascii="Calibri" w:cs="Calibri" w:eastAsia="Calibri" w:hAnsi="Calibri"/>
          <w:b/>
          <w:bCs/>
          <w:color w:val="2E5496"/>
          <w:sz w:val="24"/>
          <w:szCs w:val="24"/>
        </w:rPr>
        <w:t xml:space="preserve">9.8 Decisions to Make (Implementation)</w:t>
      </w:r>
    </w:p>
    <w:p>
      <w:pPr>
        <w:spacing w:after="120" w:line="276"/>
        <w:jc w:val="both"/>
      </w:pPr>
      <w:r>
        <w:rPr>
          <w:rFonts w:ascii="Calibri" w:cs="Calibri" w:eastAsia="Calibri" w:hAnsi="Calibri"/>
          <w:b w:val="false"/>
          <w:bCs w:val="false"/>
          <w:i w:val="false"/>
          <w:iCs w:val="false"/>
          <w:sz w:val="21"/>
          <w:szCs w:val="21"/>
        </w:rPr>
        <w:t xml:space="preserve">The following are open decisions for the implementer, presented neutrally:</w:t>
      </w:r>
    </w:p>
    <w:p>
      <w:pPr>
        <w:pStyle w:val="ListParagraph"/>
        <w:numPr>
          <w:ilvl w:val="0"/>
          <w:numId w:val="2"/>
        </w:numPr>
        <w:spacing w:after="80" w:line="276"/>
      </w:pPr>
      <w:r>
        <w:rPr>
          <w:rFonts w:ascii="Calibri" w:cs="Calibri" w:eastAsia="Calibri" w:hAnsi="Calibri"/>
          <w:b/>
          <w:bCs/>
          <w:i w:val="false"/>
          <w:iCs w:val="false"/>
          <w:sz w:val="21"/>
          <w:szCs w:val="21"/>
        </w:rPr>
        <w:t xml:space="preserve">Bucket-key granularity and singletons. </w:t>
      </w:r>
      <w:r>
        <w:rPr>
          <w:rFonts w:ascii="Calibri" w:cs="Calibri" w:eastAsia="Calibri" w:hAnsi="Calibri"/>
          <w:b w:val="false"/>
          <w:bCs w:val="false"/>
          <w:i w:val="false"/>
          <w:iCs w:val="false"/>
          <w:sz w:val="21"/>
          <w:szCs w:val="21"/>
        </w:rPr>
        <w:t xml:space="preserve">Confirm the bucket key as </w:t>
      </w:r>
      <w:r>
        <w:rPr>
          <w:rFonts w:ascii="Consolas" w:cs="Consolas" w:eastAsia="Consolas" w:hAnsi="Consolas"/>
          <w:color w:val="7A3E00"/>
          <w:sz w:val="19"/>
          <w:szCs w:val="19"/>
        </w:rPr>
        <w:t xml:space="preserve">(E, tau, nCols)</w:t>
      </w:r>
      <w:r>
        <w:rPr>
          <w:rFonts w:ascii="Calibri" w:cs="Calibri" w:eastAsia="Calibri" w:hAnsi="Calibri"/>
          <w:b w:val="false"/>
          <w:bCs w:val="false"/>
          <w:i w:val="false"/>
          <w:iCs w:val="false"/>
          <w:sz w:val="21"/>
          <w:szCs w:val="21"/>
        </w:rPr>
        <w:t xml:space="preserve"> and decide how singleton buckets are handled — e.g. route a batch-of-one back to the scalar path rather than incur batching overhead for no gain.</w:t>
      </w:r>
    </w:p>
    <w:p>
      <w:pPr>
        <w:pStyle w:val="ListParagraph"/>
        <w:numPr>
          <w:ilvl w:val="0"/>
          <w:numId w:val="2"/>
        </w:numPr>
        <w:spacing w:after="80" w:line="276"/>
      </w:pPr>
      <w:r>
        <w:rPr>
          <w:rFonts w:ascii="Calibri" w:cs="Calibri" w:eastAsia="Calibri" w:hAnsi="Calibri"/>
          <w:b/>
          <w:bCs/>
          <w:i w:val="false"/>
          <w:iCs w:val="false"/>
          <w:sz w:val="21"/>
          <w:szCs w:val="21"/>
        </w:rPr>
        <w:t xml:space="preserve">Tp handling within a bucket. </w:t>
      </w:r>
      <w:r>
        <w:rPr>
          <w:rFonts w:ascii="Calibri" w:cs="Calibri" w:eastAsia="Calibri" w:hAnsi="Calibri"/>
          <w:b w:val="false"/>
          <w:bCs w:val="false"/>
          <w:i w:val="false"/>
          <w:iCs w:val="false"/>
          <w:sz w:val="21"/>
          <w:szCs w:val="21"/>
        </w:rPr>
        <w:t xml:space="preserve">Decide whether to accommodate mixed Tp inside a bucket via per-node target indexing, or to sub-bucket by Tp — trading a small indexing complexity against additional bucket fragmentation.</w:t>
      </w:r>
    </w:p>
    <w:p>
      <w:pPr>
        <w:pStyle w:val="ListParagraph"/>
        <w:numPr>
          <w:ilvl w:val="0"/>
          <w:numId w:val="2"/>
        </w:numPr>
        <w:spacing w:after="80" w:line="276"/>
      </w:pPr>
      <w:r>
        <w:rPr>
          <w:rFonts w:ascii="Calibri" w:cs="Calibri" w:eastAsia="Calibri" w:hAnsi="Calibri"/>
          <w:b/>
          <w:bCs/>
          <w:i w:val="false"/>
          <w:iCs w:val="false"/>
          <w:sz w:val="21"/>
          <w:szCs w:val="21"/>
        </w:rPr>
        <w:t xml:space="preserve">Memory-budget default and RAM probing. </w:t>
      </w:r>
      <w:r>
        <w:rPr>
          <w:rFonts w:ascii="Calibri" w:cs="Calibri" w:eastAsia="Calibri" w:hAnsi="Calibri"/>
          <w:b w:val="false"/>
          <w:bCs w:val="false"/>
          <w:i w:val="false"/>
          <w:iCs w:val="false"/>
          <w:sz w:val="21"/>
          <w:szCs w:val="21"/>
        </w:rPr>
        <w:t xml:space="preserve">Decide the default fraction of available memory the block-size derivation targets, and how available RAM is probed portably across platforms.</w:t>
      </w:r>
    </w:p>
    <w:p>
      <w:pPr>
        <w:pStyle w:val="ListParagraph"/>
        <w:numPr>
          <w:ilvl w:val="0"/>
          <w:numId w:val="2"/>
        </w:numPr>
        <w:spacing w:after="80" w:line="276"/>
      </w:pPr>
      <w:r>
        <w:rPr>
          <w:rFonts w:ascii="Calibri" w:cs="Calibri" w:eastAsia="Calibri" w:hAnsi="Calibri"/>
          <w:b/>
          <w:bCs/>
          <w:i w:val="false"/>
          <w:iCs w:val="false"/>
          <w:sz w:val="21"/>
          <w:szCs w:val="21"/>
        </w:rPr>
        <w:t xml:space="preserve">Batched distance backend. </w:t>
      </w:r>
      <w:r>
        <w:rPr>
          <w:rFonts w:ascii="Calibri" w:cs="Calibri" w:eastAsia="Calibri" w:hAnsi="Calibri"/>
          <w:b w:val="false"/>
          <w:bCs w:val="false"/>
          <w:i w:val="false"/>
          <w:iCs w:val="false"/>
          <w:sz w:val="21"/>
          <w:szCs w:val="21"/>
        </w:rPr>
        <w:t xml:space="preserve">Decide whether the </w:t>
      </w:r>
      <w:r>
        <w:rPr>
          <w:rFonts w:ascii="Consolas" w:cs="Consolas" w:eastAsia="Consolas" w:hAnsi="Consolas"/>
          <w:color w:val="7A3E00"/>
          <w:sz w:val="19"/>
          <w:szCs w:val="19"/>
        </w:rPr>
        <w:t xml:space="preserve">a·b</w:t>
      </w:r>
      <w:r>
        <w:rPr>
          <w:rFonts w:ascii="Calibri" w:cs="Calibri" w:eastAsia="Calibri" w:hAnsi="Calibri"/>
          <w:b w:val="false"/>
          <w:bCs w:val="false"/>
          <w:i w:val="false"/>
          <w:iCs w:val="false"/>
          <w:sz w:val="21"/>
          <w:szCs w:val="21"/>
        </w:rPr>
        <w:t xml:space="preserve"> term is computed as an explicit BLAS matrix multiply. This is the one place where BLAS-level parallelism could pay — a single large operation rather than the many tiny ones that defeated thread parallelism in Section 7 — so it is worth measuring rather than foreclosing.</w:t>
      </w:r>
    </w:p>
    <w:p>
      <w:pPr>
        <w:pStyle w:val="Heading1"/>
        <w:spacing w:after="120" w:before="260"/>
      </w:pPr>
      <w:r>
        <w:rPr>
          <w:rFonts w:ascii="Calibri" w:cs="Calibri" w:eastAsia="Calibri" w:hAnsi="Calibri"/>
          <w:b/>
          <w:bCs/>
          <w:color w:val="1F3864"/>
          <w:sz w:val="30"/>
          <w:szCs w:val="30"/>
        </w:rPr>
        <w:t xml:space="preserve">10. How to Verify</w:t>
      </w:r>
    </w:p>
    <w:p>
      <w:pPr>
        <w:spacing w:after="120" w:line="276"/>
        <w:jc w:val="both"/>
      </w:pPr>
      <w:r>
        <w:rPr>
          <w:rFonts w:ascii="Calibri" w:cs="Calibri" w:eastAsia="Calibri" w:hAnsi="Calibri"/>
          <w:b w:val="false"/>
          <w:bCs w:val="false"/>
          <w:i w:val="false"/>
          <w:iCs w:val="false"/>
          <w:sz w:val="21"/>
          <w:szCs w:val="21"/>
        </w:rPr>
        <w:t xml:space="preserve">The test suite is the correctness gate. Fixtures are trusted by default; live pyEDM parity is an explicit, opt-in run.</w:t>
      </w:r>
    </w:p>
    <w:p>
      <w:pPr>
        <w:pStyle w:val="ListParagraph"/>
        <w:numPr>
          <w:ilvl w:val="0"/>
          <w:numId w:val="1"/>
        </w:numPr>
        <w:spacing w:after="80" w:line="276"/>
      </w:pPr>
      <w:r>
        <w:rPr>
          <w:rFonts w:ascii="Consolas" w:cs="Consolas" w:eastAsia="Consolas" w:hAnsi="Consolas"/>
          <w:color w:val="7A3E00"/>
          <w:sz w:val="19"/>
          <w:szCs w:val="19"/>
        </w:rPr>
        <w:t xml:space="preserve">pytest tests/</w:t>
      </w:r>
      <w:r>
        <w:rPr>
          <w:rFonts w:ascii="Calibri" w:cs="Calibri" w:eastAsia="Calibri" w:hAnsi="Calibri"/>
          <w:b w:val="false"/>
          <w:bCs w:val="false"/>
          <w:i w:val="false"/>
          <w:iCs w:val="false"/>
          <w:sz w:val="21"/>
          <w:szCs w:val="21"/>
        </w:rPr>
        <w:t xml:space="preserve">  — full suite, 12 tests (5 skip if pyEDM &lt; 2.5.7).</w:t>
      </w:r>
    </w:p>
    <w:p>
      <w:pPr>
        <w:pStyle w:val="ListParagraph"/>
        <w:numPr>
          <w:ilvl w:val="0"/>
          <w:numId w:val="1"/>
        </w:numPr>
        <w:spacing w:after="80" w:line="276"/>
      </w:pPr>
      <w:r>
        <w:rPr>
          <w:rFonts w:ascii="Consolas" w:cs="Consolas" w:eastAsia="Consolas" w:hAnsi="Consolas"/>
          <w:color w:val="7A3E00"/>
          <w:sz w:val="19"/>
          <w:szCs w:val="19"/>
        </w:rPr>
        <w:t xml:space="preserve">pytest tests/ -m "not pyedm"</w:t>
      </w:r>
      <w:r>
        <w:rPr>
          <w:rFonts w:ascii="Calibri" w:cs="Calibri" w:eastAsia="Calibri" w:hAnsi="Calibri"/>
          <w:b w:val="false"/>
          <w:bCs w:val="false"/>
          <w:i w:val="false"/>
          <w:iCs w:val="false"/>
          <w:sz w:val="21"/>
          <w:szCs w:val="21"/>
        </w:rPr>
        <w:t xml:space="preserve">  — 7 always-on tests; no pyEDM required; fast.</w:t>
      </w:r>
    </w:p>
    <w:p>
      <w:pPr>
        <w:pStyle w:val="ListParagraph"/>
        <w:numPr>
          <w:ilvl w:val="0"/>
          <w:numId w:val="1"/>
        </w:numPr>
        <w:spacing w:after="80" w:line="276"/>
      </w:pPr>
      <w:r>
        <w:rPr>
          <w:rFonts w:ascii="Consolas" w:cs="Consolas" w:eastAsia="Consolas" w:hAnsi="Consolas"/>
          <w:color w:val="7A3E00"/>
          <w:sz w:val="19"/>
          <w:szCs w:val="19"/>
        </w:rPr>
        <w:t xml:space="preserve">pytest tests/ -m pyedm</w:t>
      </w:r>
      <w:r>
        <w:rPr>
          <w:rFonts w:ascii="Calibri" w:cs="Calibri" w:eastAsia="Calibri" w:hAnsi="Calibri"/>
          <w:b w:val="false"/>
          <w:bCs w:val="false"/>
          <w:i w:val="false"/>
          <w:iCs w:val="false"/>
          <w:sz w:val="21"/>
          <w:szCs w:val="21"/>
        </w:rPr>
        <w:t xml:space="preserve">  — 5 live-oracle tests; requires pyEDM ≥ 2.5.7.</w:t>
      </w:r>
    </w:p>
    <w:p>
      <w:pPr>
        <w:spacing w:after="120" w:line="276"/>
        <w:jc w:val="both"/>
      </w:pPr>
      <w:r>
        <w:rPr>
          <w:rFonts w:ascii="Calibri" w:cs="Calibri" w:eastAsia="Calibri" w:hAnsi="Calibri"/>
          <w:b w:val="false"/>
          <w:bCs w:val="false"/>
          <w:i w:val="false"/>
          <w:iCs w:val="false"/>
          <w:sz w:val="21"/>
          <w:szCs w:val="21"/>
        </w:rPr>
        <w:t xml:space="preserve">The always-on set covers the kernel-versus-frozen-fixture correctness gate, the serial-backend and kernel-on defaults, an end-to-end command-line run, and the scheduler. The opt-in set covers the single pyEDM legacy reference gate, live fixture parity, embedding parity, and the heterogeneous per-node parameter check. Performance is characterized (not gated) by the scaling harness, which includes the chunk-size and E sweeps that produced the Section 7 result. If pyEDM changes, the fixtures are regenerated through the opt-in path and any behavioral drift surfaces there rather than silently.</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rPr>
        <w:b/>
        <w:bCs/>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2026-08-20T20:39:02.722Z</dcterms:created>
  <dcterms:modified xsi:type="dcterms:W3CDTF">2026-08-20T20:39:02.741Z</dcterms:modified>
</cp:coreProperties>
</file>

<file path=docProps/custom.xml><?xml version="1.0" encoding="utf-8"?>
<Properties xmlns="http://schemas.openxmlformats.org/officeDocument/2006/custom-properties" xmlns:vt="http://schemas.openxmlformats.org/officeDocument/2006/docPropsVTypes"/>
</file>