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A54132"/>
          <w:sz w:val="56"/>
        </w:rPr>
        <w:t>胖东来文化 Agent 资料总册</w:t>
      </w:r>
    </w:p>
    <w:p>
      <w:pPr>
        <w:jc w:val="center"/>
      </w:pPr>
      <w:r>
        <w:rPr>
          <w:color w:val="5A463E"/>
          <w:sz w:val="26"/>
        </w:rPr>
        <w:t>去重整合版 v2.0 · 面向 RAG / Agent / AI 平台</w:t>
      </w:r>
    </w:p>
    <w:p>
      <w:pPr>
        <w:jc w:val="center"/>
      </w:pPr>
      <w:r>
        <w:rPr>
          <w:i/>
        </w:rPr>
        <w:t>资料截止：2026-07-19｜非官方研究资料｜动态信息需复核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F3E8E2"/>
          </w:tcPr>
          <w:p>
            <w:pPr>
              <w:jc w:val="center"/>
            </w:pPr>
            <w:r>
              <w:t>知识卡</w:t>
            </w:r>
          </w:p>
        </w:tc>
        <w:tc>
          <w:tcPr>
            <w:tcW w:type="dxa" w:w="2493"/>
            <w:shd w:fill="F3E8E2"/>
          </w:tcPr>
          <w:p>
            <w:pPr>
              <w:jc w:val="center"/>
            </w:pPr>
            <w:r>
              <w:t>来源</w:t>
            </w:r>
          </w:p>
        </w:tc>
        <w:tc>
          <w:tcPr>
            <w:tcW w:type="dxa" w:w="2493"/>
            <w:shd w:fill="F3E8E2"/>
          </w:tcPr>
          <w:p>
            <w:pPr>
              <w:jc w:val="center"/>
            </w:pPr>
            <w:r>
              <w:t>争议项</w:t>
            </w:r>
          </w:p>
        </w:tc>
        <w:tc>
          <w:tcPr>
            <w:tcW w:type="dxa" w:w="2493"/>
            <w:shd w:fill="F3E8E2"/>
          </w:tcPr>
          <w:p>
            <w:pPr>
              <w:jc w:val="center"/>
            </w:pPr>
            <w:r>
              <w:t>图片</w:t>
            </w:r>
          </w:p>
        </w:tc>
      </w:tr>
      <w:tr>
        <w:tc>
          <w:tcPr>
            <w:tcW w:type="dxa" w:w="2493"/>
            <w:shd w:fill="FFF9F5"/>
          </w:tcPr>
          <w:p>
            <w:pPr>
              <w:jc w:val="center"/>
            </w:pPr>
            <w:r>
              <w:rPr>
                <w:b/>
                <w:sz w:val="36"/>
              </w:rPr>
              <w:t>86</w:t>
            </w:r>
          </w:p>
        </w:tc>
        <w:tc>
          <w:tcPr>
            <w:tcW w:type="dxa" w:w="2493"/>
            <w:shd w:fill="FFF9F5"/>
          </w:tcPr>
          <w:p>
            <w:pPr>
              <w:jc w:val="center"/>
            </w:pPr>
            <w:r>
              <w:rPr>
                <w:b/>
                <w:sz w:val="36"/>
              </w:rPr>
              <w:t>23</w:t>
            </w:r>
          </w:p>
        </w:tc>
        <w:tc>
          <w:tcPr>
            <w:tcW w:type="dxa" w:w="2493"/>
            <w:shd w:fill="FFF9F5"/>
          </w:tcPr>
          <w:p>
            <w:pPr>
              <w:jc w:val="center"/>
            </w:pPr>
            <w:r>
              <w:rPr>
                <w:b/>
                <w:sz w:val="36"/>
              </w:rPr>
              <w:t>13</w:t>
            </w:r>
          </w:p>
        </w:tc>
        <w:tc>
          <w:tcPr>
            <w:tcW w:type="dxa" w:w="2493"/>
            <w:shd w:fill="FFF9F5"/>
          </w:tcPr>
          <w:p>
            <w:pPr>
              <w:jc w:val="center"/>
            </w:pPr>
            <w:r>
              <w:rPr>
                <w:b/>
                <w:sz w:val="36"/>
              </w:rPr>
              <w:t>10</w:t>
            </w:r>
          </w:p>
        </w:tc>
      </w:tr>
    </w:tbl>
    <w:p>
      <w:r>
        <w:br w:type="page"/>
      </w:r>
    </w:p>
    <w:p>
      <w:pPr>
        <w:pStyle w:val="Heading1"/>
      </w:pPr>
      <w:r>
        <w:t>使用说明</w:t>
      </w:r>
    </w:p>
    <w:p>
      <w:pPr>
        <w:pStyle w:val="ListBullet"/>
      </w:pPr>
      <w:r>
        <w:t>本总册是机器资料包的人工阅读入口。实际接入Agent时，以knowledge_cards.jsonl、claims_registry.csv和conflicts_and_verification.csv为主。</w:t>
      </w:r>
    </w:p>
    <w:p>
      <w:pPr>
        <w:pStyle w:val="ListBullet"/>
      </w:pPr>
      <w:r>
        <w:t>事实优先级：官方/政府 &gt; 权威媒体/高校 &gt; 主流财经/转载 &gt; 图书与二次研究。</w:t>
      </w:r>
    </w:p>
    <w:p>
      <w:pPr>
        <w:pStyle w:val="ListBullet"/>
      </w:pPr>
      <w:r>
        <w:t>所有敏感数字必须带时间、岗位、门店或统计口径；不存在统一权威值时必须说不确定。</w:t>
      </w:r>
    </w:p>
    <w:p>
      <w:pPr>
        <w:pStyle w:val="ListBullet"/>
      </w:pPr>
      <w:r>
        <w:t>图片仅供研究与内部原型，正式上线前完成授权。</w:t>
      </w:r>
    </w:p>
    <w:p>
      <w:pPr>
        <w:pStyle w:val="Heading1"/>
      </w:pPr>
      <w:r>
        <w:t>一、核心结论：胖东来的文化操作系统</w:t>
      </w:r>
    </w:p>
    <w:p>
      <w:r>
        <w:t>胖东来的影响力不是某一项“神级服务”，而是一套互相咬合的系统：诚信品质让顾客愿意信任；员工尊严让服务有稳定来源；公开纠错让问题不被掩盖；行业分享把方法外溢；社会责任让商业与公共价值连接。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A54132"/>
          </w:tcPr>
          <w:p>
            <w:r>
              <w:rPr>
                <w:b/>
                <w:color w:val="FFFFFF"/>
              </w:rPr>
              <w:t>模块</w:t>
            </w:r>
          </w:p>
        </w:tc>
        <w:tc>
          <w:tcPr>
            <w:tcW w:type="dxa" w:w="3324"/>
            <w:shd w:fill="A54132"/>
          </w:tcPr>
          <w:p>
            <w:r>
              <w:rPr>
                <w:b/>
                <w:color w:val="FFFFFF"/>
              </w:rPr>
              <w:t>关键机制</w:t>
            </w:r>
          </w:p>
        </w:tc>
        <w:tc>
          <w:tcPr>
            <w:tcW w:type="dxa" w:w="3324"/>
            <w:shd w:fill="A54132"/>
          </w:tcPr>
          <w:p>
            <w:r>
              <w:rPr>
                <w:b/>
                <w:color w:val="FFFFFF"/>
              </w:rPr>
              <w:t>Agent表达边界</w:t>
            </w:r>
          </w:p>
        </w:tc>
      </w:tr>
      <w:tr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诚信品质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用真品换真心、透明、中央厨房、纠错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不把单个低利润商品外推到全部商品</w:t>
            </w:r>
          </w:p>
        </w:tc>
      </w:tr>
      <w:tr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员工尊严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闭店休息、不开心假、收入分享、培训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所有数字带年份；呈现劳动强度另一面</w:t>
            </w:r>
          </w:p>
        </w:tc>
      </w:tr>
      <w:tr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顾客体验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退换货、便民设施、投诉公开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门店/品类规则会变化</w:t>
            </w:r>
          </w:p>
        </w:tc>
      </w:tr>
      <w:tr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行业分享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嘉百乐、步步高、永辉调改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销售峰值不等于长期均值</w:t>
            </w:r>
          </w:p>
        </w:tc>
      </w:tr>
      <w:tr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社会责任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疫情、汛情、救援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累计金额必须注明公示口径</w:t>
            </w:r>
          </w:p>
        </w:tc>
      </w:tr>
    </w:tbl>
    <w:p>
      <w:pPr>
        <w:pStyle w:val="Heading1"/>
      </w:pPr>
      <w:r>
        <w:t>二、历史主线</w:t>
      </w:r>
    </w:p>
    <w:p>
      <w:r>
        <w:rPr>
          <w:b/>
        </w:rPr>
        <w:t>创立时间：</w:t>
      </w:r>
      <w:r>
        <w:t>公开资料普遍将1995年3月12日视为胖东来前身“望月楼胖子店”的创立时间，地点在河南许昌。</w:t>
      </w:r>
      <w:r>
        <w:rPr>
          <w:i/>
        </w:rPr>
        <w:t xml:space="preserve"> 〔S005,S007｜高〕</w:t>
      </w:r>
    </w:p>
    <w:p>
      <w:r>
        <w:rPr>
          <w:b/>
        </w:rPr>
        <w:t>创业原点：</w:t>
      </w:r>
      <w:r>
        <w:t>创业早期以“不卖假货”和“用真品换真心”建立本地信任，是后续品质与服务叙事的原点。</w:t>
      </w:r>
      <w:r>
        <w:rPr>
          <w:i/>
        </w:rPr>
        <w:t xml:space="preserve"> 〔S005｜高〕</w:t>
      </w:r>
    </w:p>
    <w:p>
      <w:r>
        <w:rPr>
          <w:b/>
        </w:rPr>
        <w:t>1998年火灾：</w:t>
      </w:r>
      <w:r>
        <w:t>1998年门店遭遇火灾，此后重建与业态调整成为早期发展转折点；具体细节应以权威原始报道为准。</w:t>
      </w:r>
      <w:r>
        <w:rPr>
          <w:i/>
        </w:rPr>
        <w:t xml:space="preserve"> 〔S006,B001｜中高〕</w:t>
      </w:r>
    </w:p>
    <w:p>
      <w:r>
        <w:rPr>
          <w:b/>
        </w:rPr>
        <w:t>综合业态阶段：</w:t>
      </w:r>
      <w:r>
        <w:t>1999至2002年前后，企业逐步进入量贩、配送、集团化和综合商场阶段。</w:t>
      </w:r>
      <w:r>
        <w:rPr>
          <w:i/>
        </w:rPr>
        <w:t xml:space="preserve"> 〔S005,S006｜中高〕</w:t>
      </w:r>
    </w:p>
    <w:p>
      <w:r>
        <w:rPr>
          <w:b/>
        </w:rPr>
        <w:t>进入新乡：</w:t>
      </w:r>
      <w:r>
        <w:t>2005年前后，胖东来走出许昌进入新乡市场，形成许昌与新乡的区域经营格局。</w:t>
      </w:r>
      <w:r>
        <w:rPr>
          <w:i/>
        </w:rPr>
        <w:t xml:space="preserve"> 〔S006｜中高〕</w:t>
      </w:r>
    </w:p>
    <w:p>
      <w:r>
        <w:rPr>
          <w:b/>
        </w:rPr>
        <w:t>时代广场：</w:t>
      </w:r>
      <w:r>
        <w:t>2009年前后时代广场开业，成为综合业态代表之一。</w:t>
      </w:r>
      <w:r>
        <w:rPr>
          <w:i/>
        </w:rPr>
        <w:t xml:space="preserve"> 〔S006｜中高〕</w:t>
      </w:r>
    </w:p>
    <w:p>
      <w:r>
        <w:rPr>
          <w:b/>
        </w:rPr>
        <w:t>主动收缩：</w:t>
      </w:r>
      <w:r>
        <w:t>2012年前后，胖东来曾主动关闭部分门店，公开解释强调能力、品质与规模匹配，而非单纯追求扩张。</w:t>
      </w:r>
      <w:r>
        <w:rPr>
          <w:i/>
        </w:rPr>
        <w:t xml:space="preserve"> 〔S005,S018｜高〕</w:t>
      </w:r>
    </w:p>
    <w:p>
      <w:r>
        <w:rPr>
          <w:b/>
        </w:rPr>
        <w:t>天使城开业：</w:t>
      </w:r>
      <w:r>
        <w:t>天使城于2023年初开业，定位为综合生活空间，并迅速成为高客流门店。</w:t>
      </w:r>
      <w:r>
        <w:rPr>
          <w:i/>
        </w:rPr>
        <w:t xml:space="preserve"> 〔S010,S005｜高〕</w:t>
      </w:r>
    </w:p>
    <w:p>
      <w:r>
        <w:rPr>
          <w:b/>
        </w:rPr>
        <w:t>调改输出阶段：</w:t>
      </w:r>
      <w:r>
        <w:t>自2023年起，对嘉百乐、步步高、永辉等同行的系统调改，使胖东来从区域零售品牌进一步成为行业方法输出者。</w:t>
      </w:r>
      <w:r>
        <w:rPr>
          <w:i/>
        </w:rPr>
        <w:t xml:space="preserve"> 〔S005,S016,S017｜中高〕</w:t>
      </w:r>
    </w:p>
    <w:p>
      <w:r>
        <w:rPr>
          <w:b/>
        </w:rPr>
        <w:t>流量与运营张力：</w:t>
      </w:r>
      <w:r>
        <w:t>2024年末出现代购、拥堵和限购等管理措施，说明文化传播带来的高流量也会形成运营安全与顾客体验压力。</w:t>
      </w:r>
      <w:r>
        <w:rPr>
          <w:i/>
        </w:rPr>
        <w:t xml:space="preserve"> 〔S015｜中高〕</w:t>
      </w:r>
    </w:p>
    <w:p>
      <w:r>
        <w:rPr>
          <w:b/>
        </w:rPr>
        <w:t>四阶段框架：</w:t>
      </w:r>
      <w:r>
        <w:t>“傻东来/疯东来/实东来/如东来”属于媒体或研究者对发展阶段的归纳，不是企业法定或唯一官方分期。</w:t>
      </w:r>
      <w:r>
        <w:rPr>
          <w:i/>
        </w:rPr>
        <w:t xml:space="preserve"> 〔S006｜中高〕</w:t>
      </w:r>
    </w:p>
    <w:p>
      <w:pPr>
        <w:pStyle w:val="Heading1"/>
      </w:pPr>
      <w:r>
        <w:t>三、创始人与核心理念</w:t>
      </w:r>
    </w:p>
    <w:p>
      <w:pPr>
        <w:pStyle w:val="ListBullet"/>
      </w:pPr>
      <w:r>
        <w:rPr>
          <w:b/>
        </w:rPr>
        <w:t>于东来基本信息：</w:t>
      </w:r>
      <w:r>
        <w:t>多源资料记载于东来1966年生于河南许昌，早年经历多种工作与经商挫折，1995年后逐步形成诚信与服务导向的经营路径。</w:t>
      </w:r>
    </w:p>
    <w:p>
      <w:pPr>
        <w:pStyle w:val="ListBullet"/>
      </w:pPr>
      <w:r>
        <w:rPr>
          <w:b/>
        </w:rPr>
        <w:t>做精做久：</w:t>
      </w:r>
      <w:r>
        <w:t>公开访谈中，于东来反复强调品质和长期经营优先于全国性规模扩张，可概括为“做精、做久”优先于“做大、做强”。</w:t>
      </w:r>
    </w:p>
    <w:p>
      <w:pPr>
        <w:pStyle w:val="ListBullet"/>
      </w:pPr>
      <w:r>
        <w:rPr>
          <w:b/>
        </w:rPr>
        <w:t>学校属性：</w:t>
      </w:r>
      <w:r>
        <w:t>于东来将企业描述为“学校”或“样板”，强调组织还承担传播文化、帮助人成长和影响同行的功能。</w:t>
      </w:r>
    </w:p>
    <w:p>
      <w:pPr>
        <w:pStyle w:val="ListBullet"/>
      </w:pPr>
      <w:r>
        <w:rPr>
          <w:b/>
        </w:rPr>
        <w:t>理念演进：</w:t>
      </w:r>
      <w:r>
        <w:t>公开资料可将理念演进概括为：商品诚信—文明分享—公平自由快乐博爱—自由·爱。具体年份和正式文本需以官方现行文件为准。</w:t>
      </w:r>
    </w:p>
    <w:p>
      <w:pPr>
        <w:pStyle w:val="ListBullet"/>
      </w:pPr>
      <w:r>
        <w:rPr>
          <w:b/>
        </w:rPr>
        <w:t>自由·爱：</w:t>
      </w:r>
      <w:r>
        <w:t>“自由·爱”是当前公开传播中最具识别度的文化表达之一，但Agent不得把它自动扩写成未经官方确认的完整价值观清单。</w:t>
      </w:r>
    </w:p>
    <w:p>
      <w:pPr>
        <w:pStyle w:val="ListBullet"/>
      </w:pPr>
      <w:r>
        <w:rPr>
          <w:b/>
        </w:rPr>
        <w:t>以人为本的四个对象：</w:t>
      </w:r>
      <w:r>
        <w:t>综合公开资料，胖东来的文化实践可按员工、顾客、同行/商户、社会四个对象理解。该四分法是研究性结构，不是唯一官方原文。</w:t>
      </w:r>
    </w:p>
    <w:p>
      <w:pPr>
        <w:pStyle w:val="ListBullet"/>
      </w:pPr>
      <w:r>
        <w:rPr>
          <w:b/>
        </w:rPr>
        <w:t>文化操作系统：</w:t>
      </w:r>
      <w:r>
        <w:t>可将胖东来概括为五环文化操作系统：诚信品质、员工尊严、顾客体验、公开纠错、社会与行业分享。此为本资料包的综合分析模型。</w:t>
      </w:r>
    </w:p>
    <w:p>
      <w:pPr>
        <w:pStyle w:val="ListBullet"/>
      </w:pPr>
      <w:r>
        <w:rPr>
          <w:b/>
        </w:rPr>
        <w:t>退休与放权：</w:t>
      </w:r>
      <w:r>
        <w:t>于东来的职务、退休和放权表述随时间变化；回答时应说明具体日期与场合，不使用“已经完全退出经营”等绝对表述。</w:t>
      </w:r>
    </w:p>
    <w:p>
      <w:pPr>
        <w:pStyle w:val="Heading1"/>
      </w:pPr>
      <w:r>
        <w:t>四、员工文化</w:t>
      </w:r>
    </w:p>
    <w:p>
      <w:pPr>
        <w:pStyle w:val="ListBullet"/>
      </w:pPr>
      <w:r>
        <w:rPr>
          <w:b/>
        </w:rPr>
        <w:t>周二闭店：</w:t>
      </w:r>
      <w:r>
        <w:t>官网营业时间信息显示，多数门店实行周二闭店，但存在例外门店；回答时应提醒以官网当期营业安排为准。</w:t>
      </w:r>
    </w:p>
    <w:p>
      <w:pPr>
        <w:pStyle w:val="ListBullet"/>
      </w:pPr>
      <w:r>
        <w:rPr>
          <w:b/>
        </w:rPr>
        <w:t>不开心假：</w:t>
      </w:r>
      <w:r>
        <w:t>2024年公开报道提到新增10天“不开心假”。其适用条件、审批和后续执行应以当期官方制度为准。</w:t>
      </w:r>
    </w:p>
    <w:p>
      <w:pPr>
        <w:pStyle w:val="ListBullet"/>
      </w:pPr>
      <w:r>
        <w:rPr>
          <w:b/>
        </w:rPr>
        <w:t>较长年假：</w:t>
      </w:r>
      <w:r>
        <w:t>多份公开材料支持较长年假和休息权导向，但30天、40天或管理层全年不工作天数等口径不可混用。</w:t>
      </w:r>
    </w:p>
    <w:p>
      <w:pPr>
        <w:pStyle w:val="ListBullet"/>
      </w:pPr>
      <w:r>
        <w:rPr>
          <w:b/>
        </w:rPr>
        <w:t>工时目标：</w:t>
      </w:r>
      <w:r>
        <w:t>公开讲话中出现周工时不超过36小时等目标或口径；Agent必须区分“目标、制度、实际执行”三种状态。</w:t>
      </w:r>
    </w:p>
    <w:p>
      <w:pPr>
        <w:pStyle w:val="ListBullet"/>
      </w:pPr>
      <w:r>
        <w:rPr>
          <w:b/>
        </w:rPr>
        <w:t>收入分享：</w:t>
      </w:r>
      <w:r>
        <w:t>胖东来公开叙事强调提高一线员工收入和让劳动者分享经营成果，但具体月薪、店长薪酬和利润分配比例随年份及统计口径变化。</w:t>
      </w:r>
    </w:p>
    <w:p>
      <w:pPr>
        <w:pStyle w:val="ListBullet"/>
      </w:pPr>
      <w:r>
        <w:rPr>
          <w:b/>
        </w:rPr>
        <w:t>委屈奖：</w:t>
      </w:r>
      <w:r>
        <w:t>多源资料支持存在员工受不合理对待时的补偿或“委屈奖”机制，但金额版本不一，不宜写死。</w:t>
      </w:r>
    </w:p>
    <w:p>
      <w:pPr>
        <w:pStyle w:val="ListBullet"/>
      </w:pPr>
      <w:r>
        <w:rPr>
          <w:b/>
        </w:rPr>
        <w:t>人格尊严：</w:t>
      </w:r>
      <w:r>
        <w:t>文化核心不仅是福利，还包括把员工视为完整的人，重视尊严、情绪、成长与自主性。图书第三章对此提供了系统性解释，但属于作者分析。</w:t>
      </w:r>
    </w:p>
    <w:p>
      <w:pPr>
        <w:pStyle w:val="ListBullet"/>
      </w:pPr>
      <w:r>
        <w:rPr>
          <w:b/>
        </w:rPr>
        <w:t>培训与手册：</w:t>
      </w:r>
      <w:r>
        <w:t>公开材料显示胖东来依靠细致的操作手册、岗位培训和持续更新来标准化服务；具体页数与手册数量需核验。</w:t>
      </w:r>
    </w:p>
    <w:p>
      <w:pPr>
        <w:pStyle w:val="ListBullet"/>
      </w:pPr>
      <w:r>
        <w:rPr>
          <w:b/>
        </w:rPr>
        <w:t>利润与贡献：</w:t>
      </w:r>
      <w:r>
        <w:t>图书用“让创造财富的人分享财富”概括员工激励逻辑，并讨论股权、分配、自主性与贡献；应作为管理解释框架，而非现行财务数据。</w:t>
      </w:r>
    </w:p>
    <w:p>
      <w:pPr>
        <w:pStyle w:val="ListBullet"/>
      </w:pPr>
      <w:r>
        <w:rPr>
          <w:b/>
        </w:rPr>
        <w:t>双面呈现：</w:t>
      </w:r>
      <w:r>
        <w:t>平台不应只展示高福利，还要呈现高客流、细密制度、服务压力与离职员工的不同体验，避免神化。</w:t>
      </w:r>
    </w:p>
    <w:p>
      <w:pPr>
        <w:pStyle w:val="Heading1"/>
      </w:pPr>
      <w:r>
        <w:t>五、顾客服务与商品质量</w:t>
      </w:r>
    </w:p>
    <w:p>
      <w:pPr>
        <w:pStyle w:val="Heading2"/>
      </w:pPr>
      <w:r>
        <w:t>顾客服务</w:t>
      </w:r>
    </w:p>
    <w:p>
      <w:pPr>
        <w:pStyle w:val="ListBullet"/>
      </w:pPr>
      <w:r>
        <w:rPr>
          <w:b/>
        </w:rPr>
        <w:t>退换货底层原则：</w:t>
      </w:r>
      <w:r>
        <w:t>服务体系以不满意处理、退换货和纠错为核心，但不同品类、期限及开封规则会变化，应以门店当期公示为准。</w:t>
      </w:r>
    </w:p>
    <w:p>
      <w:pPr>
        <w:pStyle w:val="ListBullet"/>
      </w:pPr>
      <w:r>
        <w:rPr>
          <w:b/>
        </w:rPr>
        <w:t>服务系统化：</w:t>
      </w:r>
      <w:r>
        <w:t>胖东来的服务优势不应理解为单个感人故事，而是由操作手册、岗位标准、服务设施、投诉处理与员工授权共同构成。</w:t>
      </w:r>
    </w:p>
    <w:p>
      <w:pPr>
        <w:pStyle w:val="ListBullet"/>
      </w:pPr>
      <w:r>
        <w:rPr>
          <w:b/>
        </w:rPr>
        <w:t>便民设施：</w:t>
      </w:r>
      <w:r>
        <w:t>公开报道提到放大镜购物车、母婴室、宠物寄存、免费饮水、急购热线、代驾停车等细节；具体项目应按门店和时点核验。</w:t>
      </w:r>
    </w:p>
    <w:p>
      <w:pPr>
        <w:pStyle w:val="ListBullet"/>
      </w:pPr>
      <w:r>
        <w:rPr>
          <w:b/>
        </w:rPr>
        <w:t>卫生间与清洁标准：</w:t>
      </w:r>
      <w:r>
        <w:t>卫生间手册、清洁细则等案例体现服务标准对细节的拆解，但应避免把媒体展示的单店做法写成所有门店永久制度。</w:t>
      </w:r>
    </w:p>
    <w:p>
      <w:pPr>
        <w:pStyle w:val="ListBullet"/>
      </w:pPr>
      <w:r>
        <w:rPr>
          <w:b/>
        </w:rPr>
        <w:t>投诉公开处理：</w:t>
      </w:r>
      <w:r>
        <w:t>公开报道中的调查报告、投诉处理和员工补偿案例，体现“公开调查—说明过程—纠错/补偿”的问题处理逻辑。</w:t>
      </w:r>
    </w:p>
    <w:p>
      <w:pPr>
        <w:pStyle w:val="ListBullet"/>
      </w:pPr>
      <w:r>
        <w:rPr>
          <w:b/>
        </w:rPr>
        <w:t>荞麦面故事：</w:t>
      </w:r>
      <w:r>
        <w:t>“荞麦面”等故事用于说明服务可能超出单次交易，但Agent讲述时必须标注来源为媒体转述，不补写未经证实的对话。</w:t>
      </w:r>
    </w:p>
    <w:p>
      <w:pPr>
        <w:pStyle w:val="ListBullet"/>
      </w:pPr>
      <w:r>
        <w:rPr>
          <w:b/>
        </w:rPr>
        <w:t>顾客满意的研究框架：</w:t>
      </w:r>
      <w:r>
        <w:t>图书第四章以“回归商业本质”“让顾客满意”为主轴，强调商品质量、价格、环境、服务和体验共同决定满意度；这是作者的系统化解释。</w:t>
      </w:r>
    </w:p>
    <w:p>
      <w:pPr>
        <w:pStyle w:val="ListBullet"/>
      </w:pPr>
      <w:r>
        <w:rPr>
          <w:b/>
        </w:rPr>
        <w:t>爱心驿站：</w:t>
      </w:r>
      <w:r>
        <w:t>公开报道提到面向环卫工人、外卖骑手等群体的休息与饮水服务，可归入社区友好型服务。</w:t>
      </w:r>
    </w:p>
    <w:p>
      <w:pPr>
        <w:pStyle w:val="Heading2"/>
      </w:pPr>
      <w:r>
        <w:t>商品与质量</w:t>
      </w:r>
    </w:p>
    <w:p>
      <w:pPr>
        <w:pStyle w:val="ListBullet"/>
      </w:pPr>
      <w:r>
        <w:rPr>
          <w:b/>
        </w:rPr>
        <w:t>不卖假货：</w:t>
      </w:r>
      <w:r>
        <w:t>创业期不卖假货、烟包盖章等故事构成“真品换真心”的质量原点。</w:t>
      </w:r>
    </w:p>
    <w:p>
      <w:pPr>
        <w:pStyle w:val="ListBullet"/>
      </w:pPr>
      <w:r>
        <w:rPr>
          <w:b/>
        </w:rPr>
        <w:t>透明措施：</w:t>
      </w:r>
      <w:r>
        <w:t>贵金属自助称重、进货价标注等公开案例体现透明定价与可验证性；并非所有品类均采用同一形式。</w:t>
      </w:r>
    </w:p>
    <w:p>
      <w:pPr>
        <w:pStyle w:val="ListBullet"/>
      </w:pPr>
      <w:r>
        <w:rPr>
          <w:b/>
        </w:rPr>
        <w:t>中央厨房：</w:t>
      </w:r>
      <w:r>
        <w:t>中央厨房与实业园区被报道为民生食品标准化、供应链控制和自有生产能力的重要基础。</w:t>
      </w:r>
    </w:p>
    <w:p>
      <w:pPr>
        <w:pStyle w:val="ListBullet"/>
      </w:pPr>
      <w:r>
        <w:rPr>
          <w:b/>
        </w:rPr>
        <w:t>食安纠错：</w:t>
      </w:r>
      <w:r>
        <w:t>公开案例中存在对食品安全隐患的高额奖励、补偿或公开处理，具体金额与制度版本需回到原始公告。</w:t>
      </w:r>
    </w:p>
    <w:p>
      <w:pPr>
        <w:pStyle w:val="ListBullet"/>
      </w:pPr>
      <w:r>
        <w:rPr>
          <w:b/>
        </w:rPr>
        <w:t>三毛钱羽绒服：</w:t>
      </w:r>
      <w:r>
        <w:t>2024年“进货价498.7元、售价499元”的促销让利商品引发关注；该案例不能推导为所有商品均只赚极低利润。</w:t>
      </w:r>
    </w:p>
    <w:p>
      <w:pPr>
        <w:pStyle w:val="ListBullet"/>
      </w:pPr>
      <w:r>
        <w:rPr>
          <w:b/>
        </w:rPr>
        <w:t>供应商准入缺口：</w:t>
      </w:r>
      <w:r>
        <w:t>现有公开资料不足以完整还原供应商审核、质检实验室和淘汰机制；Agent应明确说“公开信息不足”，而非自行补全。</w:t>
      </w:r>
    </w:p>
    <w:p>
      <w:pPr>
        <w:pStyle w:val="Heading1"/>
      </w:pPr>
      <w:r>
        <w:t>六、门店、公益与行业调改</w:t>
      </w:r>
    </w:p>
    <w:p>
      <w:pPr>
        <w:pStyle w:val="Heading2"/>
      </w:pPr>
      <w:r>
        <w:t>门店空间</w:t>
      </w:r>
    </w:p>
    <w:p>
      <w:pPr>
        <w:pStyle w:val="ListBullet"/>
      </w:pPr>
      <w:r>
        <w:rPr>
          <w:b/>
        </w:rPr>
        <w:t>综合生活空间：</w:t>
      </w:r>
      <w:r>
        <w:t>代表性门店通常结合超市、百货、电器、珠宝、餐饮、影院等业态，强调生活体验而非单一购物。</w:t>
      </w:r>
    </w:p>
    <w:p>
      <w:pPr>
        <w:pStyle w:val="ListBullet"/>
      </w:pPr>
      <w:r>
        <w:rPr>
          <w:b/>
        </w:rPr>
        <w:t>门店名录动态性：</w:t>
      </w:r>
      <w:r>
        <w:t>门店数量、地址、营业时间变化较快，Agent回答当前门店问题时应优先查官网，不把资料包快照当永久状态。</w:t>
      </w:r>
    </w:p>
    <w:p>
      <w:pPr>
        <w:pStyle w:val="ListBullet"/>
      </w:pPr>
      <w:r>
        <w:rPr>
          <w:b/>
        </w:rPr>
        <w:t>网络景区称号：</w:t>
      </w:r>
      <w:r>
        <w:t>“5A/6A景区”是网络传播说法，不是文旅部门正式评级。</w:t>
      </w:r>
    </w:p>
    <w:p>
      <w:pPr>
        <w:pStyle w:val="ListBullet"/>
      </w:pPr>
      <w:r>
        <w:rPr>
          <w:b/>
        </w:rPr>
        <w:t>视觉素材现状：</w:t>
      </w:r>
      <w:r>
        <w:t>本包有10张本地图片：4张官方视觉/图标和6张新华社实拍；图片内容覆盖门店、生鲜、物流、中央厨房和员工准备场景。</w:t>
      </w:r>
    </w:p>
    <w:p>
      <w:pPr>
        <w:pStyle w:val="Heading2"/>
      </w:pPr>
      <w:r>
        <w:t>公益与社会责任</w:t>
      </w:r>
    </w:p>
    <w:p>
      <w:pPr>
        <w:pStyle w:val="ListBullet"/>
      </w:pPr>
      <w:r>
        <w:rPr>
          <w:b/>
        </w:rPr>
        <w:t>政府公示锚点：</w:t>
      </w:r>
      <w:r>
        <w:t>公益事实优先使用许昌市民政局2022年公示作为高可信锚点，尤其是疫情、汛情捐赠和救援。</w:t>
      </w:r>
    </w:p>
    <w:p>
      <w:pPr>
        <w:pStyle w:val="ListBullet"/>
      </w:pPr>
      <w:r>
        <w:rPr>
          <w:b/>
        </w:rPr>
        <w:t>汶川救援：</w:t>
      </w:r>
      <w:r>
        <w:t>多源资料记载2008年汶川地震后，于东来带队并组织员工参与救援；人数和捐赠总额存在版本差异。</w:t>
      </w:r>
    </w:p>
    <w:p>
      <w:pPr>
        <w:pStyle w:val="ListBullet"/>
      </w:pPr>
      <w:r>
        <w:rPr>
          <w:b/>
        </w:rPr>
        <w:t>武汉疫情捐赠：</w:t>
      </w:r>
      <w:r>
        <w:t>政府公示和多家报道记录2020年向武汉疫情防控捐赠价值5000万元。</w:t>
      </w:r>
    </w:p>
    <w:p>
      <w:pPr>
        <w:pStyle w:val="ListBullet"/>
      </w:pPr>
      <w:r>
        <w:rPr>
          <w:b/>
        </w:rPr>
        <w:t>河南汛情：</w:t>
      </w:r>
      <w:r>
        <w:t>政府公示记录2021年河南汛情期间的驰援、救援和向新乡捐赠等行动。</w:t>
      </w:r>
    </w:p>
    <w:p>
      <w:pPr>
        <w:pStyle w:val="ListBullet"/>
      </w:pPr>
      <w:r>
        <w:rPr>
          <w:b/>
        </w:rPr>
        <w:t>公益总额口径：</w:t>
      </w:r>
      <w:r>
        <w:t>历史累计捐赠总额会因时间截点、现金与物资估值不同而变化；回答时应说“某公示口径”，避免给出无时点的永久总额。</w:t>
      </w:r>
    </w:p>
    <w:p>
      <w:pPr>
        <w:pStyle w:val="Heading2"/>
      </w:pPr>
      <w:r>
        <w:t>调改与行业</w:t>
      </w:r>
    </w:p>
    <w:p>
      <w:pPr>
        <w:pStyle w:val="ListBullet"/>
      </w:pPr>
      <w:r>
        <w:rPr>
          <w:b/>
        </w:rPr>
        <w:t>调改三要素：</w:t>
      </w:r>
      <w:r>
        <w:t>公开调改案例可归纳为“人、货、场”：提高薪休保障，重构商品与供应链，改造动线环境和服务流程。</w:t>
      </w:r>
    </w:p>
    <w:p>
      <w:pPr>
        <w:pStyle w:val="ListBullet"/>
      </w:pPr>
      <w:r>
        <w:rPr>
          <w:b/>
        </w:rPr>
        <w:t>嘉百乐：</w:t>
      </w:r>
      <w:r>
        <w:t>嘉百乐通常被视为较早的系统调改案例，但资金投入、合作深度和持续效果需要逐项核验。</w:t>
      </w:r>
    </w:p>
    <w:p>
      <w:pPr>
        <w:pStyle w:val="ListBullet"/>
      </w:pPr>
      <w:r>
        <w:rPr>
          <w:b/>
        </w:rPr>
        <w:t>步步高：</w:t>
      </w:r>
      <w:r>
        <w:t>步步高调改公开报道较多，涉及薪酬、营业时间、商品、动线和生鲜重构；销售增幅需绑定具体门店与时间。</w:t>
      </w:r>
    </w:p>
    <w:p>
      <w:pPr>
        <w:pStyle w:val="ListBullet"/>
      </w:pPr>
      <w:r>
        <w:rPr>
          <w:b/>
        </w:rPr>
        <w:t>永辉：</w:t>
      </w:r>
      <w:r>
        <w:t>永辉郑州等门店是典型调改样本，日销增长等数字必须说明门店、月份和是否为开业峰值。</w:t>
      </w:r>
    </w:p>
    <w:p>
      <w:pPr>
        <w:pStyle w:val="ListBullet"/>
      </w:pPr>
      <w:r>
        <w:rPr>
          <w:b/>
        </w:rPr>
        <w:t>可复制性边界：</w:t>
      </w:r>
      <w:r>
        <w:t>胖东来模式依赖区域供应链、长期信任、管理团队与文化一致性，不能只复制装修、爆品和福利数字。</w:t>
      </w:r>
    </w:p>
    <w:p>
      <w:pPr>
        <w:pStyle w:val="ListBullet"/>
      </w:pPr>
      <w:r>
        <w:rPr>
          <w:b/>
        </w:rPr>
        <w:t>学校属性的外化：</w:t>
      </w:r>
      <w:r>
        <w:t>调改和开放分享可被理解为“学校/样板”属性的行业化表达，但不应将所有商业合作描述为无偿公益。</w:t>
      </w:r>
    </w:p>
    <w:p>
      <w:pPr>
        <w:pStyle w:val="Heading1"/>
      </w:pPr>
      <w:r>
        <w:t>七、图书带来的理论补充</w:t>
      </w:r>
    </w:p>
    <w:p>
      <w:r>
        <w:t>《胖东来，你要怎么学？》的最大价值不是提供最新制度，而是把经验组织成五个问题：企业如何成长、如何影响同行、如何把员工当完整的人、如何让顾客满意、如何形成独特文化。</w:t>
      </w:r>
    </w:p>
    <w:p>
      <w:pPr>
        <w:pStyle w:val="ListBullet"/>
      </w:pPr>
      <w:r>
        <w:rPr>
          <w:b/>
        </w:rPr>
        <w:t>第一章：许昌出了个胖东来：</w:t>
      </w:r>
      <w:r>
        <w:t>图书第一章以创业经历、逆境、许昌与新乡市场为主，提供早期成长叙事；其中人物细节应与权威史料交叉核验。</w:t>
      </w:r>
    </w:p>
    <w:p>
      <w:pPr>
        <w:pStyle w:val="ListBullet"/>
      </w:pPr>
      <w:r>
        <w:rPr>
          <w:b/>
        </w:rPr>
        <w:t>第二章：灯一样的企业：</w:t>
      </w:r>
      <w:r>
        <w:t>第二章通过万德隆、外部同行和薪酬调整等案例，讨论胖东来对区域商业组织的示范与影响。</w:t>
      </w:r>
    </w:p>
    <w:p>
      <w:pPr>
        <w:pStyle w:val="ListBullet"/>
      </w:pPr>
      <w:r>
        <w:rPr>
          <w:b/>
        </w:rPr>
        <w:t>第三章：真正的人性化管理：</w:t>
      </w:r>
      <w:r>
        <w:t>第三章核心命题是“把员工当做完整意义上的人”，并从需求、组织、财富分享、激励、培训和归属解释人性化管理。</w:t>
      </w:r>
    </w:p>
    <w:p>
      <w:pPr>
        <w:pStyle w:val="ListBullet"/>
      </w:pPr>
      <w:r>
        <w:rPr>
          <w:b/>
        </w:rPr>
        <w:t>第四章：让顾客满意：</w:t>
      </w:r>
      <w:r>
        <w:t>第四章从商业本质、商品品质、合理价格、卖场环境和完善服务讨论顾客满意，适合作为平台的服务逻辑框架。</w:t>
      </w:r>
    </w:p>
    <w:p>
      <w:pPr>
        <w:pStyle w:val="ListBullet"/>
      </w:pPr>
      <w:r>
        <w:rPr>
          <w:b/>
        </w:rPr>
        <w:t>第五章：文化立企 文化强企：</w:t>
      </w:r>
      <w:r>
        <w:t>第五章讨论“东来特色”的企业文化、文化演进、领导者人格与企业文化地图，可用作文化层次分析，但不应替代现行官方文本。</w:t>
      </w:r>
    </w:p>
    <w:p>
      <w:pPr>
        <w:pStyle w:val="Heading1"/>
      </w:pPr>
      <w:r>
        <w:t>八、争议与待核验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fill="A54132"/>
          </w:tcPr>
          <w:p>
            <w:r>
              <w:rPr>
                <w:b/>
                <w:color w:val="FFFFFF"/>
              </w:rPr>
              <w:t>主题</w:t>
            </w:r>
          </w:p>
        </w:tc>
        <w:tc>
          <w:tcPr>
            <w:tcW w:type="dxa" w:w="2493"/>
            <w:shd w:fill="A54132"/>
          </w:tcPr>
          <w:p>
            <w:r>
              <w:rPr>
                <w:b/>
                <w:color w:val="FFFFFF"/>
              </w:rPr>
              <w:t>冲突版本</w:t>
            </w:r>
          </w:p>
        </w:tc>
        <w:tc>
          <w:tcPr>
            <w:tcW w:type="dxa" w:w="2493"/>
            <w:shd w:fill="A54132"/>
          </w:tcPr>
          <w:p>
            <w:r>
              <w:rPr>
                <w:b/>
                <w:color w:val="FFFFFF"/>
              </w:rPr>
              <w:t>当前判断</w:t>
            </w:r>
          </w:p>
        </w:tc>
        <w:tc>
          <w:tcPr>
            <w:tcW w:type="dxa" w:w="2493"/>
            <w:shd w:fill="A54132"/>
          </w:tcPr>
          <w:p>
            <w:r>
              <w:rPr>
                <w:b/>
                <w:color w:val="FFFFFF"/>
              </w:rPr>
              <w:t>Agent回答规则</w:t>
            </w:r>
          </w:p>
        </w:tc>
      </w:tr>
      <w:tr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利润分配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95%给员工；三三三原则；高比例用于员工福利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无法统一，可能为不同阶段/语境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并列版本，说明缺少现行官方财务口径</w:t>
            </w:r>
          </w:p>
        </w:tc>
      </w:tr>
      <w:tr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核心价值观文本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公平自由快乐博爱；自由·爱；自由爱尊重幸福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存在理念演进与传播简写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优先说“自由·爱是高识别表达”，并提示官方现行版待核</w:t>
            </w:r>
          </w:p>
        </w:tc>
      </w:tr>
      <w:tr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委屈奖/人格尊严补偿金额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500-5000元；更高个案金额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机制存在，金额依制度/个案变化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不写死金额</w:t>
            </w:r>
          </w:p>
        </w:tc>
      </w:tr>
      <w:tr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休假天数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30天；40天含不开心假；管理层150-180天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统计口径和人群不同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按年份、岗位和是否含双休日拆分</w:t>
            </w:r>
          </w:p>
        </w:tc>
      </w:tr>
      <w:tr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员工离职率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0.33%；2%；2.01%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缺少统一权威数据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明确无法确认具体值</w:t>
            </w:r>
          </w:p>
        </w:tc>
      </w:tr>
      <w:tr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5A/6A景区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网络称号；官方景区评级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仅为网络戏称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明确非文旅官方评级</w:t>
            </w:r>
          </w:p>
        </w:tc>
      </w:tr>
      <w:tr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公益累计总额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不同年份累计值；现金与物资估值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时点与口径不同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只引用某次政府公示口径</w:t>
            </w:r>
          </w:p>
        </w:tc>
      </w:tr>
      <w:tr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于东来是否退休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宣布退休；放权；仍参与战略和公开活动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职务与参与程度动态变化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按日期描述，不用完全退出等绝对词</w:t>
            </w:r>
          </w:p>
        </w:tc>
      </w:tr>
      <w:tr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彩礼倡导执行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强制表态；道歉调整；奖励引导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执行范围不清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呈现演变，不判定现行强制制度</w:t>
            </w:r>
          </w:p>
        </w:tc>
      </w:tr>
      <w:tr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供应商准入与质检细节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媒体概述；缺完整标准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公开信息不足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直接说明未知</w:t>
            </w:r>
          </w:p>
        </w:tc>
      </w:tr>
      <w:tr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郑州店与新项目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多个项目、效果图和开业时间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易混淆且动态变化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先区分项目，再给出截至日期</w:t>
            </w:r>
          </w:p>
        </w:tc>
      </w:tr>
      <w:tr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马云雷军等评价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二手转述；缺原始采访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不可作确定引语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标注网络流传/待一手核验</w:t>
            </w:r>
          </w:p>
        </w:tc>
      </w:tr>
      <w:tr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胖都来等相似品牌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历史判决；2025纠纷结果不清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持续法律与商标核验事项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不要将其图片/门店混入胖东来</w:t>
            </w:r>
          </w:p>
        </w:tc>
      </w:tr>
    </w:tbl>
    <w:p>
      <w:pPr>
        <w:pStyle w:val="Heading1"/>
      </w:pPr>
      <w:r>
        <w:t>九、图片素材盘点</w:t>
      </w:r>
    </w:p>
    <w:p>
      <w:r>
        <w:t>下图为本包10张图片的联系表。所有图片都完成来源、哈希和版权风险标注；其中新华社图片仅适合研究/内部原型，官方品牌图也需取得企业授权后再正式展示。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3146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contact_sheet_part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146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九、图片素材盘点（续）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2097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contact_sheet_part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09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十、Agent接入与验收</w:t>
      </w:r>
    </w:p>
    <w:p>
      <w:pPr>
        <w:pStyle w:val="ListNumber"/>
      </w:pPr>
      <w:r>
        <w:t>系统提示词：01_AGENT_CORE/agent_system_prompt.md</w:t>
      </w:r>
    </w:p>
    <w:p>
      <w:pPr>
        <w:pStyle w:val="ListNumber"/>
      </w:pPr>
      <w:r>
        <w:t>主语料：02_KNOWLEDGE/knowledge_cards.jsonl</w:t>
      </w:r>
    </w:p>
    <w:p>
      <w:pPr>
        <w:pStyle w:val="ListNumber"/>
      </w:pPr>
      <w:r>
        <w:t>结构化证据：03_EVIDENCE/claims_registry.csv + sources_master.csv</w:t>
      </w:r>
    </w:p>
    <w:p>
      <w:pPr>
        <w:pStyle w:val="ListNumber"/>
      </w:pPr>
      <w:r>
        <w:t>争议强制召回：03_EVIDENCE/conflicts_and_verification.csv</w:t>
      </w:r>
    </w:p>
    <w:p>
      <w:pPr>
        <w:pStyle w:val="ListNumber"/>
      </w:pPr>
      <w:r>
        <w:t>图片检索：04_MEDIA/media_manifest.csv</w:t>
      </w:r>
    </w:p>
    <w:p>
      <w:pPr>
        <w:pStyle w:val="ListNumber"/>
      </w:pPr>
      <w:r>
        <w:t>验收：05_TESTS/qa_benchmark.jsonl + red_team_tests.md</w:t>
      </w:r>
    </w:p>
    <w:p>
      <w:pPr>
        <w:pStyle w:val="Heading1"/>
      </w:pPr>
      <w:r>
        <w:t>十一、下一阶段补齐清单</w:t>
      </w:r>
    </w:p>
    <w:p>
      <w:pPr>
        <w:pStyle w:val="ListBullet"/>
      </w:pPr>
      <w:r>
        <w:t>官方现行文化/幸福生命手册可授权版本</w:t>
      </w:r>
    </w:p>
    <w:p>
      <w:pPr>
        <w:pStyle w:val="ListBullet"/>
      </w:pPr>
      <w:r>
        <w:t>员工制度原文（岗位、休假、工时、尊严补偿）</w:t>
      </w:r>
    </w:p>
    <w:p>
      <w:pPr>
        <w:pStyle w:val="ListBullet"/>
      </w:pPr>
      <w:r>
        <w:t>Logo/VI与可商用授权图片</w:t>
      </w:r>
    </w:p>
    <w:p>
      <w:pPr>
        <w:pStyle w:val="ListBullet"/>
      </w:pPr>
      <w:r>
        <w:t>经知情同意的一线员工、顾客和供应商访谈</w:t>
      </w:r>
    </w:p>
    <w:p>
      <w:pPr>
        <w:pStyle w:val="ListBullet"/>
      </w:pPr>
      <w:r>
        <w:t>供应商准入、质检与食品安全流程的一手资料</w:t>
      </w:r>
    </w:p>
    <w:p>
      <w:pPr>
        <w:pStyle w:val="ListBullet"/>
      </w:pPr>
      <w:r>
        <w:t>2025-2026经营与门店数据的官方口径</w:t>
      </w:r>
    </w:p>
    <w:p>
      <w:pPr>
        <w:pStyle w:val="ListBullet"/>
      </w:pPr>
      <w:r>
        <w:t>关键直播/演讲的完整字幕与时间码</w:t>
      </w:r>
    </w:p>
    <w:p>
      <w:pPr>
        <w:jc w:val="center"/>
      </w:pPr>
      <w:r>
        <w:t>— 本总册结束 —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A5413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5A3A3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5A3A3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A54132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