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2026-07-25</w:t>
      </w:r>
    </w:p>
    <w:p>
      <w:pPr>
        <w:pStyle w:val="AbstractTitle"/>
      </w:pPr>
      <w:r>
        <w:t xml:space="preserve">Abstract</w:t>
      </w:r>
    </w:p>
    <w:p>
      <w:pPr>
        <w:pStyle w:val="Abstract"/>
      </w:pPr>
      <w:r>
        <w:t xml:space="preserve">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preciptiation in these regions</w:t>
      </w:r>
      <w:r>
        <w:t xml:space="preserve"> </w:t>
      </w:r>
      <w:r>
        <w:t xml:space="preserve">(Konstali et al. 2024; Catto and Pfahl 2013)</w:t>
      </w:r>
      <w:r>
        <w:t xml:space="preserve">. Cold fronts are also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change with warming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a simpler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w:t>
      </w:r>
      <w:r>
        <w:t xml:space="preserve"> </w:t>
      </w:r>
      <w:r>
        <w:t xml:space="preserve">(King, Reeder, and Jakob 2024)</w:t>
      </w:r>
      <w:r>
        <w:t xml:space="preserve">. Indeed,</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here we consider again projections of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weak resolution-dependence</w:t>
      </w:r>
      <w:r>
        <w:t xml:space="preserve"> </w:t>
      </w:r>
      <w:r>
        <w:t xml:space="preserve">(as shown by King, Reeder, and Jakob 2024)</w:t>
      </w:r>
      <w:r>
        <w:t xml:space="preserve"> </w:t>
      </w:r>
      <w:r>
        <w:t xml:space="preserve">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study the response of the meridional temperature gradient and its relationship with the change in front frequency. We also explore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near-surface air temperature (2 meter)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 a</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smaller temperature variability. For this reason, in this study, we use the value of the 2.5</w:t>
      </w:r>
      <m:oMath>
        <m:sSup>
          <m:e>
            <m:r>
              <m:t>​</m:t>
            </m:r>
          </m:e>
          <m:sup>
            <m:r>
              <m:t>t</m:t>
            </m:r>
            <m:r>
              <m:t>h</m:t>
            </m:r>
          </m:sup>
        </m:sSup>
      </m:oMath>
      <w:r>
        <w:t xml:space="preserve"> </w:t>
      </w:r>
      <w:r>
        <w:t xml:space="preserve">percentile of</w:t>
      </w:r>
      <w:r>
        <w:t xml:space="preserve"> </w:t>
      </w:r>
      <m:oMath>
        <m:r>
          <m:t>Δ</m:t>
        </m:r>
        <m:r>
          <m:t>T</m:t>
        </m:r>
      </m:oMath>
      <w:r>
        <w:t xml:space="preserve"> </w:t>
      </w:r>
      <w:r>
        <w:t xml:space="preserve">(as we want to capture the most negative temperature falls) as a threshold for each grid point to identify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w:t>
      </w:r>
      <m:oMath>
        <m:sSup>
          <m:e>
            <m:r>
              <m:t>​</m:t>
            </m:r>
          </m:e>
          <m:sup>
            <m:r>
              <m:t>t</m:t>
            </m:r>
            <m:r>
              <m:t>h</m:t>
            </m:r>
          </m:sup>
        </m:sSup>
      </m:oMath>
      <w:r>
        <w:t xml:space="preserve"> </w:t>
      </w:r>
      <w:r>
        <w:t xml:space="preserve">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Additionally, the percentile values are also calculated over the same period for December-January-February (DJF) and June-July-August (JJA) for the seasonal analysis (see Supplemental Information).</w:t>
      </w:r>
    </w:p>
    <w:p>
      <w:pPr>
        <w:pStyle w:val="BodyText"/>
      </w:pPr>
      <w:r>
        <w:t xml:space="preserve">It is important to note that by using this threshold we detect frontal passages in exactly 2.5% of days. In regions of regular frontal passage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drops that can be associated to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high-pass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w:t>
      </w:r>
    </w:p>
    <w:p>
      <w:pPr>
        <w:pStyle w:val="BodyText"/>
      </w:pPr>
      <w:hyperlink w:anchor="fig-trend">
        <w:r>
          <w:rPr>
            <w:rStyle w:val="Hyperlink"/>
          </w:rPr>
          <w:t xml:space="preserve">Figure 1</w:t>
        </w:r>
      </w:hyperlink>
      <w:r>
        <w:t xml:space="preserve"> </w:t>
      </w:r>
      <w:r>
        <w:t xml:space="preserve">d) show the</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We found that the spatial pattern correlates with the climatology of cold fronts proposed by</w:t>
      </w:r>
      <w:r>
        <w:t xml:space="preserve"> </w:t>
      </w:r>
      <w:r>
        <w:t xml:space="preserve">Berry, Reeder, and Jakob (2011)</w:t>
      </w:r>
      <w:r>
        <w:t xml:space="preserve"> </w:t>
      </w:r>
      <w:r>
        <w:t xml:space="preserve">(their Figure 2a) or</w:t>
      </w:r>
      <w:r>
        <w:t xml:space="preserve"> </w:t>
      </w:r>
      <w:r>
        <w:t xml:space="preserve">King, Reeder, and Jakob (2024)</w:t>
      </w:r>
      <w:r>
        <w:t xml:space="preserve"> </w:t>
      </w:r>
      <w:r>
        <w:t xml:space="preserve">(their Figure 6). This shows that temperature drops from one day to the next identified using this percentile are directly related to cold front passages.</w:t>
      </w:r>
    </w:p>
    <w:p>
      <w:pPr>
        <w:pStyle w:val="BodyText"/>
      </w:pPr>
      <w:r>
        <w:t xml:space="preserve">In terms of projected changes,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most pronounced in the Agulas region.</w:t>
      </w:r>
    </w:p>
    <w:p>
      <w:pPr>
        <w:pStyle w:val="BodyText"/>
      </w:pPr>
      <w:r>
        <w:t xml:space="preserve">The analysis of the change in frequency of</w:t>
      </w:r>
      <w:r>
        <w:t xml:space="preserve"> </w:t>
      </w:r>
      <m:oMath>
        <m:r>
          <m:t>Δ</m:t>
        </m:r>
        <m:sSub>
          <m:e>
            <m:r>
              <m:t>T</m:t>
            </m:r>
          </m:e>
          <m:sub>
            <m:r>
              <m:t>2.5</m:t>
            </m:r>
          </m:sub>
        </m:sSub>
      </m:oMath>
      <w:r>
        <w:t xml:space="preserve"> </w:t>
      </w:r>
      <w:r>
        <w:t xml:space="preserve">by season in DJF and JJA (Figure S1 a) shows similar spatial patterns and the same sign of the change when compared with the change per year in</w:t>
      </w:r>
      <w:r>
        <w:t xml:space="preserve"> </w:t>
      </w:r>
      <w:hyperlink w:anchor="fig-trend">
        <w:r>
          <w:rPr>
            <w:rStyle w:val="Hyperlink"/>
          </w:rPr>
          <w:t xml:space="preserve">Figure 1</w:t>
        </w:r>
      </w:hyperlink>
      <w:r>
        <w:t xml:space="preserve"> </w:t>
      </w:r>
      <w:r>
        <w:t xml:space="preserve">a). The main exception is western Europe, where we see an increase in front frequency during winter but a decrease in summer.</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5334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2080-2100 minus Historical 1980-2000) and zonal mean change over b) land and c) sea, each grey line represents a model listed in Table 1 and a black line represents the multimodel mean. In a) dotted areas show where at least 90% of the models agree in the sign of change. d)</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and zonal mean over e) land and f) sea.</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between models in these trends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yearly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the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p>
    <w:p>
      <w:pPr>
        <w:pStyle w:val="BodyText"/>
      </w:pPr>
      <w:r>
        <w:t xml:space="preserve">This figure shows that, in most cases, the sign of the change is the same across all percentile thresholds, meaning that there is a projected increase or decrease in the frequency of</w:t>
      </w:r>
      <w:r>
        <w:t xml:space="preserve"> </w:t>
      </w:r>
      <m:oMath>
        <m:r>
          <m:t>Δ</m:t>
        </m:r>
        <m:r>
          <m:t>T</m:t>
        </m:r>
      </m:oMath>
      <w:r>
        <w:t xml:space="preserve"> </w:t>
      </w:r>
      <w:r>
        <w:t xml:space="preserve">regardless of the intensity of the temperature drop. The exceptions are the Southern Hemisphere over sea and the Northern Hemisphere over Land in the 40</w:t>
      </w:r>
      <w:r>
        <w:t xml:space="preserve"> </w:t>
      </w:r>
      <m:oMath>
        <m:sSup>
          <m:e>
            <m:r>
              <m:t>​</m:t>
            </m:r>
          </m:e>
          <m:sup>
            <m:r>
              <m:rPr>
                <m:sty m:val="p"/>
              </m:rPr>
              <m:t>∘</m:t>
            </m:r>
          </m:sup>
        </m:sSup>
      </m:oMath>
      <w:r>
        <w:t xml:space="preserve"> </w:t>
      </w:r>
      <w:r>
        <w:t xml:space="preserve">latitude band, were its expected to see a modest increase in strong temperature drops but a small decrease in weaker ones.</w:t>
      </w:r>
    </w:p>
    <w:p>
      <w:pPr>
        <w:pStyle w:val="BodyText"/>
      </w:pPr>
      <w:r>
        <w:t xml:space="preserve">It is also interesting to note that the change in the frequency of</w:t>
      </w:r>
      <w:r>
        <w:t xml:space="preserve"> </w:t>
      </w:r>
      <m:oMath>
        <m:r>
          <m:t>Δ</m:t>
        </m:r>
        <m:r>
          <m:t>T</m:t>
        </m:r>
      </m:oMath>
      <w:r>
        <w:t xml:space="preserve"> </w:t>
      </w:r>
      <w:r>
        <w:t xml:space="preserve">is greater at lower percentile thresholds, which identify more extreme temperature drops. For example in the Northern Hemisphere over the sea, the 0.1</w:t>
      </w:r>
      <m:oMath>
        <m:sSup>
          <m:e>
            <m:r>
              <m:t>​</m:t>
            </m:r>
          </m:e>
          <m:sup>
            <m:r>
              <m:t>t</m:t>
            </m:r>
            <m:r>
              <m:t>h</m:t>
            </m:r>
          </m:sup>
        </m:sSup>
      </m:oMath>
      <w:r>
        <w:t xml:space="preserve"> </w:t>
      </w:r>
      <w:r>
        <w:t xml:space="preserve">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it is important to note that lower percentiles thresholds are associated with rarer events, meaning fewer occurrences per year. These results suggest that regions projected to experience more temperature falls in the future, such as land areas in midlatitudes in the Southern Hemisphere, will also experience more intense</w:t>
      </w:r>
      <w:r>
        <w:t xml:space="preserve"> </w:t>
      </w:r>
      <m:oMath>
        <m:r>
          <m:t>Δ</m:t>
        </m:r>
        <m:r>
          <m:t>T</m:t>
        </m:r>
      </m:oMath>
      <w:r>
        <w:t xml:space="preserve">, whereas regions with a decreasing frequency of events will see less intense falls in temperature.</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2080-2100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hanisms"/>
    <w:p>
      <w:pPr>
        <w:pStyle w:val="Heading3"/>
      </w:pPr>
      <w:r>
        <w:t xml:space="preserve">Mechanisms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consider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the eddy kinetic energy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 </w:t>
      </w:r>
      <w:r>
        <w:t xml:space="preserve">and this relationship is particularly strong in the Northern Hemisphere.</w:t>
      </w:r>
    </w:p>
    <w:p>
      <w:pPr>
        <w:pStyle w:val="BodyText"/>
      </w:pPr>
      <w:r>
        <w:t xml:space="preserve">A similar relationship across the ensemble is present when comparing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high-pass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Another hypothesis is that the most of the land affected by fronts in the Southern Hemisphere is north of the mean storm tracks, and thus the storm tracks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The results associated with changes in EKE by season align with previous literature</w:t>
      </w:r>
      <w:r>
        <w:t xml:space="preserve"> </w:t>
      </w:r>
      <w:r>
        <w:t xml:space="preserve">(Priestley and Catto 2022; O’Gorman 2010)</w:t>
      </w:r>
      <w:r>
        <w:t xml:space="preserve">, with a general increase in EKE during summer and a decrease in winter in the Northern Hemisphere and a general positive change in the Southern Hemisphere in both seasons associated with a poleward shift of the storm tracks (Figure S2 c-d). Given these seasonal asymmetries, it is important to note that the change in EKE averaged over the entire year (</w:t>
      </w:r>
      <w:hyperlink w:anchor="fig-eke">
        <w:r>
          <w:rPr>
            <w:rStyle w:val="Hyperlink"/>
          </w:rPr>
          <w:t xml:space="preserve">Figure 4</w:t>
        </w:r>
      </w:hyperlink>
      <w:r>
        <w:t xml:space="preserve"> </w:t>
      </w:r>
      <w:r>
        <w:t xml:space="preserve">b) is strongly associated with the winter season in each hemisphere.</w:t>
      </w:r>
    </w:p>
    <w:p>
      <w:pPr>
        <w:pStyle w:val="BodyText"/>
      </w:pPr>
      <w:r>
        <w:t xml:space="preserve">Notwithstanding the above caveats,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eddy kinetic energy of the storm track EKE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as a method to detect cold fronts and to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drop method may misidentify other forms of temperature variability as fronts, previous studies have shown that this methodology provides a simple and robust method for characterising the frequency of fronts over midlatitude regions.</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in this region,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showed that surface sensible heat fluxes associated with strong SST gradients, such as those found in the Gulf Stream or Kuroshio Current regions, can amplify fronts through diabatic frontogenesis. However,</w:t>
      </w:r>
      <w:r>
        <w:t xml:space="preserve"> </w:t>
      </w:r>
      <w:r>
        <w:t xml:space="preserve">Reeder, Spengler, and Spensberger (2021)</w:t>
      </w:r>
      <w:r>
        <w:t xml:space="preserve"> </w:t>
      </w:r>
      <w:r>
        <w:t xml:space="preserve">showed that atmospheric fronts along SST fronts are amplified primarily by adiabatic frontogenesis, i.e. the deformation of the wind field that helps increase the equivalent potential temperature gradient.</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p>
      <w:pPr>
        <w:pStyle w:val="BodyText"/>
      </w:pPr>
      <w:r>
        <w:t xml:space="preserve">Finally, this study focuses on cold fronts although warm fronts also play an important role in the distribution of extreme precipitation</w:t>
      </w:r>
      <w:r>
        <w:t xml:space="preserve"> </w:t>
      </w:r>
      <w:r>
        <w:t xml:space="preserve">(Catto and Pfahl 2013)</w:t>
      </w:r>
      <w:r>
        <w:t xml:space="preserve">. We explored extending the methodology to warm fronts by considering day-to-day increases in maximum temperature. However, unlike cold fronts, warm fronts are not associated with a sufficiently distinct temperature signal to allow a simple threshold-based identification without also including changes associated with other local thermodynamic processes. Developing a simple and robust method for identifying warm fronts would extend the present framework and provide further insight into projected changes in frontal activity under climate change.</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https://doi.org/10.5281/zenodo.20019441</w:t>
        </w:r>
      </w:hyperlink>
      <w:r>
        <w:t xml:space="preserve">. The derived data that support the findings of this study are also openly available in Zenodo at</w:t>
      </w:r>
      <w:r>
        <w:t xml:space="preserve"> </w:t>
      </w:r>
      <w:hyperlink r:id="rId48">
        <w:r>
          <w:rPr>
            <w:rStyle w:val="Hyperlink"/>
          </w:rPr>
          <w:t xml:space="preserve">https://doi.org/10.5281/zenodo.19840311</w:t>
        </w:r>
      </w:hyperlink>
      <w:r>
        <w:t xml:space="preserve">, version 0.9.</w:t>
      </w:r>
    </w:p>
    <w:bookmarkEnd w:id="49"/>
    <w:bookmarkStart w:id="147" w:name="references"/>
    <w:p>
      <w:pPr>
        <w:pStyle w:val="Heading2"/>
      </w:pPr>
      <w:r>
        <w:t xml:space="preserve">References</w:t>
      </w:r>
    </w:p>
    <w:bookmarkStart w:id="146"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Priestley2022"/>
    <w:p>
      <w:pPr>
        <w:pStyle w:val="Bibliography"/>
      </w:pPr>
      <w:r>
        <w:t xml:space="preserve">Priestley, Matthew D. K., and Jennifer L. Catto. 2022.</w:t>
      </w:r>
      <w:r>
        <w:t xml:space="preserve"> </w:t>
      </w:r>
      <w:r>
        <w:t xml:space="preserve">“Future Changes in the Extratropical Storm Tracks and Cyclone Intensity, Wind Speed, and Structure.”</w:t>
      </w:r>
      <w:r>
        <w:t xml:space="preserve"> </w:t>
      </w:r>
      <w:r>
        <w:rPr>
          <w:i/>
          <w:iCs/>
        </w:rPr>
        <w:t xml:space="preserve">Weather and Climate Dynamics</w:t>
      </w:r>
      <w:r>
        <w:t xml:space="preserve"> </w:t>
      </w:r>
      <w:r>
        <w:t xml:space="preserve">3 (1): 337–60.</w:t>
      </w:r>
      <w:r>
        <w:t xml:space="preserve"> </w:t>
      </w:r>
      <w:hyperlink r:id="rId116">
        <w:r>
          <w:rPr>
            <w:rStyle w:val="Hyperlink"/>
          </w:rPr>
          <w:t xml:space="preserve">https://doi.org/10.5194/wcd-3-337-2022</w:t>
        </w:r>
      </w:hyperlink>
      <w:r>
        <w:t xml:space="preserve">.</w:t>
      </w:r>
    </w:p>
    <w:bookmarkEnd w:id="117"/>
    <w:bookmarkStart w:id="119"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8">
        <w:r>
          <w:rPr>
            <w:rStyle w:val="Hyperlink"/>
          </w:rPr>
          <w:t xml:space="preserve">https://www.R-project.org/</w:t>
        </w:r>
      </w:hyperlink>
      <w:r>
        <w:t xml:space="preserve">.</w:t>
      </w:r>
    </w:p>
    <w:bookmarkEnd w:id="119"/>
    <w:bookmarkStart w:id="121"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20">
        <w:r>
          <w:rPr>
            <w:rStyle w:val="Hyperlink"/>
          </w:rPr>
          <w:t xml:space="preserve">https://doi.org/10.1002/2015GL063125</w:t>
        </w:r>
      </w:hyperlink>
      <w:r>
        <w:t xml:space="preserve">.</w:t>
      </w:r>
    </w:p>
    <w:bookmarkEnd w:id="121"/>
    <w:bookmarkStart w:id="123"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2">
        <w:r>
          <w:rPr>
            <w:rStyle w:val="Hyperlink"/>
          </w:rPr>
          <w:t xml:space="preserve">https://doi.org/10.1175/JAS-D-20-0118.1</w:t>
        </w:r>
      </w:hyperlink>
      <w:r>
        <w:t xml:space="preserve">.</w:t>
      </w:r>
    </w:p>
    <w:bookmarkEnd w:id="123"/>
    <w:bookmarkStart w:id="125"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4">
        <w:r>
          <w:rPr>
            <w:rStyle w:val="Hyperlink"/>
          </w:rPr>
          <w:t xml:space="preserve">https://doi.org/10.1175/JCLI-D-14-00632.1</w:t>
        </w:r>
      </w:hyperlink>
      <w:r>
        <w:t xml:space="preserve">.</w:t>
      </w:r>
    </w:p>
    <w:bookmarkEnd w:id="125"/>
    <w:bookmarkStart w:id="127"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6">
        <w:r>
          <w:rPr>
            <w:rStyle w:val="Hyperlink"/>
          </w:rPr>
          <w:t xml:space="preserve">https://doi.org/10.26050/WDCC/AR6.C6SPDKME2</w:t>
        </w:r>
      </w:hyperlink>
      <w:r>
        <w:t xml:space="preserve">.</w:t>
      </w:r>
    </w:p>
    <w:bookmarkEnd w:id="127"/>
    <w:bookmarkStart w:id="129"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8">
        <w:r>
          <w:rPr>
            <w:rStyle w:val="Hyperlink"/>
          </w:rPr>
          <w:t xml:space="preserve">https://doi.org/10.1175/JCLI-D-11-00100.1</w:t>
        </w:r>
      </w:hyperlink>
      <w:r>
        <w:t xml:space="preserve">.</w:t>
      </w:r>
    </w:p>
    <w:bookmarkEnd w:id="129"/>
    <w:bookmarkStart w:id="131"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30">
        <w:r>
          <w:rPr>
            <w:rStyle w:val="Hyperlink"/>
          </w:rPr>
          <w:t xml:space="preserve">https://doi.org/10.1002/2017GL073633</w:t>
        </w:r>
      </w:hyperlink>
      <w:r>
        <w:t xml:space="preserve">.</w:t>
      </w:r>
    </w:p>
    <w:bookmarkEnd w:id="131"/>
    <w:bookmarkStart w:id="133"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2">
        <w:r>
          <w:rPr>
            <w:rStyle w:val="Hyperlink"/>
          </w:rPr>
          <w:t xml:space="preserve">https://doi.org/10.1175/MWR-D-18-0289.1</w:t>
        </w:r>
      </w:hyperlink>
      <w:r>
        <w:t xml:space="preserve">.</w:t>
      </w:r>
    </w:p>
    <w:bookmarkEnd w:id="133"/>
    <w:bookmarkStart w:id="135"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4">
        <w:r>
          <w:rPr>
            <w:rStyle w:val="Hyperlink"/>
          </w:rPr>
          <w:t xml:space="preserve">https://doi.org/10.22033/ESGF/CMIP6.5069</w:t>
        </w:r>
      </w:hyperlink>
      <w:r>
        <w:t xml:space="preserve">.</w:t>
      </w:r>
    </w:p>
    <w:bookmarkEnd w:id="135"/>
    <w:bookmarkStart w:id="137"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https://doi.org/10.26050/WDCC/AR6.C6SPINIC8</w:t>
        </w:r>
      </w:hyperlink>
      <w:r>
        <w:t xml:space="preserve">.</w:t>
      </w:r>
    </w:p>
    <w:bookmarkEnd w:id="137"/>
    <w:bookmarkStart w:id="139"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8">
        <w:r>
          <w:rPr>
            <w:rStyle w:val="Hyperlink"/>
          </w:rPr>
          <w:t xml:space="preserve">https://doi.org/10.26050/WDCC/AR6.C6SPINIC0</w:t>
        </w:r>
      </w:hyperlink>
      <w:r>
        <w:t xml:space="preserve">.</w:t>
      </w:r>
    </w:p>
    <w:bookmarkEnd w:id="139"/>
    <w:bookmarkStart w:id="141"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40">
        <w:r>
          <w:rPr>
            <w:rStyle w:val="Hyperlink"/>
          </w:rPr>
          <w:t xml:space="preserve">https://doi.org/10.26050/WDCC/AR6.C6CMINIC0</w:t>
        </w:r>
      </w:hyperlink>
      <w:r>
        <w:t xml:space="preserve">.</w:t>
      </w:r>
    </w:p>
    <w:bookmarkEnd w:id="141"/>
    <w:bookmarkStart w:id="143"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2">
        <w:r>
          <w:rPr>
            <w:rStyle w:val="Hyperlink"/>
          </w:rPr>
          <w:t xml:space="preserve">https://ggplot2.tidyverse.org</w:t>
        </w:r>
      </w:hyperlink>
      <w:r>
        <w:t xml:space="preserve">.</w:t>
      </w:r>
    </w:p>
    <w:bookmarkEnd w:id="143"/>
    <w:bookmarkStart w:id="145" w:name="ref-cowplot"/>
    <w:p>
      <w:pPr>
        <w:pStyle w:val="Bibliography"/>
      </w:pPr>
      <w:r>
        <w:t xml:space="preserve">Wilke, Claus O. 2024.</w:t>
      </w:r>
      <w:r>
        <w:t xml:space="preserve"> </w:t>
      </w:r>
      <w:r>
        <w:t xml:space="preserve">“Cowplot: Streamlined Plot Theme and Plot Annotations for ’Ggplot2’.”</w:t>
      </w:r>
      <w:r>
        <w:t xml:space="preserve"> </w:t>
      </w:r>
      <w:hyperlink r:id="rId144">
        <w:r>
          <w:rPr>
            <w:rStyle w:val="Hyperlink"/>
          </w:rPr>
          <w:t xml:space="preserve">https://wilkelab.org/cowplot/</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2026-07-25T10:07:36Z</dcterms:created>
  <dcterms:modified xsi:type="dcterms:W3CDTF">2026-07-25T10:07:36Z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2026-07-25</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cold fronts in climate simulations. In the future climate projections from ten global models, cold fronts are less frequent in much of the Northern Hemisphere, especially over the oceans. In the Southern Hemisphere, however,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