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2026-05-04</w:t>
      </w:r>
    </w:p>
    <w:p>
      <w:pPr>
        <w:pStyle w:val="AbstractTitle"/>
      </w:pPr>
      <w:r>
        <w:t xml:space="preserve">Abstract</w:t>
      </w:r>
    </w:p>
    <w:p>
      <w:pPr>
        <w:pStyle w:val="Abstract"/>
      </w:pPr>
      <w:r>
        <w:t xml:space="preserve">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preciptiation in these regions</w:t>
      </w:r>
      <w:r>
        <w:t xml:space="preserve"> </w:t>
      </w:r>
      <w:r>
        <w:t xml:space="preserve">(Konstali et al. 2024; Catto and Pfahl 2013)</w:t>
      </w:r>
      <w:r>
        <w:t xml:space="preserve">. Cold fronts are also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change with warming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a simpler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 (</w:t>
      </w:r>
      <w:r>
        <w:t xml:space="preserve">King, Reeder, and Jakob (2024)</w:t>
      </w:r>
      <w:r>
        <w:t xml:space="preserve">). Indeed,</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here we consider again projections of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resolution-independence 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studied the response of the meridional temperature gradient and it relationship with the change in front frequency. We also explored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surface air temperature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 a</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smaller temperature variability. For this reason, in this study, we use the value of the 2.5th percentile of</w:t>
      </w:r>
      <w:r>
        <w:t xml:space="preserve"> </w:t>
      </w:r>
      <m:oMath>
        <m:r>
          <m:t>Δ</m:t>
        </m:r>
        <m:r>
          <m:t>T</m:t>
        </m:r>
      </m:oMath>
      <w:r>
        <w:t xml:space="preserve"> </w:t>
      </w:r>
      <w:r>
        <w:t xml:space="preserve">(as we want to capture the most negative temperature falls) as a threshold for each grid point to identify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2.5th 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It is important to note that by using this threshold we detect frontal passages in exactly 2.5% of days. In regions of regular frontal passage the 2.5th 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drops that can be associated to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band-pass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most pronounced in the Agulas region. The oceanic regions in the Southern Hemisphere are also associated with an increase in</w:t>
      </w:r>
      <w:r>
        <w:t xml:space="preserve"> </w:t>
      </w:r>
      <m:oMath>
        <m:r>
          <m:rPr>
            <m:sty m:val="p"/>
          </m:rPr>
          <m:t>∂</m:t>
        </m:r>
        <m:acc>
          <m:accPr>
            <m:chr m:val="‾"/>
          </m:accPr>
          <m:e>
            <m:r>
              <m:t>T</m:t>
            </m:r>
          </m:e>
        </m:acc>
        <m:r>
          <m:rPr>
            <m:sty m:val="p"/>
          </m:rPr>
          <m:t>/</m:t>
        </m:r>
        <m:r>
          <m:rPr>
            <m:sty m:val="p"/>
          </m:rPr>
          <m:t>∂</m:t>
        </m:r>
        <m:r>
          <m:t>y</m:t>
        </m:r>
      </m:oMath>
      <w:r>
        <w:t xml:space="preserve"> </w:t>
      </w:r>
      <w:r>
        <w:t xml:space="preserve">and in storm track activity (not shown).</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266700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2018-2100 minus Historical 1980-2000) and zonal mean change over sea b) and land c), each grey line represents a model listed in Table 1 and a black line represents the multimodel mean. In a) dotted areas show where at least 90% of the models agree in the sign of change.</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between models in these trends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outliners.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r>
        <w:t xml:space="preserve"> </w:t>
      </w:r>
      <w:r>
        <w:t xml:space="preserve">This figure shows that the change in the frequency of</w:t>
      </w:r>
      <w:r>
        <w:t xml:space="preserve"> </w:t>
      </w:r>
      <m:oMath>
        <m:r>
          <m:t>Δ</m:t>
        </m:r>
        <m:r>
          <m:t>T</m:t>
        </m:r>
      </m:oMath>
      <w:r>
        <w:t xml:space="preserve"> </w:t>
      </w:r>
      <w:r>
        <w:t xml:space="preserve">is greater at lower percentile thresholds, which identify more extreme temperature falls. For example in the Northern Hemisphere over the sea, the 0.1 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it is important to note that lower percentiles thresholds are associated with rarer events, meaning fewer occurrences per year. These results suggest that regions projected to experience more temperature falls in the future, such as land areas in midlatitudes in the Southern Hemisphere, will also experience more intense</w:t>
      </w:r>
      <w:r>
        <w:t xml:space="preserve"> </w:t>
      </w:r>
      <m:oMath>
        <m:r>
          <m:t>Δ</m:t>
        </m:r>
        <m:r>
          <m:t>T</m:t>
        </m:r>
      </m:oMath>
      <w:r>
        <w:t xml:space="preserve">, whereas regions with a decreasing frequency of events will see less intense falls in temperature.</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2081-2100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anisms"/>
    <w:p>
      <w:pPr>
        <w:pStyle w:val="Heading3"/>
      </w:pPr>
      <w:r>
        <w:t xml:space="preserve">Mecanisms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consider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the eddy kinetic energy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w:t>
      </w:r>
      <w:r>
        <w:t xml:space="preserve"> </w:t>
      </w:r>
      <w:r>
        <w:t xml:space="preserve">A similar relationship across the ensemble is present when comparing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band-pass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Another hypothesis is that the most of the land affected by fronts in the Southern hemisphere is north of the mean storm tracks, and thus the storm tracks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Notwithstanding the above caveat,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land,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eddy kinetic energy of the storm track EKE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as a method to detect cold fronts and to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drop method may misidentify other forms of temperature variability as fronts, previous studies have shown that this methodology provides a simple and robust method for characterising the frequency of fronts over midlatitude regions.</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showed that surface sensible heat fluxes associated with strong SST gradients, such as those found in the Gulf Stream or Kuroshio Current regions, can amplify fronts through diabatic frontogenesis. However,</w:t>
      </w:r>
      <w:r>
        <w:t xml:space="preserve"> </w:t>
      </w:r>
      <w:r>
        <w:t xml:space="preserve">Reeder, Spengler, and Spensberger (2021)</w:t>
      </w:r>
      <w:r>
        <w:t xml:space="preserve"> </w:t>
      </w:r>
      <w:r>
        <w:t xml:space="preserve">showed that atmospheric fronts along SST fronts are amplified primarily by adiabatic frontogenesis, i.e. the deformation of the wind field that helps increase the equivalent potential temperature gradient.</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and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https://doi.org/10.5281/zenodo.20019441</w:t>
        </w:r>
      </w:hyperlink>
      <w:r>
        <w:t xml:space="preserve">. The derived data that support the findings of this study are also openly available in Zenodo at</w:t>
      </w:r>
      <w:r>
        <w:t xml:space="preserve"> </w:t>
      </w:r>
      <w:hyperlink r:id="rId48">
        <w:r>
          <w:rPr>
            <w:rStyle w:val="Hyperlink"/>
          </w:rPr>
          <w:t xml:space="preserve">https://doi.org/10.5281/zenodo.19840311</w:t>
        </w:r>
      </w:hyperlink>
      <w:r>
        <w:t xml:space="preserve">, version 0.9.</w:t>
      </w:r>
    </w:p>
    <w:bookmarkEnd w:id="49"/>
    <w:bookmarkStart w:id="145" w:name="references"/>
    <w:p>
      <w:pPr>
        <w:pStyle w:val="Heading2"/>
      </w:pPr>
      <w:r>
        <w:t xml:space="preserve">References</w:t>
      </w:r>
    </w:p>
    <w:bookmarkStart w:id="144"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6">
        <w:r>
          <w:rPr>
            <w:rStyle w:val="Hyperlink"/>
          </w:rPr>
          <w:t xml:space="preserve">https://www.R-project.org/</w:t>
        </w:r>
      </w:hyperlink>
      <w:r>
        <w:t xml:space="preserve">.</w:t>
      </w:r>
    </w:p>
    <w:bookmarkEnd w:id="117"/>
    <w:bookmarkStart w:id="119"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18">
        <w:r>
          <w:rPr>
            <w:rStyle w:val="Hyperlink"/>
          </w:rPr>
          <w:t xml:space="preserve">https://doi.org/10.1002/2015GL063125</w:t>
        </w:r>
      </w:hyperlink>
      <w:r>
        <w:t xml:space="preserve">.</w:t>
      </w:r>
    </w:p>
    <w:bookmarkEnd w:id="119"/>
    <w:bookmarkStart w:id="121"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0">
        <w:r>
          <w:rPr>
            <w:rStyle w:val="Hyperlink"/>
          </w:rPr>
          <w:t xml:space="preserve">https://doi.org/10.1175/JAS-D-20-0118.1</w:t>
        </w:r>
      </w:hyperlink>
      <w:r>
        <w:t xml:space="preserve">.</w:t>
      </w:r>
    </w:p>
    <w:bookmarkEnd w:id="121"/>
    <w:bookmarkStart w:id="123"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2">
        <w:r>
          <w:rPr>
            <w:rStyle w:val="Hyperlink"/>
          </w:rPr>
          <w:t xml:space="preserve">https://doi.org/10.1175/JCLI-D-14-00632.1</w:t>
        </w:r>
      </w:hyperlink>
      <w:r>
        <w:t xml:space="preserve">.</w:t>
      </w:r>
    </w:p>
    <w:bookmarkEnd w:id="123"/>
    <w:bookmarkStart w:id="125"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4">
        <w:r>
          <w:rPr>
            <w:rStyle w:val="Hyperlink"/>
          </w:rPr>
          <w:t xml:space="preserve">https://doi.org/10.26050/WDCC/AR6.C6SPDKME2</w:t>
        </w:r>
      </w:hyperlink>
      <w:r>
        <w:t xml:space="preserve">.</w:t>
      </w:r>
    </w:p>
    <w:bookmarkEnd w:id="125"/>
    <w:bookmarkStart w:id="127"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6">
        <w:r>
          <w:rPr>
            <w:rStyle w:val="Hyperlink"/>
          </w:rPr>
          <w:t xml:space="preserve">https://doi.org/10.1175/JCLI-D-11-00100.1</w:t>
        </w:r>
      </w:hyperlink>
      <w:r>
        <w:t xml:space="preserve">.</w:t>
      </w:r>
    </w:p>
    <w:bookmarkEnd w:id="127"/>
    <w:bookmarkStart w:id="129"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28">
        <w:r>
          <w:rPr>
            <w:rStyle w:val="Hyperlink"/>
          </w:rPr>
          <w:t xml:space="preserve">https://doi.org/10.1002/2017GL073633</w:t>
        </w:r>
      </w:hyperlink>
      <w:r>
        <w:t xml:space="preserve">.</w:t>
      </w:r>
    </w:p>
    <w:bookmarkEnd w:id="129"/>
    <w:bookmarkStart w:id="131"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0">
        <w:r>
          <w:rPr>
            <w:rStyle w:val="Hyperlink"/>
          </w:rPr>
          <w:t xml:space="preserve">https://doi.org/10.1175/MWR-D-18-0289.1</w:t>
        </w:r>
      </w:hyperlink>
      <w:r>
        <w:t xml:space="preserve">.</w:t>
      </w:r>
    </w:p>
    <w:bookmarkEnd w:id="131"/>
    <w:bookmarkStart w:id="133"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2">
        <w:r>
          <w:rPr>
            <w:rStyle w:val="Hyperlink"/>
          </w:rPr>
          <w:t xml:space="preserve">https://doi.org/10.22033/ESGF/CMIP6.5069</w:t>
        </w:r>
      </w:hyperlink>
      <w:r>
        <w:t xml:space="preserve">.</w:t>
      </w:r>
    </w:p>
    <w:bookmarkEnd w:id="133"/>
    <w:bookmarkStart w:id="135"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4">
        <w:r>
          <w:rPr>
            <w:rStyle w:val="Hyperlink"/>
          </w:rPr>
          <w:t xml:space="preserve">https://doi.org/10.26050/WDCC/AR6.C6SPINIC8</w:t>
        </w:r>
      </w:hyperlink>
      <w:r>
        <w:t xml:space="preserve">.</w:t>
      </w:r>
    </w:p>
    <w:bookmarkEnd w:id="135"/>
    <w:bookmarkStart w:id="137"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https://doi.org/10.26050/WDCC/AR6.C6SPINIC0</w:t>
        </w:r>
      </w:hyperlink>
      <w:r>
        <w:t xml:space="preserve">.</w:t>
      </w:r>
    </w:p>
    <w:bookmarkEnd w:id="137"/>
    <w:bookmarkStart w:id="139"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38">
        <w:r>
          <w:rPr>
            <w:rStyle w:val="Hyperlink"/>
          </w:rPr>
          <w:t xml:space="preserve">https://doi.org/10.26050/WDCC/AR6.C6CMINIC0</w:t>
        </w:r>
      </w:hyperlink>
      <w:r>
        <w:t xml:space="preserve">.</w:t>
      </w:r>
    </w:p>
    <w:bookmarkEnd w:id="139"/>
    <w:bookmarkStart w:id="141"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0">
        <w:r>
          <w:rPr>
            <w:rStyle w:val="Hyperlink"/>
          </w:rPr>
          <w:t xml:space="preserve">https://ggplot2.tidyverse.org</w:t>
        </w:r>
      </w:hyperlink>
      <w:r>
        <w:t xml:space="preserve">.</w:t>
      </w:r>
    </w:p>
    <w:bookmarkEnd w:id="141"/>
    <w:bookmarkStart w:id="143" w:name="ref-cowplot"/>
    <w:p>
      <w:pPr>
        <w:pStyle w:val="Bibliography"/>
      </w:pPr>
      <w:r>
        <w:t xml:space="preserve">Wilke, Claus O. 2024.</w:t>
      </w:r>
      <w:r>
        <w:t xml:space="preserve"> </w:t>
      </w:r>
      <w:r>
        <w:t xml:space="preserve">“Cowplot: Streamlined Plot Theme and Plot Annotations for ’Ggplot2’.”</w:t>
      </w:r>
      <w:r>
        <w:t xml:space="preserve"> </w:t>
      </w:r>
      <w:hyperlink r:id="rId142">
        <w:r>
          <w:rPr>
            <w:rStyle w:val="Hyperlink"/>
          </w:rPr>
          <w:t xml:space="preserve">https://wilkelab.org/cowplot/</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18"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28"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0" Target="https://doi.org/10.1175/JAS-D-20-0118.1" TargetMode="External" /><Relationship Type="http://schemas.openxmlformats.org/officeDocument/2006/relationships/hyperlink" Id="rId126" Target="https://doi.org/10.1175/JCLI-D-11-00100.1" TargetMode="External" /><Relationship Type="http://schemas.openxmlformats.org/officeDocument/2006/relationships/hyperlink" Id="rId122" Target="https://doi.org/10.1175/JCLI-D-14-00632.1" TargetMode="External" /><Relationship Type="http://schemas.openxmlformats.org/officeDocument/2006/relationships/hyperlink" Id="rId130" Target="https://doi.org/10.1175/MWR-D-18-0289.1" TargetMode="External" /><Relationship Type="http://schemas.openxmlformats.org/officeDocument/2006/relationships/hyperlink" Id="rId132"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38"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4"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6" Target="https://doi.org/10.26050/WDCC/AR6.C6SPINIC0" TargetMode="External" /><Relationship Type="http://schemas.openxmlformats.org/officeDocument/2006/relationships/hyperlink" Id="rId134"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0019441"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0"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2" Target="https://wilkelab.org/cowplot/" TargetMode="External" /><Relationship Type="http://schemas.openxmlformats.org/officeDocument/2006/relationships/hyperlink" Id="rId11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18"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28"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0" Target="https://doi.org/10.1175/JAS-D-20-0118.1" TargetMode="External" /><Relationship Type="http://schemas.openxmlformats.org/officeDocument/2006/relationships/hyperlink" Id="rId126" Target="https://doi.org/10.1175/JCLI-D-11-00100.1" TargetMode="External" /><Relationship Type="http://schemas.openxmlformats.org/officeDocument/2006/relationships/hyperlink" Id="rId122" Target="https://doi.org/10.1175/JCLI-D-14-00632.1" TargetMode="External" /><Relationship Type="http://schemas.openxmlformats.org/officeDocument/2006/relationships/hyperlink" Id="rId130" Target="https://doi.org/10.1175/MWR-D-18-0289.1" TargetMode="External" /><Relationship Type="http://schemas.openxmlformats.org/officeDocument/2006/relationships/hyperlink" Id="rId132"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38"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4"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6" Target="https://doi.org/10.26050/WDCC/AR6.C6SPINIC0" TargetMode="External" /><Relationship Type="http://schemas.openxmlformats.org/officeDocument/2006/relationships/hyperlink" Id="rId134"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0019441"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0"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2" Target="https://wilkelab.org/cowplot/" TargetMode="External" /><Relationship Type="http://schemas.openxmlformats.org/officeDocument/2006/relationships/hyperlink" Id="rId11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2026-05-04T06:13:59Z</dcterms:created>
  <dcterms:modified xsi:type="dcterms:W3CDTF">2026-05-04T06:13:59Z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2026-05-04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cold fronts in climate simulations. In the future climate projections from ten global models, cold fronts are less frequent in much of the Northern Hemisphere, especially over the oceans. In the Southern Hemisphere, however,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