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Unificado de Indicadores: Análisis de Violencia Digital e Interseccionalidad</w:t>
      </w:r>
    </w:p>
    <w:p>
      <w:r>
        <w:rPr>
          <w:b/>
        </w:rPr>
        <w:t>Proyecto: Análisis de Violencia Digital (Estudiantes, Docentes y Padres)</w:t>
      </w:r>
    </w:p>
    <w:p>
      <w:r>
        <w:rPr>
          <w:b/>
        </w:rPr>
        <w:t>Fecha: 29 de abril de 2026</w:t>
      </w:r>
    </w:p>
    <w:p>
      <w:r>
        <w:rPr>
          <w:b/>
        </w:rPr>
        <w:t>Documentación: Consolidado de Notebooks 04, 05 y Resultados Power BI</w:t>
      </w:r>
    </w:p>
    <w:p>
      <w:r>
        <w:t>---</w:t>
      </w:r>
    </w:p>
    <w:p>
      <w:pPr>
        <w:pStyle w:val="Heading2"/>
      </w:pPr>
      <w:r>
        <w:t>1. Introducción</w:t>
      </w:r>
    </w:p>
    <w:p>
      <w:r>
        <w:t>Este reporte unifica los hallazgos obtenidos tras el procesamiento avanzado de datos (Python) y la visualización estratégica (Power BI). Se analizan las dimensiones de género, zona geográfica e interculturalidad para identificar vulnerabilidades específicas en el entorno digital de las unidades educativas intervenidas.</w:t>
      </w:r>
    </w:p>
    <w:p>
      <w:pPr>
        <w:pStyle w:val="Heading2"/>
      </w:pPr>
      <w:r>
        <w:t>2. Metodología de Procesamiento (Estructura Técnica)</w:t>
      </w:r>
    </w:p>
    <w:p>
      <w:r>
        <w:t>El trabajo se centró en la limpieza y normalización de variables complejas mediante los notebooks **04** y **05**:</w:t>
      </w:r>
    </w:p>
    <w:p>
      <w:pPr>
        <w:pStyle w:val="ListBullet"/>
      </w:pPr>
      <w:r>
        <w:rPr>
          <w:b/>
        </w:rPr>
        <w:t>Notebook 04 (Preparación de Indicadores):</w:t>
      </w:r>
      <w:r/>
    </w:p>
    <w:p>
      <w:pPr>
        <w:pStyle w:val="ListBullet"/>
      </w:pPr>
      <w:r>
        <w:t xml:space="preserve">  Transformación de respuestas cualitativas (ej. "Sí, una o dos veces") en indicadores binarios numéricos (`ind_victimizacion_digital`).</w:t>
      </w:r>
    </w:p>
    <w:p>
      <w:pPr>
        <w:pStyle w:val="ListBullet"/>
      </w:pPr>
      <w:r>
        <w:t xml:space="preserve">  Homologación de la **Frecuencia de Uso** en 4 categorías estándar (&lt; 1h, 1-3h, 3-6h, &gt; 6h).</w:t>
      </w:r>
    </w:p>
    <w:p>
      <w:pPr>
        <w:pStyle w:val="ListBullet"/>
      </w:pPr>
      <w:r>
        <w:t xml:space="preserve">  Limpieza de la variable **Género** para asegurar comparabilidad.</w:t>
      </w:r>
    </w:p>
    <w:p>
      <w:pPr>
        <w:pStyle w:val="ListBullet"/>
      </w:pPr>
      <w:r>
        <w:rPr>
          <w:b/>
        </w:rPr>
        <w:t>Notebook 05 (Relación Interculturalidad):</w:t>
      </w:r>
      <w:r/>
    </w:p>
    <w:p>
      <w:pPr>
        <w:pStyle w:val="ListBullet"/>
      </w:pPr>
      <w:r>
        <w:t xml:space="preserve">  Procesamiento del indicador: **% de participantes que se autoidentifican con una nación o pueblo indígena originario**.</w:t>
      </w:r>
    </w:p>
    <w:p>
      <w:pPr>
        <w:pStyle w:val="ListBullet"/>
      </w:pPr>
      <w:r>
        <w:t xml:space="preserve">  Consolidación de una tabla unificada con los tres estamentos de la comunidad educativa (**Padres, Estudiantes y Docentes**).</w:t>
      </w:r>
    </w:p>
    <w:p>
      <w:pPr>
        <w:pStyle w:val="ListBullet"/>
      </w:pPr>
      <w:r>
        <w:t xml:space="preserve">  Georreferenciación de datos mediante el mapeo de municipios (La Paz, El Alto, Palca, Villa Montes, Santa Cruz) con coordenadas geográficas para análisis espacial.</w:t>
      </w:r>
    </w:p>
    <w:p>
      <w:r>
        <w:t>---</w:t>
      </w:r>
    </w:p>
    <w:p>
      <w:pPr>
        <w:pStyle w:val="Heading2"/>
      </w:pPr>
      <w:r>
        <w:t>3. Resultados y Hallazgos Principales (Dashboard Power BI)</w:t>
      </w:r>
    </w:p>
    <w:p>
      <w:r>
        <w:t>A continuación se detallan los indicadores clave visualizados en el reporte unificado:</w:t>
      </w:r>
    </w:p>
    <w:p>
      <w:pPr>
        <w:pStyle w:val="Heading3"/>
      </w:pPr>
      <w:r>
        <w:t>I. Victimización y Brecha de Género</w:t>
      </w:r>
    </w:p>
    <w:p>
      <w:pPr>
        <w:pStyle w:val="ListBullet"/>
      </w:pPr>
      <w:r>
        <w:rPr>
          <w:b/>
        </w:rPr>
        <w:t>Tasa Global de Victimización:</w:t>
      </w:r>
      <w:r>
        <w:t xml:space="preserve"> 19.52% de los estudiantes reportan haber recibido comentarios sexualizados o burlas.</w:t>
      </w:r>
    </w:p>
    <w:p>
      <w:pPr>
        <w:pStyle w:val="ListBullet"/>
      </w:pPr>
      <w:r>
        <w:rPr>
          <w:b/>
        </w:rPr>
        <w:t>Brecha de Género:</w:t>
      </w:r>
      <w:r>
        <w:t xml:space="preserve"> Las estudiantes mujeres presentan una tasa de victimización significativamente superior a los varones.</w:t>
      </w:r>
    </w:p>
    <w:p>
      <w:pPr>
        <w:pStyle w:val="ListBullet"/>
      </w:pPr>
      <w:r>
        <w:rPr>
          <w:b/>
        </w:rPr>
        <w:t>Factor de Riesgo:</w:t>
      </w:r>
      <w:r>
        <w:t xml:space="preserve"> Existe una correlación directa entre el tiempo de conexión y la victimización, siendo los usuarios de más de 6 horas los más vulnerables.</w:t>
      </w:r>
    </w:p>
    <w:p>
      <w:pPr>
        <w:pStyle w:val="Heading3"/>
      </w:pPr>
      <w:r>
        <w:t>II. Presión por Envío de Contenido Íntimo (CSEA)</w:t>
      </w:r>
    </w:p>
    <w:p>
      <w:pPr>
        <w:pStyle w:val="ListBullet"/>
      </w:pPr>
      <w:r>
        <w:rPr>
          <w:b/>
        </w:rPr>
        <w:t>Prevalencia:</w:t>
      </w:r>
      <w:r>
        <w:t xml:space="preserve"> 12.79% de los encuestados sintieron presión para enviar fotos personales o íntimas.</w:t>
      </w:r>
    </w:p>
    <w:p>
      <w:pPr>
        <w:pStyle w:val="ListBullet"/>
      </w:pPr>
      <w:r>
        <w:rPr>
          <w:b/>
        </w:rPr>
        <w:t>Foco Territorial:</w:t>
      </w:r>
      <w:r>
        <w:t xml:space="preserve"> El municipio de Palca destaca como la zona con mayor incidencia reportada en este indicador.</w:t>
      </w:r>
    </w:p>
    <w:p>
      <w:pPr>
        <w:pStyle w:val="ListBullet"/>
      </w:pPr>
      <w:r>
        <w:rPr>
          <w:b/>
        </w:rPr>
        <w:t>Interseccionalidad:</w:t>
      </w:r>
      <w:r>
        <w:t xml:space="preserve"> Se observa una mayor vulnerabilidad en mujeres de zonas rurales/periurbanas.</w:t>
      </w:r>
    </w:p>
    <w:p>
      <w:pPr>
        <w:pStyle w:val="Heading3"/>
      </w:pPr>
      <w:r>
        <w:t>III. Brecha de Autonomía y Permisos</w:t>
      </w:r>
    </w:p>
    <w:p>
      <w:pPr>
        <w:pStyle w:val="ListBullet"/>
      </w:pPr>
      <w:r>
        <w:rPr>
          <w:b/>
        </w:rPr>
        <w:t>Igualdad de Permisos:</w:t>
      </w:r>
      <w:r>
        <w:t xml:space="preserve"> Aunque el 75.4% percibe igualdad, persiste un 24.6% de brecha.</w:t>
      </w:r>
    </w:p>
    <w:p>
      <w:pPr>
        <w:pStyle w:val="ListBullet"/>
      </w:pPr>
      <w:r>
        <w:rPr>
          <w:b/>
        </w:rPr>
        <w:t>Desigualdad Geográfica:</w:t>
      </w:r>
      <w:r>
        <w:t xml:space="preserve"> Las zonas rurales muestran una brecha de permisos más acentuada en comparación con las urbanas.</w:t>
      </w:r>
    </w:p>
    <w:p>
      <w:pPr>
        <w:pStyle w:val="ListBullet"/>
      </w:pPr>
      <w:r>
        <w:rPr>
          <w:b/>
        </w:rPr>
        <w:t>Género:</w:t>
      </w:r>
      <w:r>
        <w:t xml:space="preserve"> Los varones reportan percibir mayores libertades o menores controles parentales en comparación con las mujeres.</w:t>
      </w:r>
    </w:p>
    <w:p>
      <w:pPr>
        <w:pStyle w:val="Heading3"/>
      </w:pPr>
      <w:r>
        <w:t>IV. Conocimiento de Riesgos (Grooming, Sextorsión, Deepfakes)</w:t>
      </w:r>
    </w:p>
    <w:p>
      <w:pPr>
        <w:pStyle w:val="ListBullet"/>
      </w:pPr>
      <w:r>
        <w:rPr>
          <w:b/>
        </w:rPr>
        <w:t>Nivel de Alfabetización:</w:t>
      </w:r>
      <w:r>
        <w:t xml:space="preserve"> El conocimiento sobre *Ciberacoso* es alto, pero existe una brecha crítica en el término *Deepfake*, especialmente en zonas rurales.</w:t>
      </w:r>
    </w:p>
    <w:p>
      <w:pPr>
        <w:pStyle w:val="ListBullet"/>
      </w:pPr>
      <w:r>
        <w:rPr>
          <w:b/>
        </w:rPr>
        <w:t>Incidencia por Zona:</w:t>
      </w:r>
      <w:r>
        <w:t xml:space="preserve"> Las zonas periurbanas y urbanas reportan mayor conocimiento técnico, pero también mayor exposición a estos riesgos.</w:t>
      </w:r>
    </w:p>
    <w:p>
      <w:pPr>
        <w:pStyle w:val="Heading3"/>
      </w:pPr>
      <w:r>
        <w:t>V. Acceso a la Justicia y Denuncia</w:t>
      </w:r>
    </w:p>
    <w:p>
      <w:pPr>
        <w:pStyle w:val="ListBullet"/>
      </w:pPr>
      <w:r>
        <w:rPr>
          <w:b/>
        </w:rPr>
        <w:t>Desconocimiento Crítico:</w:t>
      </w:r>
      <w:r>
        <w:t xml:space="preserve"> El 37.22% de los estudiantes NO SABE a dónde acudir para denunciar un caso de violencia digital.</w:t>
      </w:r>
    </w:p>
    <w:p>
      <w:pPr>
        <w:pStyle w:val="ListBullet"/>
      </w:pPr>
      <w:r>
        <w:rPr>
          <w:b/>
        </w:rPr>
        <w:t>Disparidad Municipal:</w:t>
      </w:r>
      <w:r/>
    </w:p>
    <w:p>
      <w:pPr>
        <w:pStyle w:val="ListBullet"/>
      </w:pPr>
      <w:r>
        <w:rPr>
          <w:b/>
        </w:rPr>
        <w:t>Villa Montes</w:t>
      </w:r>
      <w:r>
        <w:t xml:space="preserve"> presenta el mayor nivel de conocimiento sobre mecanismos de denuncia.</w:t>
      </w:r>
    </w:p>
    <w:p>
      <w:pPr>
        <w:pStyle w:val="ListBullet"/>
      </w:pPr>
      <w:r>
        <w:rPr>
          <w:b/>
        </w:rPr>
        <w:t>Palca</w:t>
      </w:r>
      <w:r>
        <w:t xml:space="preserve"> muestra el nivel más bajo de información, señalando una necesidad urgente de campañas institucionales en esta zona.</w:t>
      </w:r>
    </w:p>
    <w:p>
      <w:r>
        <w:t>---</w:t>
      </w:r>
    </w:p>
    <w:p>
      <w:pPr>
        <w:pStyle w:val="Heading2"/>
      </w:pPr>
      <w:r>
        <w:t>4. Conclusiones Estratégicas</w:t>
      </w:r>
    </w:p>
    <w:p>
      <w:r>
        <w:t>1.  **Vulnerabilidad Geográfica:** Palca y las zonas rurales requieren intervención prioritaria en prevención de CSEA y alfabetización sobre rutas de denuncia.</w:t>
      </w:r>
    </w:p>
    <w:p>
      <w:r>
        <w:t>2.  **Riesgo por Exposición:** Las campañas de prevención deben enfocarse en la gestión del tiempo y herramientas de privacidad para usuarios intensivos (&gt;6 horas).</w:t>
      </w:r>
    </w:p>
    <w:p>
      <w:r>
        <w:t>3.  **Barreras Culturales:** La autoidentificación cultural influye en la percepción de seguridad y conocimiento de derechos; el 37% de ignorancia sobre rutas de denuncia es una barrera sistémica para el acceso a la justicia.</w:t>
      </w:r>
    </w:p>
    <w:p>
      <w:r>
        <w:t>---</w:t>
      </w:r>
    </w:p>
    <w:p>
      <w:r>
        <w:t>*Reporte generado automáticamente - Consolidación de Análisis de Datos e Insights de Visualización.*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