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Mia primissima mail revisionata</w:t>
      </w:r>
    </w:p>
    <w:p>
      <w:pPr>
        <w:pStyle w:val="Subtitle"/>
      </w:pPr>
      <w:r>
        <w:t>Pharmaguida  |  xG  |  aggiornamento 21 ottobre 2026</w:t>
      </w:r>
    </w:p>
    <w:p>
      <w:r>
        <w:t>Revisione aggiornata il 21 ottobre 2026 e integrata con le call, le schede prodotto, i reel, i video di prodotto e kit e il foglio bundle v2 2. Il documento contiene una proposta di mail e i testi di lavoro aggiornati. Non è stato inviato.</w:t>
      </w:r>
    </w:p>
    <w:p>
      <w:pPr>
        <w:pStyle w:val="Heading1"/>
      </w:pPr>
      <w:r>
        <w:t>Proposta di mail</w:t>
      </w:r>
    </w:p>
    <w:p>
      <w:r>
        <w:rPr>
          <w:b/>
        </w:rPr>
        <w:t>Oggetto: Pharmaguida, nuova pagina aziendale e campagna bundle autunno</w:t>
      </w:r>
    </w:p>
    <w:p>
      <w:r>
        <w:rPr>
          <w:b w:val="0"/>
        </w:rPr>
        <w:t>Ciao, ti propongo di dare a Pharmaguida una presenza più energica, riconoscibile e contemporanea. La direzione unisce persone vere da riconoscere, immagini cinematografiche e informazioni concrete sulle formule. Il lettore riceve sempre il tu; quando parla Pharmaguida usiamo il noi.</w:t>
      </w:r>
    </w:p>
    <w:p>
      <w:r>
        <w:rPr>
          <w:b w:val="0"/>
        </w:rPr>
        <w:t>La frase di marca che consiglio è “Pharmaguida. La scienza ci guida.” È coerente con il nome e apre un racconto preciso: ingredienti, formulazioni, confronto con i professionisti e fonti. Per l’apertura della pagina: “La scienza ci guida. La tua vita ci ispira.”</w:t>
      </w:r>
    </w:p>
    <w:p>
      <w:r>
        <w:rPr>
          <w:b w:val="0"/>
        </w:rPr>
        <w:t>Eviterei di adottare adesso “Dai laboratori Pharmaguida” o “Formula testata Pharmaguida”: richiedono riscontri specifici sui laboratori e sui test. Possiamo invece parlare di composizioni e prodotti verificabili. I concept di laboratorio comunicano una visione e devono essere riconoscibili come tali.</w:t>
      </w:r>
    </w:p>
    <w:p>
      <w:r>
        <w:rPr>
          <w:b w:val="0"/>
        </w:rPr>
        <w:t>Per l’autunno abbiamo dieci bundle. I prezzi esposti seguono la colonna consigliata dell’Excel; il prezzo barrato è la somma dei singoli prezzi online, con lo stesso confronto usato per percentuale e risparmio in euro. In questo modo l’occasione è chiara e controllabile. I kit con Xnari vanno attivati quando il prodotto torna disponibile.</w:t>
      </w:r>
    </w:p>
    <w:p>
      <w:r>
        <w:rPr>
          <w:b w:val="0"/>
        </w:rPr>
        <w:t>Ti propongo una famiglia nuova, vestita in modo contemporaneo, ripresa in movimento e avvolta dalla luce del tramonto. Teal e orange costruiscono lo stile comune; i fondi dei bundle riprendono i colori dei pack. Gli scudi luminosi traducono il tema della protezione in una metafora grafica, senza promettere immunità o prevenzione delle infezioni.</w:t>
      </w:r>
    </w:p>
    <w:p>
      <w:r>
        <w:rPr>
          <w:b w:val="0"/>
        </w:rPr>
        <w:t>Per Sanabex e BimboTUSS terrei due messaggi distinti. Sanabex contiene NAC; BimboTUSS contiene miele di acacia e non contiene NAC. “Non spegnere solo la tosse. Aiuta a lenire dove nasce” suggerisce un’azione causale e terapeutica che qui non è documentata: la sostituirei con le formulazioni riportate sotto.</w:t>
      </w:r>
    </w:p>
    <w:p>
      <w:r>
        <w:br w:type="page"/>
      </w:r>
    </w:p>
    <w:p>
      <w:pPr>
        <w:pStyle w:val="Heading1"/>
      </w:pPr>
      <w:r>
        <w:t>Quattro ganci aggiornati per il video</w:t>
      </w:r>
    </w:p>
    <w:p>
      <w:r>
        <w:rPr>
          <w:b w:val="0"/>
        </w:rPr>
        <w:t>1 · Cambia la luce. Cambiano le tue giornate. È il momento di guardare da vicino la tua routine autunnale.</w:t>
      </w:r>
    </w:p>
    <w:p>
      <w:r>
        <w:rPr>
          <w:b w:val="0"/>
        </w:rPr>
        <w:t>2 · Scuola, lavoro, primi freddi. Tu riparti. Noi ti aiutiamo a conoscere le formule Pharmaguida.</w:t>
      </w:r>
    </w:p>
    <w:p>
      <w:r>
        <w:rPr>
          <w:b w:val="0"/>
        </w:rPr>
        <w:t>3 · Il tuo kit per l’autunno? Parti dagli ingredienti, scegli il formato e scopri il risparmio.</w:t>
      </w:r>
    </w:p>
    <w:p>
      <w:r>
        <w:rPr>
          <w:b w:val="0"/>
        </w:rPr>
        <w:t>4 · La tua famiglia ha esigenze diverse. Scopri una selezione autunnale da valutare insieme al professionista sanitario.</w:t>
      </w:r>
    </w:p>
    <w:p>
      <w:pPr>
        <w:pStyle w:val="Heading1"/>
      </w:pPr>
      <w:r>
        <w:t>Corpo del video di marca</w:t>
      </w:r>
    </w:p>
    <w:p>
      <w:r>
        <w:rPr>
          <w:b w:val="0"/>
        </w:rPr>
        <w:t>In autunno cambiano le tue abitudini: giornate più corte, scuola, lavoro e primi freddi. Noi di Pharmaguida abbiamo preparato alcune selezioni per aiutarti a conoscere i nostri prodotti e confrontare i formati.</w:t>
      </w:r>
    </w:p>
    <w:p>
      <w:r>
        <w:rPr>
          <w:b w:val="0"/>
        </w:rPr>
        <w:t>Con Mosiac scopri la linea a base di lattoferrina, in capsule e in gocce. Mosiac Plus contiene Valpalf®, una miscela di lattoferrina, citrato di sodio e bicarbonato di sodio.</w:t>
      </w:r>
    </w:p>
    <w:p>
      <w:r>
        <w:rPr>
          <w:b w:val="0"/>
        </w:rPr>
        <w:t>XD3 Plus unisce vitamina D3 e vitamina K2. La vitamina D contribuisce alla normale funzione del sistema immunitario. Le vitamine D e K contribuiscono al mantenimento di ossa normali.</w:t>
      </w:r>
    </w:p>
    <w:p>
      <w:r>
        <w:rPr>
          <w:b w:val="0"/>
        </w:rPr>
        <w:t>XFLOR offre composizioni diverse: capsule con quattro ceppi probiotici e lattoferrina; gocce con fermenti lattici e zinco; bustine con probiotici, lattoferrina e inulina. Puoi scegliere il formato con il professionista sanitario.</w:t>
      </w:r>
    </w:p>
    <w:p>
      <w:r>
        <w:rPr>
          <w:b w:val="0"/>
        </w:rPr>
        <w:t>Per conoscere le formule dedicate a naso e gola, scopri Xnari, Sanabex e BimboTUSS. Leggi le indicazioni dei singoli prodotti e, per il tuo bambino, confrontati con il pediatra.</w:t>
      </w:r>
    </w:p>
    <w:p>
      <w:r>
        <w:rPr>
          <w:b w:val="0"/>
        </w:rPr>
        <w:t>Scopri il tuo kit e il risparmio sulla somma dei singoli prodotti online. Pharmaguida. La scienza ci guida.</w:t>
      </w:r>
    </w:p>
    <w:p>
      <w:r>
        <w:rPr>
          <w:b w:val="0"/>
        </w:rPr>
        <w:t>Nota di produzione · Script modulare da cui ricavare video distinti. Non recitare tutto in un reel breve: dedica 20–30 secondi a un kit, con un beneficio correttamente attribuito e un’unica CTA. Evitare una raccomandazione pubblicitaria del prodotto pronunciata da un professionista sanitario senza verifica delle regole applicabili.</w:t>
      </w:r>
    </w:p>
    <w:p>
      <w:r>
        <w:br w:type="page"/>
      </w:r>
    </w:p>
    <w:p>
      <w:pPr>
        <w:pStyle w:val="Heading1"/>
      </w:pPr>
      <w:r>
        <w:t>Promesse integrate per prodotto</w:t>
      </w:r>
    </w:p>
    <w:p>
      <w:pPr>
        <w:pStyle w:val="Heading2"/>
      </w:pPr>
      <w:r>
        <w:t>Mosiac capsule e gocce</w:t>
      </w:r>
    </w:p>
    <w:p>
      <w:r>
        <w:rPr>
          <w:b/>
        </w:rPr>
        <w:t>La lattoferrina Pharmaguida, nel formato adatto alla tua routine.</w:t>
      </w:r>
    </w:p>
    <w:p>
      <w:r>
        <w:rPr>
          <w:b w:val="0"/>
        </w:rPr>
        <w:t>Capsule: 200 mg di lattoferrina per capsula. Gocce: 100 mg per 1 ml. Entrambe le formule sono senza zinco.</w:t>
      </w:r>
    </w:p>
    <w:p>
      <w:r>
        <w:rPr>
          <w:b w:val="0"/>
        </w:rPr>
        <w:t>Il dato “saturata di ferro al massimo al 20%” entra nel copy pubblico solo dopo acquisizione della scheda tecnica. Nessuna promessa antivirale, antibatterica o di prevenzione.</w:t>
      </w:r>
    </w:p>
    <w:p>
      <w:pPr>
        <w:pStyle w:val="Heading2"/>
      </w:pPr>
      <w:r>
        <w:t>Mosiac Plus</w:t>
      </w:r>
    </w:p>
    <w:p>
      <w:r>
        <w:rPr>
          <w:b/>
        </w:rPr>
        <w:t>200 mg di lattoferrina nel complesso Valpalf®.</w:t>
      </w:r>
    </w:p>
    <w:p>
      <w:r>
        <w:rPr>
          <w:b w:val="0"/>
        </w:rPr>
        <w:t>Valpalf® associa lattoferrina, citrato di sodio e bicarbonato di sodio; una capsula al giorno lontano dai pasti.</w:t>
      </w:r>
    </w:p>
    <w:p>
      <w:r>
        <w:rPr>
          <w:b w:val="0"/>
        </w:rPr>
        <w:t>Definire “brevettata” solo con numero e titolare del brevetto. Omettere 95% contro 85%, azione più rapida, cistite e riduzione dell’infiammazione.</w:t>
      </w:r>
    </w:p>
    <w:p>
      <w:pPr>
        <w:pStyle w:val="Heading2"/>
      </w:pPr>
      <w:r>
        <w:t>XFLOR capsule</w:t>
      </w:r>
    </w:p>
    <w:p>
      <w:r>
        <w:rPr>
          <w:b/>
        </w:rPr>
        <w:t>Quattro ceppi probiotici e 100 mg di lattoferrina.</w:t>
      </w:r>
    </w:p>
    <w:p>
      <w:r>
        <w:rPr>
          <w:b w:val="0"/>
        </w:rPr>
        <w:t>7 miliardi di UFC per dose. I probiotici favoriscono l’equilibrio della flora intestinale. La capsula può essere aperta.</w:t>
      </w:r>
    </w:p>
    <w:p>
      <w:r>
        <w:rPr>
          <w:b w:val="0"/>
        </w:rPr>
        <w:t>Non promettere effetto in un’ora, potenziamento degli antibiotici o superiorità. Età e modalità pediatriche devono coincidere con l’etichetta.</w:t>
      </w:r>
    </w:p>
    <w:p>
      <w:pPr>
        <w:pStyle w:val="Heading2"/>
      </w:pPr>
      <w:r>
        <w:t>XFLOR gocce</w:t>
      </w:r>
    </w:p>
    <w:p>
      <w:r>
        <w:rPr>
          <w:b/>
        </w:rPr>
        <w:t>Due ceppi probiotici e zinco, in gocce.</w:t>
      </w:r>
    </w:p>
    <w:p>
      <w:r>
        <w:rPr>
          <w:b w:val="0"/>
        </w:rPr>
        <w:t>L. rhamnosus GG e B. breve BR03. I probiotici favoriscono l’equilibrio della flora intestinale; lo zinco contribuisce alla normale funzione del sistema immunitario.</w:t>
      </w:r>
    </w:p>
    <w:p>
      <w:r>
        <w:rPr>
          <w:b w:val="0"/>
        </w:rPr>
        <w:t>È una formula distinta dalle capsule e non contiene lattoferrina. Verificare dose ed età d’uso sull’etichetta.</w:t>
      </w:r>
    </w:p>
    <w:p>
      <w:r>
        <w:br w:type="page"/>
      </w:r>
    </w:p>
    <w:p>
      <w:pPr>
        <w:pStyle w:val="Heading1"/>
      </w:pPr>
      <w:r>
        <w:t>Promesse integrate continua</w:t>
      </w:r>
    </w:p>
    <w:p>
      <w:pPr>
        <w:pStyle w:val="Heading2"/>
      </w:pPr>
      <w:r>
        <w:t>XFLOR bustine</w:t>
      </w:r>
    </w:p>
    <w:p>
      <w:r>
        <w:rPr>
          <w:b/>
        </w:rPr>
        <w:t>Probiotici, inulina e 100 mg di lattoferrina.</w:t>
      </w:r>
    </w:p>
    <w:p>
      <w:r>
        <w:rPr>
          <w:b w:val="0"/>
        </w:rPr>
        <w:t>Quattro ceppi probiotici, 13 miliardi di UFC e 2 g di inulina per dose. I probiotici favoriscono l’equilibrio della flora intestinale.</w:t>
      </w:r>
    </w:p>
    <w:p>
      <w:r>
        <w:rPr>
          <w:b w:val="0"/>
        </w:rPr>
        <w:t>Omettere riduzione del biofilm, potenziamento degli antibiotici e “non fa gonfiare”. Documentare l’inulina a catene lunghe e corte prima di comunicarla.</w:t>
      </w:r>
    </w:p>
    <w:p>
      <w:pPr>
        <w:pStyle w:val="Heading2"/>
      </w:pPr>
      <w:r>
        <w:t>XD3 Plus</w:t>
      </w:r>
    </w:p>
    <w:p>
      <w:r>
        <w:rPr>
          <w:b/>
        </w:rPr>
        <w:t>Vitamina D3 2.000 UI e vitamina K2 200 mcg.</w:t>
      </w:r>
    </w:p>
    <w:p>
      <w:r>
        <w:rPr>
          <w:b w:val="0"/>
        </w:rPr>
        <w:t>La vitamina D contribuisce alla normale funzione del sistema immunitario e al normale assorbimento del calcio; la vitamina K contribuisce al mantenimento di ossa normali.</w:t>
      </w:r>
    </w:p>
    <w:p>
      <w:r>
        <w:rPr>
          <w:b w:val="0"/>
        </w:rPr>
        <w:t>Chi assume anticoagulanti consulti il medico. Non dire che la K2 ripulisce i vasi o che la D3 da sola non funziona.</w:t>
      </w:r>
    </w:p>
    <w:p>
      <w:pPr>
        <w:pStyle w:val="Heading2"/>
      </w:pPr>
      <w:r>
        <w:t>Bimbovit D3</w:t>
      </w:r>
    </w:p>
    <w:p>
      <w:r>
        <w:rPr>
          <w:b/>
        </w:rPr>
        <w:t>400 UI in quattro gocce, per la sua routine quotidiana.</w:t>
      </w:r>
    </w:p>
    <w:p>
      <w:r>
        <w:rPr>
          <w:b w:val="0"/>
        </w:rPr>
        <w:t>La vitamina D è necessaria per la normale crescita e lo sviluppo delle ossa nei bambini e contribuisce alla normale funzione del sistema immunitario.</w:t>
      </w:r>
    </w:p>
    <w:p>
      <w:r>
        <w:rPr>
          <w:b w:val="0"/>
        </w:rPr>
        <w:t>Per dose ed età d’uso, segui l’etichetta e il pediatra. Non suggerire di riprendere automaticamente una supplementazione interrotta.</w:t>
      </w:r>
    </w:p>
    <w:p>
      <w:pPr>
        <w:pStyle w:val="Heading2"/>
      </w:pPr>
      <w:r>
        <w:t>Xnari</w:t>
      </w:r>
    </w:p>
    <w:p>
      <w:r>
        <w:rPr>
          <w:b/>
        </w:rPr>
        <w:t>Soluzione ipertonica tamponata per la tua igiene nasale.</w:t>
      </w:r>
    </w:p>
    <w:p>
      <w:r>
        <w:rPr>
          <w:b w:val="0"/>
        </w:rPr>
        <w:t>Dispositivo medico con acqua di mare, sodio ialuronato, D-pantenolo e CM-glucan: decongestiona la mucosa nasale, fluidifica e aiuta a eliminare le secrezioni.</w:t>
      </w:r>
    </w:p>
    <w:p>
      <w:r>
        <w:rPr>
          <w:b w:val="0"/>
        </w:rPr>
        <w:t>“Non brucia” richiede documentazione del fabbricante. La pubblicità al pubblico richiede autorizzazione ministeriale. Non promettere prevenzione di otiti o sinusiti.</w:t>
      </w:r>
    </w:p>
    <w:p>
      <w:r>
        <w:br w:type="page"/>
      </w:r>
    </w:p>
    <w:p>
      <w:pPr>
        <w:pStyle w:val="Heading1"/>
      </w:pPr>
      <w:r>
        <w:t>Promesse integrate continua</w:t>
      </w:r>
    </w:p>
    <w:p>
      <w:pPr>
        <w:pStyle w:val="Heading2"/>
      </w:pPr>
      <w:r>
        <w:t>Sanabex</w:t>
      </w:r>
    </w:p>
    <w:p>
      <w:r>
        <w:rPr>
          <w:b/>
        </w:rPr>
        <w:t>200 mg di NAC con erisimo, edera e malva. Per adulti.</w:t>
      </w:r>
    </w:p>
    <w:p>
      <w:r>
        <w:rPr>
          <w:b w:val="0"/>
        </w:rPr>
        <w:t>Edera e malva favoriscono la fluidità delle secrezioni bronchiali; erisimo e malva un’azione emolliente e lenitiva sulla mucosa oro-faringea e sul tono della voce. Vitamina C e zinco contribuiscono alla normale funzione del sistema immunitario.</w:t>
      </w:r>
    </w:p>
    <w:p>
      <w:r>
        <w:rPr>
          <w:b w:val="0"/>
        </w:rPr>
        <w:t>Non attribuire al NAC effetti epatoprotettivi o antinfiammatori. Verificare i botanicals e le percentuali VNR sulla formula definitiva.</w:t>
      </w:r>
    </w:p>
    <w:p>
      <w:pPr>
        <w:pStyle w:val="Heading2"/>
      </w:pPr>
      <w:r>
        <w:t>BimboTUSS</w:t>
      </w:r>
    </w:p>
    <w:p>
      <w:r>
        <w:rPr>
          <w:b/>
        </w:rPr>
        <w:t>Miele di acacia ed estratti vegetali. Senza mucolitici.</w:t>
      </w:r>
    </w:p>
    <w:p>
      <w:r>
        <w:rPr>
          <w:b w:val="0"/>
        </w:rPr>
        <w:t>Erisimo, edera, malva, propoli, vitamina C e zinco. Vitamina C e zinco contribuiscono alla normale funzione del sistema immunitario.</w:t>
      </w:r>
    </w:p>
    <w:p>
      <w:r>
        <w:rPr>
          <w:b w:val="0"/>
        </w:rPr>
        <w:t>Contiene miele: non somministrare sotto i 12 mesi. L’età minima va riportata in etichetta; non presentarlo come antinfiammatorio, antibiotico naturale o farmaco antitosse.</w:t>
      </w:r>
    </w:p>
    <w:p>
      <w:r>
        <w:br w:type="page"/>
      </w:r>
    </w:p>
    <w:p>
      <w:pPr>
        <w:pStyle w:val="Heading1"/>
      </w:pPr>
      <w:r>
        <w:t>Come riutilizzare i concetti dei reel</w:t>
      </w:r>
    </w:p>
    <w:p>
      <w:r>
        <w:rPr>
          <w:b w:val="0"/>
        </w:rPr>
        <w:t>Dai reel conserviamo i territori narrativi “difese invisibili”, “prima linea” e “sistemi che collaborano” per guidare art direction e contenuti educativi. Nel materiale commerciale i claim sul sistema immunitario sono riferiti alle vitamine e ai minerali pertinenti, alle condizioni d’uso applicabili.</w:t>
      </w:r>
    </w:p>
    <w:p>
      <w:r>
        <w:rPr>
          <w:b w:val="0"/>
        </w:rPr>
        <w:t>Non trasferiamo nei banner il blocco dei virus, l’attività antibatterica, il sequestro del ferro o il ponte con le IgA come risultati garantiti degli integratori. Un approfondimento scientifico può trattare meccanismi e limiti, con fonti primarie e revisione competente; un contesto promozionale richiede la verifica delle indicazioni consentite.</w:t>
      </w:r>
    </w:p>
    <w:p>
      <w:pPr>
        <w:pStyle w:val="Heading2"/>
      </w:pPr>
      <w:r>
        <w:t>Decisioni per il lancio</w:t>
      </w:r>
    </w:p>
    <w:p>
      <w:r>
        <w:rPr>
          <w:b w:val="0"/>
        </w:rPr>
        <w:t>Confermare i prezzi consigliati e i margini; le tre correzioni più urgenti sono B08 a 18,90 €, B09 a 23,90 € e B10 a 17,90 €. B01 e B02 seguono il prezzo consigliato di 44,90 €.</w:t>
      </w:r>
    </w:p>
    <w:p>
      <w:r>
        <w:rPr>
          <w:b w:val="0"/>
        </w:rPr>
        <w:t>Riassortire Xnari prima di attivare i bundle B01, B02, B05, B08 e B10.</w:t>
      </w:r>
    </w:p>
    <w:p>
      <w:r>
        <w:rPr>
          <w:b w:val="0"/>
        </w:rPr>
        <w:t>Confermare formule, età d’uso e testi finali sulle etichette aggiornate.</w:t>
      </w:r>
    </w:p>
    <w:p>
      <w:r>
        <w:rPr>
          <w:b w:val="0"/>
        </w:rPr>
        <w:t>Confermare i ruoli del team e valutare l’inserimento di Anna Guida con fotografia e ruolo corretti.</w:t>
      </w:r>
    </w:p>
    <w:p>
      <w:r>
        <w:rPr>
          <w:b w:val="0"/>
        </w:rPr>
        <w:t>Caricare la pagina e i materiali sul CMS, conservando URL e dati strutturati coerenti. L’anteprima locale resta esclusa dai motori di ricerca.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</w:rPr>
      <w:t>Pharmaguida · Proposta editoriale e creativa · Ottobre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