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9C3" w14:textId="3B60FD1D" w:rsidR="0009546A" w:rsidRPr="0009546A" w:rsidRDefault="0009546A" w:rsidP="00390F7F">
      <w:pPr>
        <w:jc w:val="center"/>
        <w:rPr>
          <w:rFonts w:ascii="Times New Roman" w:hAnsi="Times New Roman" w:cs="Times New Roman"/>
          <w:b/>
          <w:bCs/>
        </w:rPr>
      </w:pPr>
      <w:r w:rsidRPr="0009546A">
        <w:rPr>
          <w:rFonts w:ascii="Times New Roman" w:hAnsi="Times New Roman" w:cs="Times New Roman"/>
          <w:b/>
          <w:bCs/>
        </w:rPr>
        <w:t xml:space="preserve">Análisis </w:t>
      </w:r>
      <w:r w:rsidR="00390F7F">
        <w:rPr>
          <w:rFonts w:ascii="Times New Roman" w:hAnsi="Times New Roman" w:cs="Times New Roman"/>
          <w:b/>
          <w:bCs/>
        </w:rPr>
        <w:t>sobre h</w:t>
      </w:r>
      <w:r w:rsidRPr="0009546A">
        <w:rPr>
          <w:rFonts w:ascii="Times New Roman" w:hAnsi="Times New Roman" w:cs="Times New Roman"/>
          <w:b/>
          <w:bCs/>
        </w:rPr>
        <w:t>omicidios en México 2024</w:t>
      </w:r>
    </w:p>
    <w:p w14:paraId="4C53F0E6" w14:textId="7B655BA8" w:rsidR="0009546A" w:rsidRPr="0009546A" w:rsidRDefault="00390F7F" w:rsidP="00390F7F">
      <w:pPr>
        <w:jc w:val="center"/>
        <w:rPr>
          <w:rFonts w:ascii="Times New Roman" w:hAnsi="Times New Roman" w:cs="Times New Roman"/>
          <w:b/>
          <w:bCs/>
        </w:rPr>
      </w:pPr>
      <w:r>
        <w:rPr>
          <w:rFonts w:ascii="Times New Roman" w:hAnsi="Times New Roman" w:cs="Times New Roman"/>
          <w:b/>
          <w:bCs/>
        </w:rPr>
        <w:t>H</w:t>
      </w:r>
      <w:r w:rsidR="0009546A" w:rsidRPr="0009546A">
        <w:rPr>
          <w:rFonts w:ascii="Times New Roman" w:hAnsi="Times New Roman" w:cs="Times New Roman"/>
          <w:b/>
          <w:bCs/>
        </w:rPr>
        <w:t>allazgos clave</w:t>
      </w:r>
    </w:p>
    <w:p w14:paraId="01185A19" w14:textId="5A38C730" w:rsidR="0009546A" w:rsidRPr="007102B3" w:rsidRDefault="0009546A" w:rsidP="0009546A">
      <w:pPr>
        <w:jc w:val="both"/>
        <w:rPr>
          <w:rFonts w:ascii="Times New Roman" w:hAnsi="Times New Roman" w:cs="Times New Roman"/>
          <w:b/>
          <w:bCs/>
        </w:rPr>
      </w:pPr>
      <w:r w:rsidRPr="007102B3">
        <w:rPr>
          <w:rFonts w:ascii="Times New Roman" w:hAnsi="Times New Roman" w:cs="Times New Roman"/>
          <w:b/>
          <w:bCs/>
        </w:rPr>
        <w:t>Introducción</w:t>
      </w:r>
    </w:p>
    <w:p w14:paraId="1E453485" w14:textId="300F7880" w:rsidR="0009546A" w:rsidRPr="0009546A" w:rsidRDefault="0009546A" w:rsidP="0009546A">
      <w:pPr>
        <w:jc w:val="both"/>
        <w:rPr>
          <w:rFonts w:ascii="Times New Roman" w:hAnsi="Times New Roman" w:cs="Times New Roman"/>
        </w:rPr>
      </w:pPr>
      <w:r w:rsidRPr="0009546A">
        <w:rPr>
          <w:rFonts w:ascii="Times New Roman" w:hAnsi="Times New Roman" w:cs="Times New Roman"/>
        </w:rPr>
        <w:t>Este documento presenta tres hallazgos clave del análisis de homicidios en México durante 2024. E</w:t>
      </w:r>
      <w:r w:rsidR="00C7292F">
        <w:rPr>
          <w:rFonts w:ascii="Times New Roman" w:hAnsi="Times New Roman" w:cs="Times New Roman"/>
        </w:rPr>
        <w:t>ste</w:t>
      </w:r>
      <w:r w:rsidRPr="0009546A">
        <w:rPr>
          <w:rFonts w:ascii="Times New Roman" w:hAnsi="Times New Roman" w:cs="Times New Roman"/>
        </w:rPr>
        <w:t xml:space="preserve"> análisis se basa en los microdatos de defunciones registradas del INEGI</w:t>
      </w:r>
      <w:r w:rsidRPr="0009546A">
        <w:rPr>
          <w:rStyle w:val="Refdenotaalpie"/>
          <w:rFonts w:ascii="Times New Roman" w:hAnsi="Times New Roman" w:cs="Times New Roman"/>
        </w:rPr>
        <w:footnoteReference w:id="1"/>
      </w:r>
      <w:r w:rsidRPr="0009546A">
        <w:rPr>
          <w:rFonts w:ascii="Times New Roman" w:hAnsi="Times New Roman" w:cs="Times New Roman"/>
        </w:rPr>
        <w:t xml:space="preserve">, los cuales permiten identificar patrones diferenciados de violencia letal según </w:t>
      </w:r>
      <w:r w:rsidR="00C7292F">
        <w:rPr>
          <w:rFonts w:ascii="Times New Roman" w:hAnsi="Times New Roman" w:cs="Times New Roman"/>
        </w:rPr>
        <w:t xml:space="preserve">distintas características de las personas. A continuación se presentan tres hallazgos sobre las diferencias encontradas entre </w:t>
      </w:r>
      <w:r w:rsidRPr="0009546A">
        <w:rPr>
          <w:rFonts w:ascii="Times New Roman" w:hAnsi="Times New Roman" w:cs="Times New Roman"/>
        </w:rPr>
        <w:t>sexo</w:t>
      </w:r>
      <w:r w:rsidR="00C7292F">
        <w:rPr>
          <w:rFonts w:ascii="Times New Roman" w:hAnsi="Times New Roman" w:cs="Times New Roman"/>
        </w:rPr>
        <w:t>s</w:t>
      </w:r>
      <w:r w:rsidRPr="0009546A">
        <w:rPr>
          <w:rFonts w:ascii="Times New Roman" w:hAnsi="Times New Roman" w:cs="Times New Roman"/>
        </w:rPr>
        <w:t xml:space="preserve">, </w:t>
      </w:r>
      <w:r w:rsidR="00C7292F">
        <w:rPr>
          <w:rFonts w:ascii="Times New Roman" w:hAnsi="Times New Roman" w:cs="Times New Roman"/>
        </w:rPr>
        <w:t xml:space="preserve">grupos de </w:t>
      </w:r>
      <w:r w:rsidRPr="0009546A">
        <w:rPr>
          <w:rFonts w:ascii="Times New Roman" w:hAnsi="Times New Roman" w:cs="Times New Roman"/>
        </w:rPr>
        <w:t>edad y pertenencia a pueblos indígenas</w:t>
      </w:r>
      <w:r w:rsidR="00C7292F">
        <w:rPr>
          <w:rFonts w:ascii="Times New Roman" w:hAnsi="Times New Roman" w:cs="Times New Roman"/>
        </w:rPr>
        <w:t xml:space="preserve"> </w:t>
      </w:r>
    </w:p>
    <w:p w14:paraId="0CE6F053" w14:textId="585BAC62" w:rsidR="0009546A" w:rsidRDefault="0009546A" w:rsidP="0009546A">
      <w:pPr>
        <w:jc w:val="both"/>
        <w:rPr>
          <w:rFonts w:ascii="Times New Roman" w:hAnsi="Times New Roman" w:cs="Times New Roman"/>
          <w:b/>
          <w:bCs/>
        </w:rPr>
      </w:pPr>
      <w:r w:rsidRPr="0009546A">
        <w:rPr>
          <w:rFonts w:ascii="Times New Roman" w:hAnsi="Times New Roman" w:cs="Times New Roman"/>
          <w:b/>
          <w:bCs/>
        </w:rPr>
        <w:t>Hallazgo 1: La violencia homicida afecta más a los hombres</w:t>
      </w:r>
    </w:p>
    <w:p w14:paraId="174DDB9D" w14:textId="77777777" w:rsidR="000349AA" w:rsidRDefault="000349AA" w:rsidP="000349AA">
      <w:pPr>
        <w:jc w:val="both"/>
        <w:rPr>
          <w:rFonts w:ascii="Times New Roman" w:hAnsi="Times New Roman" w:cs="Times New Roman"/>
        </w:rPr>
      </w:pPr>
    </w:p>
    <w:p w14:paraId="20EEE1CA" w14:textId="73C5B83B" w:rsidR="000349AA" w:rsidRDefault="000349AA" w:rsidP="000349AA">
      <w:pPr>
        <w:jc w:val="both"/>
        <w:rPr>
          <w:rFonts w:ascii="Times New Roman" w:hAnsi="Times New Roman" w:cs="Times New Roman"/>
        </w:rPr>
      </w:pPr>
      <w:r w:rsidRPr="0009546A">
        <w:rPr>
          <w:rFonts w:ascii="Times New Roman" w:hAnsi="Times New Roman" w:cs="Times New Roman"/>
        </w:rPr>
        <w:t>En 2024 la violencia homicida en México mostró un</w:t>
      </w:r>
      <w:r>
        <w:rPr>
          <w:rFonts w:ascii="Times New Roman" w:hAnsi="Times New Roman" w:cs="Times New Roman"/>
        </w:rPr>
        <w:t>a clara</w:t>
      </w:r>
      <w:r w:rsidRPr="0009546A">
        <w:rPr>
          <w:rFonts w:ascii="Times New Roman" w:hAnsi="Times New Roman" w:cs="Times New Roman"/>
        </w:rPr>
        <w:t xml:space="preserve"> diferencia por sexo pues</w:t>
      </w:r>
      <w:r w:rsidR="001F7EA1">
        <w:rPr>
          <w:rFonts w:ascii="Times New Roman" w:hAnsi="Times New Roman" w:cs="Times New Roman"/>
        </w:rPr>
        <w:t>, como se puede ver en la siguiente visualización,</w:t>
      </w:r>
      <w:r w:rsidRPr="0009546A">
        <w:rPr>
          <w:rFonts w:ascii="Times New Roman" w:hAnsi="Times New Roman" w:cs="Times New Roman"/>
        </w:rPr>
        <w:t xml:space="preserve"> de cada 10 personas asesinadas, 9 </w:t>
      </w:r>
      <w:r>
        <w:rPr>
          <w:rFonts w:ascii="Times New Roman" w:hAnsi="Times New Roman" w:cs="Times New Roman"/>
        </w:rPr>
        <w:t>fueron</w:t>
      </w:r>
      <w:r w:rsidRPr="0009546A">
        <w:rPr>
          <w:rFonts w:ascii="Times New Roman" w:hAnsi="Times New Roman" w:cs="Times New Roman"/>
        </w:rPr>
        <w:t xml:space="preserve"> hombres.</w:t>
      </w:r>
      <w:r w:rsidR="002A6CED">
        <w:rPr>
          <w:rStyle w:val="Refdenotaalpie"/>
          <w:rFonts w:ascii="Times New Roman" w:hAnsi="Times New Roman" w:cs="Times New Roman"/>
        </w:rPr>
        <w:footnoteReference w:id="2"/>
      </w:r>
      <w:r w:rsidRPr="0009546A">
        <w:rPr>
          <w:rFonts w:ascii="Times New Roman" w:hAnsi="Times New Roman" w:cs="Times New Roman"/>
        </w:rPr>
        <w:t xml:space="preserve"> </w:t>
      </w:r>
      <w:r>
        <w:rPr>
          <w:rFonts w:ascii="Times New Roman" w:hAnsi="Times New Roman" w:cs="Times New Roman"/>
        </w:rPr>
        <w:t>Por su parte,</w:t>
      </w:r>
      <w:r w:rsidRPr="0009546A">
        <w:rPr>
          <w:rFonts w:ascii="Times New Roman" w:hAnsi="Times New Roman" w:cs="Times New Roman"/>
        </w:rPr>
        <w:t xml:space="preserve"> las mujeres representan solo el 11.3% de las víctimas de homicidio. </w:t>
      </w:r>
    </w:p>
    <w:p w14:paraId="6BD2871E" w14:textId="77777777" w:rsidR="000349AA" w:rsidRDefault="000349AA" w:rsidP="0009546A">
      <w:pPr>
        <w:jc w:val="both"/>
        <w:rPr>
          <w:rFonts w:ascii="Times New Roman" w:hAnsi="Times New Roman" w:cs="Times New Roman"/>
          <w:b/>
          <w:bCs/>
        </w:rPr>
      </w:pPr>
    </w:p>
    <w:p w14:paraId="77572E48" w14:textId="74F1804D" w:rsidR="0009546A" w:rsidRDefault="0009546A" w:rsidP="00C7292F">
      <w:pPr>
        <w:jc w:val="center"/>
        <w:rPr>
          <w:rFonts w:ascii="Times New Roman" w:hAnsi="Times New Roman" w:cs="Times New Roman"/>
          <w:b/>
          <w:bCs/>
        </w:rPr>
      </w:pPr>
      <w:r>
        <w:rPr>
          <w:noProof/>
        </w:rPr>
        <w:drawing>
          <wp:inline distT="0" distB="0" distL="0" distR="0" wp14:anchorId="5D3B1A22" wp14:editId="454FE095">
            <wp:extent cx="4632805" cy="3207327"/>
            <wp:effectExtent l="0" t="0" r="0" b="0"/>
            <wp:docPr id="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Escala de tiempo&#10;&#10;El contenido generado por IA puede ser incorrecto."/>
                    <pic:cNvPicPr>
                      <a:picLocks noChangeAspect="1" noChangeArrowheads="1"/>
                    </pic:cNvPicPr>
                  </pic:nvPicPr>
                  <pic:blipFill>
                    <a:blip r:embed="rId7"/>
                    <a:stretch>
                      <a:fillRect/>
                    </a:stretch>
                  </pic:blipFill>
                  <pic:spPr bwMode="auto">
                    <a:xfrm>
                      <a:off x="0" y="0"/>
                      <a:ext cx="4638202" cy="3211064"/>
                    </a:xfrm>
                    <a:prstGeom prst="rect">
                      <a:avLst/>
                    </a:prstGeom>
                    <a:noFill/>
                  </pic:spPr>
                </pic:pic>
              </a:graphicData>
            </a:graphic>
          </wp:inline>
        </w:drawing>
      </w:r>
    </w:p>
    <w:p w14:paraId="586F4FFF" w14:textId="79BF59B3" w:rsidR="001F7EA1" w:rsidRDefault="001F7EA1" w:rsidP="001F7EA1">
      <w:pPr>
        <w:jc w:val="both"/>
        <w:rPr>
          <w:rFonts w:ascii="Times New Roman" w:hAnsi="Times New Roman" w:cs="Times New Roman"/>
        </w:rPr>
      </w:pPr>
      <w:r>
        <w:rPr>
          <w:rFonts w:ascii="Times New Roman" w:hAnsi="Times New Roman" w:cs="Times New Roman"/>
        </w:rPr>
        <w:t xml:space="preserve">Es claro que la prevalencia de homicidios es mayor en hombres que en mujeres. </w:t>
      </w:r>
      <w:r w:rsidRPr="0009546A">
        <w:rPr>
          <w:rFonts w:ascii="Times New Roman" w:hAnsi="Times New Roman" w:cs="Times New Roman"/>
        </w:rPr>
        <w:t>Sin embargo, es importante entender las diferencias</w:t>
      </w:r>
      <w:r>
        <w:rPr>
          <w:rFonts w:ascii="Times New Roman" w:hAnsi="Times New Roman" w:cs="Times New Roman"/>
        </w:rPr>
        <w:t xml:space="preserve"> </w:t>
      </w:r>
      <w:r w:rsidRPr="0009546A">
        <w:rPr>
          <w:rFonts w:ascii="Times New Roman" w:hAnsi="Times New Roman" w:cs="Times New Roman"/>
        </w:rPr>
        <w:t>en l</w:t>
      </w:r>
      <w:r>
        <w:rPr>
          <w:rFonts w:ascii="Times New Roman" w:hAnsi="Times New Roman" w:cs="Times New Roman"/>
        </w:rPr>
        <w:t xml:space="preserve">as causas y </w:t>
      </w:r>
      <w:r w:rsidRPr="00F91B34">
        <w:rPr>
          <w:rFonts w:ascii="Times New Roman" w:hAnsi="Times New Roman" w:cs="Times New Roman"/>
        </w:rPr>
        <w:t xml:space="preserve">condiciones que originan los </w:t>
      </w:r>
      <w:r w:rsidRPr="00F91B34">
        <w:rPr>
          <w:rFonts w:ascii="Times New Roman" w:hAnsi="Times New Roman" w:cs="Times New Roman"/>
        </w:rPr>
        <w:t>homicidios</w:t>
      </w:r>
      <w:r w:rsidRPr="00F91B34">
        <w:rPr>
          <w:rFonts w:ascii="Times New Roman" w:hAnsi="Times New Roman" w:cs="Times New Roman"/>
        </w:rPr>
        <w:t xml:space="preserve"> de ambos sexos</w:t>
      </w:r>
      <w:r w:rsidRPr="00F91B34">
        <w:rPr>
          <w:rFonts w:ascii="Times New Roman" w:hAnsi="Times New Roman" w:cs="Times New Roman"/>
        </w:rPr>
        <w:t xml:space="preserve">. Por ejemplo, está ampliamente documentado </w:t>
      </w:r>
      <w:r w:rsidRPr="00F91B34">
        <w:rPr>
          <w:rFonts w:ascii="Times New Roman" w:hAnsi="Times New Roman" w:cs="Times New Roman"/>
        </w:rPr>
        <w:t>que</w:t>
      </w:r>
      <w:r w:rsidRPr="00F91B34">
        <w:rPr>
          <w:rFonts w:ascii="Times New Roman" w:hAnsi="Times New Roman" w:cs="Times New Roman"/>
        </w:rPr>
        <w:t xml:space="preserve"> las mujeres en la mayorías de los casos </w:t>
      </w:r>
      <w:r w:rsidRPr="00F91B34">
        <w:rPr>
          <w:rFonts w:ascii="Times New Roman" w:hAnsi="Times New Roman" w:cs="Times New Roman"/>
        </w:rPr>
        <w:t>son</w:t>
      </w:r>
      <w:r w:rsidRPr="00F91B34">
        <w:rPr>
          <w:rFonts w:ascii="Times New Roman" w:hAnsi="Times New Roman" w:cs="Times New Roman"/>
        </w:rPr>
        <w:t xml:space="preserve"> asesina</w:t>
      </w:r>
      <w:r w:rsidRPr="00F91B34">
        <w:rPr>
          <w:rFonts w:ascii="Times New Roman" w:hAnsi="Times New Roman" w:cs="Times New Roman"/>
        </w:rPr>
        <w:t>das por</w:t>
      </w:r>
      <w:r w:rsidRPr="00F91B34">
        <w:rPr>
          <w:rFonts w:ascii="Times New Roman" w:hAnsi="Times New Roman" w:cs="Times New Roman"/>
        </w:rPr>
        <w:t xml:space="preserve"> hombres que eran cercanos, lo cual se califica como feminicidio.</w:t>
      </w:r>
      <w:r>
        <w:rPr>
          <w:rFonts w:ascii="Times New Roman" w:hAnsi="Times New Roman" w:cs="Times New Roman"/>
        </w:rPr>
        <w:t xml:space="preserve"> Esta distinción no es </w:t>
      </w:r>
      <w:r>
        <w:rPr>
          <w:rFonts w:ascii="Times New Roman" w:hAnsi="Times New Roman" w:cs="Times New Roman"/>
        </w:rPr>
        <w:lastRenderedPageBreak/>
        <w:t xml:space="preserve">posible </w:t>
      </w:r>
      <w:r w:rsidR="002A6CED">
        <w:rPr>
          <w:rFonts w:ascii="Times New Roman" w:hAnsi="Times New Roman" w:cs="Times New Roman"/>
        </w:rPr>
        <w:t>de apreciar</w:t>
      </w:r>
      <w:r>
        <w:rPr>
          <w:rFonts w:ascii="Times New Roman" w:hAnsi="Times New Roman" w:cs="Times New Roman"/>
        </w:rPr>
        <w:t xml:space="preserve"> con este conjuntos de datos porque las Estadísticas de Defunciones Registradas de INEGI no cuenta con la posibilidad de identificar cuantos de estos homicidios de mujeres cumplen la definición de feminicidios. Lo que </w:t>
      </w:r>
      <w:r w:rsidR="002A6CED">
        <w:rPr>
          <w:rFonts w:ascii="Times New Roman" w:hAnsi="Times New Roman" w:cs="Times New Roman"/>
        </w:rPr>
        <w:t>sí</w:t>
      </w:r>
      <w:r>
        <w:rPr>
          <w:rFonts w:ascii="Times New Roman" w:hAnsi="Times New Roman" w:cs="Times New Roman"/>
        </w:rPr>
        <w:t xml:space="preserve"> es posible </w:t>
      </w:r>
      <w:r w:rsidR="002A6CED">
        <w:rPr>
          <w:rFonts w:ascii="Times New Roman" w:hAnsi="Times New Roman" w:cs="Times New Roman"/>
        </w:rPr>
        <w:t xml:space="preserve">identificar es la variación geográfica por sexo de los homicidios registrados. </w:t>
      </w:r>
    </w:p>
    <w:p w14:paraId="6F1B64A7" w14:textId="3E81E65D" w:rsidR="000349AA" w:rsidRPr="0009546A" w:rsidRDefault="002A6CED" w:rsidP="000349AA">
      <w:pPr>
        <w:jc w:val="both"/>
        <w:rPr>
          <w:rFonts w:ascii="Times New Roman" w:hAnsi="Times New Roman" w:cs="Times New Roman"/>
        </w:rPr>
      </w:pPr>
      <w:r>
        <w:rPr>
          <w:rFonts w:ascii="Times New Roman" w:hAnsi="Times New Roman" w:cs="Times New Roman"/>
        </w:rPr>
        <w:t>A</w:t>
      </w:r>
      <w:r w:rsidR="000349AA">
        <w:rPr>
          <w:rFonts w:ascii="Times New Roman" w:hAnsi="Times New Roman" w:cs="Times New Roman"/>
        </w:rPr>
        <w:t>l analizar la tasa de homicidios por cada cien mil habitantes</w:t>
      </w:r>
      <w:r>
        <w:rPr>
          <w:rFonts w:ascii="Times New Roman" w:hAnsi="Times New Roman" w:cs="Times New Roman"/>
        </w:rPr>
        <w:t xml:space="preserve"> para poder comparar de manera más adecuada lo que ocurre en las entidades federativas, podemos</w:t>
      </w:r>
      <w:r w:rsidR="000349AA">
        <w:rPr>
          <w:rFonts w:ascii="Times New Roman" w:hAnsi="Times New Roman" w:cs="Times New Roman"/>
        </w:rPr>
        <w:t xml:space="preserve"> observan diferencias </w:t>
      </w:r>
      <w:r>
        <w:rPr>
          <w:rFonts w:ascii="Times New Roman" w:hAnsi="Times New Roman" w:cs="Times New Roman"/>
        </w:rPr>
        <w:t>muy marcadas.</w:t>
      </w:r>
      <w:r>
        <w:rPr>
          <w:rStyle w:val="Refdenotaalpie"/>
          <w:rFonts w:ascii="Times New Roman" w:hAnsi="Times New Roman" w:cs="Times New Roman"/>
        </w:rPr>
        <w:footnoteReference w:id="3"/>
      </w:r>
      <w:r>
        <w:rPr>
          <w:rFonts w:ascii="Times New Roman" w:hAnsi="Times New Roman" w:cs="Times New Roman"/>
        </w:rPr>
        <w:t xml:space="preserve"> Co</w:t>
      </w:r>
      <w:r w:rsidR="000349AA">
        <w:rPr>
          <w:rFonts w:ascii="Times New Roman" w:hAnsi="Times New Roman" w:cs="Times New Roman"/>
        </w:rPr>
        <w:t>mo se puede apreciar en la siguiente visualización, m</w:t>
      </w:r>
      <w:r w:rsidR="000349AA">
        <w:rPr>
          <w:rFonts w:ascii="Times New Roman" w:hAnsi="Times New Roman" w:cs="Times New Roman"/>
        </w:rPr>
        <w:t xml:space="preserve">ientras en Colima la tasa de homicidios de hombres es 196.8, casi 6 veces que la de mujeres (34.2), entidades como Yucatán la diferencia es del doble, 11.2 para hombres frente 1.7 para mujeres. </w:t>
      </w:r>
    </w:p>
    <w:p w14:paraId="1E7AFBD2" w14:textId="77777777" w:rsidR="000349AA" w:rsidRPr="0009546A" w:rsidRDefault="000349AA" w:rsidP="00C7292F">
      <w:pPr>
        <w:jc w:val="center"/>
        <w:rPr>
          <w:rFonts w:ascii="Times New Roman" w:hAnsi="Times New Roman" w:cs="Times New Roman"/>
          <w:b/>
          <w:bCs/>
        </w:rPr>
      </w:pPr>
    </w:p>
    <w:p w14:paraId="3B26E0FF" w14:textId="527C71D3" w:rsidR="00390F7F" w:rsidRDefault="00390F7F" w:rsidP="0009546A">
      <w:pPr>
        <w:jc w:val="both"/>
        <w:rPr>
          <w:rFonts w:ascii="Times New Roman" w:hAnsi="Times New Roman" w:cs="Times New Roman"/>
        </w:rPr>
      </w:pPr>
      <w:r>
        <w:rPr>
          <w:rFonts w:ascii="Times New Roman" w:hAnsi="Times New Roman" w:cs="Times New Roman"/>
          <w:noProof/>
        </w:rPr>
        <w:drawing>
          <wp:inline distT="0" distB="0" distL="0" distR="0" wp14:anchorId="0B278858" wp14:editId="367633DD">
            <wp:extent cx="4127344" cy="4953000"/>
            <wp:effectExtent l="0" t="0" r="6985" b="0"/>
            <wp:docPr id="210850245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2456" name="Imagen 1" descr="Diagrama, Esquemátic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5255" cy="4962493"/>
                    </a:xfrm>
                    <a:prstGeom prst="rect">
                      <a:avLst/>
                    </a:prstGeom>
                  </pic:spPr>
                </pic:pic>
              </a:graphicData>
            </a:graphic>
          </wp:inline>
        </w:drawing>
      </w:r>
    </w:p>
    <w:p w14:paraId="1DCD3B80" w14:textId="1AA7F85A" w:rsidR="000349AA" w:rsidRPr="0009546A" w:rsidRDefault="000349AA" w:rsidP="000349AA">
      <w:pPr>
        <w:jc w:val="both"/>
        <w:rPr>
          <w:rFonts w:ascii="Times New Roman" w:hAnsi="Times New Roman" w:cs="Times New Roman"/>
        </w:rPr>
      </w:pPr>
      <w:r>
        <w:rPr>
          <w:rFonts w:ascii="Times New Roman" w:hAnsi="Times New Roman" w:cs="Times New Roman"/>
        </w:rPr>
        <w:t xml:space="preserve">Esto demuestra que si bien los homicidios son un problema en todo el país, su intensidad es diferenciada entre entidades y regiones. </w:t>
      </w:r>
      <w:r w:rsidR="002A6CED">
        <w:rPr>
          <w:rFonts w:ascii="Times New Roman" w:hAnsi="Times New Roman" w:cs="Times New Roman"/>
        </w:rPr>
        <w:t>Tener en mente e</w:t>
      </w:r>
      <w:r w:rsidRPr="0009546A">
        <w:rPr>
          <w:rFonts w:ascii="Times New Roman" w:hAnsi="Times New Roman" w:cs="Times New Roman"/>
        </w:rPr>
        <w:t>ste hallazgo es fundamental para diseñar políticas públicas de seguridad que reconozcan que hombres y mujeres enfrentan</w:t>
      </w:r>
      <w:r w:rsidR="002A6CED">
        <w:rPr>
          <w:rFonts w:ascii="Times New Roman" w:hAnsi="Times New Roman" w:cs="Times New Roman"/>
        </w:rPr>
        <w:t xml:space="preserve"> procesos distintos de violencia homicida. A partir del reconocimiento de esta diferencia, distintas autoras y </w:t>
      </w:r>
      <w:r w:rsidR="002A6CED">
        <w:rPr>
          <w:rFonts w:ascii="Times New Roman" w:hAnsi="Times New Roman" w:cs="Times New Roman"/>
        </w:rPr>
        <w:lastRenderedPageBreak/>
        <w:t xml:space="preserve">organizaciones han encontrado que los hombres y mujeres están expuestos a distintos </w:t>
      </w:r>
      <w:r w:rsidRPr="0009546A">
        <w:rPr>
          <w:rFonts w:ascii="Times New Roman" w:hAnsi="Times New Roman" w:cs="Times New Roman"/>
        </w:rPr>
        <w:t>tipos distintos de violencia: los hombres están más expuestos a la violencia en espacios públicos, mientras que las mujeres enfrentan violencia en espacios privados por razones de género. Ambas formas de violencia requieren estrategias específicas de prevención y atención.</w:t>
      </w:r>
    </w:p>
    <w:p w14:paraId="1C344F27" w14:textId="77777777" w:rsidR="000349AA" w:rsidRDefault="000349AA" w:rsidP="0009546A">
      <w:pPr>
        <w:jc w:val="both"/>
        <w:rPr>
          <w:rFonts w:ascii="Times New Roman" w:hAnsi="Times New Roman" w:cs="Times New Roman"/>
          <w:b/>
          <w:bCs/>
        </w:rPr>
      </w:pPr>
    </w:p>
    <w:p w14:paraId="32380762" w14:textId="179A344F" w:rsidR="0009546A" w:rsidRDefault="0009546A" w:rsidP="0009546A">
      <w:pPr>
        <w:jc w:val="both"/>
        <w:rPr>
          <w:rFonts w:ascii="Times New Roman" w:hAnsi="Times New Roman" w:cs="Times New Roman"/>
          <w:b/>
          <w:bCs/>
        </w:rPr>
      </w:pPr>
      <w:r w:rsidRPr="0009546A">
        <w:rPr>
          <w:rFonts w:ascii="Times New Roman" w:hAnsi="Times New Roman" w:cs="Times New Roman"/>
          <w:b/>
          <w:bCs/>
        </w:rPr>
        <w:t>Hallazgo 2: Diferencias en la edad de las personas que fueron víctima de homicidio</w:t>
      </w:r>
    </w:p>
    <w:p w14:paraId="46BF25B0" w14:textId="465C041A" w:rsidR="000349AA" w:rsidRDefault="000349AA" w:rsidP="0009546A">
      <w:pPr>
        <w:jc w:val="both"/>
        <w:rPr>
          <w:rFonts w:ascii="Times New Roman" w:hAnsi="Times New Roman" w:cs="Times New Roman"/>
          <w:b/>
          <w:bCs/>
        </w:rPr>
      </w:pPr>
      <w:r>
        <w:rPr>
          <w:rFonts w:ascii="Times New Roman" w:hAnsi="Times New Roman" w:cs="Times New Roman"/>
        </w:rPr>
        <w:t>Si bien 9 de</w:t>
      </w:r>
      <w:r w:rsidRPr="0009546A">
        <w:rPr>
          <w:rFonts w:ascii="Times New Roman" w:hAnsi="Times New Roman" w:cs="Times New Roman"/>
        </w:rPr>
        <w:t xml:space="preserve"> cada 10 personas asesinadas</w:t>
      </w:r>
      <w:r>
        <w:rPr>
          <w:rFonts w:ascii="Times New Roman" w:hAnsi="Times New Roman" w:cs="Times New Roman"/>
        </w:rPr>
        <w:t xml:space="preserve"> </w:t>
      </w:r>
      <w:r>
        <w:rPr>
          <w:rFonts w:ascii="Times New Roman" w:hAnsi="Times New Roman" w:cs="Times New Roman"/>
        </w:rPr>
        <w:t>fueron</w:t>
      </w:r>
      <w:r w:rsidRPr="0009546A">
        <w:rPr>
          <w:rFonts w:ascii="Times New Roman" w:hAnsi="Times New Roman" w:cs="Times New Roman"/>
        </w:rPr>
        <w:t xml:space="preserve"> hombres</w:t>
      </w:r>
      <w:r>
        <w:rPr>
          <w:rFonts w:ascii="Times New Roman" w:hAnsi="Times New Roman" w:cs="Times New Roman"/>
        </w:rPr>
        <w:t xml:space="preserve">, la </w:t>
      </w:r>
      <w:r w:rsidR="00866DD0">
        <w:rPr>
          <w:rFonts w:ascii="Times New Roman" w:hAnsi="Times New Roman" w:cs="Times New Roman"/>
        </w:rPr>
        <w:t>prevalencia</w:t>
      </w:r>
      <w:r>
        <w:rPr>
          <w:rFonts w:ascii="Times New Roman" w:hAnsi="Times New Roman" w:cs="Times New Roman"/>
        </w:rPr>
        <w:t xml:space="preserve"> de los homicidios </w:t>
      </w:r>
      <w:r w:rsidR="00866DD0">
        <w:rPr>
          <w:rFonts w:ascii="Times New Roman" w:hAnsi="Times New Roman" w:cs="Times New Roman"/>
        </w:rPr>
        <w:t xml:space="preserve">varia con cada </w:t>
      </w:r>
      <w:r>
        <w:rPr>
          <w:rFonts w:ascii="Times New Roman" w:hAnsi="Times New Roman" w:cs="Times New Roman"/>
        </w:rPr>
        <w:t>grupo de edad</w:t>
      </w:r>
      <w:r w:rsidR="00866DD0">
        <w:rPr>
          <w:rFonts w:ascii="Times New Roman" w:hAnsi="Times New Roman" w:cs="Times New Roman"/>
        </w:rPr>
        <w:t>. Como se puede apreciar en la siguientes visualización,</w:t>
      </w:r>
      <w:r w:rsidRPr="0009546A">
        <w:rPr>
          <w:rFonts w:ascii="Times New Roman" w:hAnsi="Times New Roman" w:cs="Times New Roman"/>
        </w:rPr>
        <w:t xml:space="preserve"> la mayoría de las personas asesinadas son hombres jóvenes y adultos.</w:t>
      </w:r>
    </w:p>
    <w:p w14:paraId="107EB409" w14:textId="67CD6A13" w:rsidR="0009546A" w:rsidRPr="0009546A" w:rsidRDefault="0009546A" w:rsidP="0009546A">
      <w:pPr>
        <w:jc w:val="both"/>
        <w:rPr>
          <w:rFonts w:ascii="Times New Roman" w:hAnsi="Times New Roman" w:cs="Times New Roman"/>
          <w:b/>
          <w:bCs/>
        </w:rPr>
      </w:pPr>
      <w:r>
        <w:rPr>
          <w:noProof/>
        </w:rPr>
        <w:drawing>
          <wp:inline distT="0" distB="0" distL="0" distR="0" wp14:anchorId="4E6B4C91" wp14:editId="1E44D6B9">
            <wp:extent cx="5612130" cy="3885321"/>
            <wp:effectExtent l="0" t="0" r="0" b="0"/>
            <wp:docPr id="3" name="Imagen 3"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rectángulos&#10;&#10;El contenido generado por IA puede ser incorrecto."/>
                    <pic:cNvPicPr>
                      <a:picLocks noChangeAspect="1" noChangeArrowheads="1"/>
                    </pic:cNvPicPr>
                  </pic:nvPicPr>
                  <pic:blipFill>
                    <a:blip r:embed="rId9"/>
                    <a:stretch>
                      <a:fillRect/>
                    </a:stretch>
                  </pic:blipFill>
                  <pic:spPr bwMode="auto">
                    <a:xfrm>
                      <a:off x="0" y="0"/>
                      <a:ext cx="5612130" cy="3885321"/>
                    </a:xfrm>
                    <a:prstGeom prst="rect">
                      <a:avLst/>
                    </a:prstGeom>
                    <a:noFill/>
                  </pic:spPr>
                </pic:pic>
              </a:graphicData>
            </a:graphic>
          </wp:inline>
        </w:drawing>
      </w:r>
    </w:p>
    <w:p w14:paraId="703C044E" w14:textId="7F04A4E6" w:rsidR="0009546A" w:rsidRPr="0009546A" w:rsidRDefault="0009546A" w:rsidP="0009546A">
      <w:pPr>
        <w:jc w:val="both"/>
        <w:rPr>
          <w:rFonts w:ascii="Times New Roman" w:hAnsi="Times New Roman" w:cs="Times New Roman"/>
        </w:rPr>
      </w:pPr>
      <w:r w:rsidRPr="0009546A">
        <w:rPr>
          <w:rFonts w:ascii="Times New Roman" w:hAnsi="Times New Roman" w:cs="Times New Roman"/>
        </w:rPr>
        <w:t>El análisis de la composición etaria de las víctimas de homicidio</w:t>
      </w:r>
      <w:r w:rsidR="00866DD0">
        <w:rPr>
          <w:rFonts w:ascii="Times New Roman" w:hAnsi="Times New Roman" w:cs="Times New Roman"/>
        </w:rPr>
        <w:t xml:space="preserve"> también</w:t>
      </w:r>
      <w:r w:rsidRPr="0009546A">
        <w:rPr>
          <w:rFonts w:ascii="Times New Roman" w:hAnsi="Times New Roman" w:cs="Times New Roman"/>
        </w:rPr>
        <w:t xml:space="preserve"> revela que las niñas y </w:t>
      </w:r>
      <w:r w:rsidR="00F91B34">
        <w:rPr>
          <w:rFonts w:ascii="Times New Roman" w:hAnsi="Times New Roman" w:cs="Times New Roman"/>
        </w:rPr>
        <w:t xml:space="preserve">mujeres </w:t>
      </w:r>
      <w:r w:rsidRPr="0009546A">
        <w:rPr>
          <w:rFonts w:ascii="Times New Roman" w:hAnsi="Times New Roman" w:cs="Times New Roman"/>
        </w:rPr>
        <w:t xml:space="preserve">menores de 20 años representan el 10.5% de todas las mujeres víctimas de homicidio (2.2% de 0-9 años más 8.3% de 10-19 años), mientras </w:t>
      </w:r>
      <w:r w:rsidR="00866DD0">
        <w:rPr>
          <w:rFonts w:ascii="Times New Roman" w:hAnsi="Times New Roman" w:cs="Times New Roman"/>
        </w:rPr>
        <w:t xml:space="preserve">tanto </w:t>
      </w:r>
      <w:r w:rsidRPr="0009546A">
        <w:rPr>
          <w:rFonts w:ascii="Times New Roman" w:hAnsi="Times New Roman" w:cs="Times New Roman"/>
        </w:rPr>
        <w:t xml:space="preserve">los niños y </w:t>
      </w:r>
      <w:r w:rsidR="00F91B34">
        <w:rPr>
          <w:rFonts w:ascii="Times New Roman" w:hAnsi="Times New Roman" w:cs="Times New Roman"/>
        </w:rPr>
        <w:t xml:space="preserve">hombres </w:t>
      </w:r>
      <w:r w:rsidRPr="0009546A">
        <w:rPr>
          <w:rFonts w:ascii="Times New Roman" w:hAnsi="Times New Roman" w:cs="Times New Roman"/>
        </w:rPr>
        <w:t xml:space="preserve">menores de 20 años constituyen el 7.4% del total de hombres asesinados (0.3% de 0-9 años + 7.1% de 10-19 años). Esto </w:t>
      </w:r>
      <w:r w:rsidR="00866DD0">
        <w:rPr>
          <w:rFonts w:ascii="Times New Roman" w:hAnsi="Times New Roman" w:cs="Times New Roman"/>
        </w:rPr>
        <w:t>nos permite concluir</w:t>
      </w:r>
      <w:r w:rsidRPr="0009546A">
        <w:rPr>
          <w:rFonts w:ascii="Times New Roman" w:hAnsi="Times New Roman" w:cs="Times New Roman"/>
        </w:rPr>
        <w:t xml:space="preserve"> que</w:t>
      </w:r>
      <w:r w:rsidR="00866DD0">
        <w:rPr>
          <w:rFonts w:ascii="Times New Roman" w:hAnsi="Times New Roman" w:cs="Times New Roman"/>
        </w:rPr>
        <w:t xml:space="preserve">, si bien en número absolutos hay más niños y </w:t>
      </w:r>
      <w:r w:rsidR="00F91B34">
        <w:rPr>
          <w:rFonts w:ascii="Times New Roman" w:hAnsi="Times New Roman" w:cs="Times New Roman"/>
        </w:rPr>
        <w:t xml:space="preserve">hombres </w:t>
      </w:r>
      <w:r w:rsidR="00866DD0">
        <w:rPr>
          <w:rFonts w:ascii="Times New Roman" w:hAnsi="Times New Roman" w:cs="Times New Roman"/>
        </w:rPr>
        <w:t>adolescentes asesinados</w:t>
      </w:r>
      <w:r w:rsidRPr="0009546A">
        <w:rPr>
          <w:rFonts w:ascii="Times New Roman" w:hAnsi="Times New Roman" w:cs="Times New Roman"/>
        </w:rPr>
        <w:t xml:space="preserve"> </w:t>
      </w:r>
      <w:r w:rsidR="00866DD0">
        <w:rPr>
          <w:rFonts w:ascii="Times New Roman" w:hAnsi="Times New Roman" w:cs="Times New Roman"/>
        </w:rPr>
        <w:t xml:space="preserve">que </w:t>
      </w:r>
      <w:r w:rsidRPr="0009546A">
        <w:rPr>
          <w:rFonts w:ascii="Times New Roman" w:hAnsi="Times New Roman" w:cs="Times New Roman"/>
        </w:rPr>
        <w:t xml:space="preserve">niñas y </w:t>
      </w:r>
      <w:r w:rsidR="00F91B34">
        <w:rPr>
          <w:rFonts w:ascii="Times New Roman" w:hAnsi="Times New Roman" w:cs="Times New Roman"/>
        </w:rPr>
        <w:t xml:space="preserve">mujeres </w:t>
      </w:r>
      <w:r w:rsidRPr="0009546A">
        <w:rPr>
          <w:rFonts w:ascii="Times New Roman" w:hAnsi="Times New Roman" w:cs="Times New Roman"/>
        </w:rPr>
        <w:t>adolescente</w:t>
      </w:r>
      <w:r w:rsidR="00F91B34">
        <w:rPr>
          <w:rFonts w:ascii="Times New Roman" w:hAnsi="Times New Roman" w:cs="Times New Roman"/>
        </w:rPr>
        <w:t>s</w:t>
      </w:r>
      <w:r w:rsidR="00866DD0">
        <w:rPr>
          <w:rFonts w:ascii="Times New Roman" w:hAnsi="Times New Roman" w:cs="Times New Roman"/>
        </w:rPr>
        <w:t>, estas últimas</w:t>
      </w:r>
      <w:r w:rsidRPr="0009546A">
        <w:rPr>
          <w:rFonts w:ascii="Times New Roman" w:hAnsi="Times New Roman" w:cs="Times New Roman"/>
        </w:rPr>
        <w:t xml:space="preserve"> son más vulnerables</w:t>
      </w:r>
      <w:r w:rsidR="00866DD0">
        <w:rPr>
          <w:rFonts w:ascii="Times New Roman" w:hAnsi="Times New Roman" w:cs="Times New Roman"/>
        </w:rPr>
        <w:t xml:space="preserve"> </w:t>
      </w:r>
      <w:r w:rsidR="00866DD0">
        <w:rPr>
          <w:rFonts w:ascii="Times New Roman" w:hAnsi="Times New Roman" w:cs="Times New Roman"/>
        </w:rPr>
        <w:t xml:space="preserve">entre las mujeres </w:t>
      </w:r>
      <w:r w:rsidR="00866DD0">
        <w:rPr>
          <w:rFonts w:ascii="Times New Roman" w:hAnsi="Times New Roman" w:cs="Times New Roman"/>
        </w:rPr>
        <w:t>al riesgo de homicidio de lo que lo</w:t>
      </w:r>
      <w:r w:rsidR="001F7EA1">
        <w:rPr>
          <w:rFonts w:ascii="Times New Roman" w:hAnsi="Times New Roman" w:cs="Times New Roman"/>
        </w:rPr>
        <w:t xml:space="preserve"> son</w:t>
      </w:r>
      <w:r w:rsidR="00866DD0">
        <w:rPr>
          <w:rFonts w:ascii="Times New Roman" w:hAnsi="Times New Roman" w:cs="Times New Roman"/>
        </w:rPr>
        <w:t xml:space="preserve"> el mismo grupo de edad de los hombres.</w:t>
      </w:r>
      <w:r w:rsidRPr="0009546A">
        <w:rPr>
          <w:rFonts w:ascii="Times New Roman" w:hAnsi="Times New Roman" w:cs="Times New Roman"/>
        </w:rPr>
        <w:t xml:space="preserve"> Esta situación evidencia que las niñas y </w:t>
      </w:r>
      <w:r w:rsidR="00866DD0">
        <w:rPr>
          <w:rFonts w:ascii="Times New Roman" w:hAnsi="Times New Roman" w:cs="Times New Roman"/>
        </w:rPr>
        <w:t xml:space="preserve">mujeres </w:t>
      </w:r>
      <w:r w:rsidRPr="0009546A">
        <w:rPr>
          <w:rFonts w:ascii="Times New Roman" w:hAnsi="Times New Roman" w:cs="Times New Roman"/>
        </w:rPr>
        <w:t xml:space="preserve">adolescentes enfrentan riesgos específicos de violencia que difieren de los que enfrentan los hombres de las mismas edades. </w:t>
      </w:r>
      <w:r w:rsidR="001F7EA1">
        <w:rPr>
          <w:rFonts w:ascii="Times New Roman" w:hAnsi="Times New Roman" w:cs="Times New Roman"/>
        </w:rPr>
        <w:t>Es probable que e</w:t>
      </w:r>
      <w:r w:rsidRPr="0009546A">
        <w:rPr>
          <w:rFonts w:ascii="Times New Roman" w:hAnsi="Times New Roman" w:cs="Times New Roman"/>
        </w:rPr>
        <w:t xml:space="preserve">sta vulnerabilidad </w:t>
      </w:r>
      <w:r w:rsidR="001F7EA1" w:rsidRPr="0009546A">
        <w:rPr>
          <w:rFonts w:ascii="Times New Roman" w:hAnsi="Times New Roman" w:cs="Times New Roman"/>
        </w:rPr>
        <w:t>est</w:t>
      </w:r>
      <w:r w:rsidR="001F7EA1">
        <w:rPr>
          <w:rFonts w:ascii="Times New Roman" w:hAnsi="Times New Roman" w:cs="Times New Roman"/>
        </w:rPr>
        <w:t xml:space="preserve">é </w:t>
      </w:r>
      <w:r w:rsidRPr="0009546A">
        <w:rPr>
          <w:rFonts w:ascii="Times New Roman" w:hAnsi="Times New Roman" w:cs="Times New Roman"/>
        </w:rPr>
        <w:t>relacionada con múltiples formas de violencia de género como violencia intrafamiliar, violencia sexual y otras formas de violencia que afectan en mayor medida a las niñas y mujeres jóvenes</w:t>
      </w:r>
      <w:r w:rsidR="001F7EA1">
        <w:rPr>
          <w:rFonts w:ascii="Times New Roman" w:hAnsi="Times New Roman" w:cs="Times New Roman"/>
        </w:rPr>
        <w:t xml:space="preserve"> que a las mujeres adultas y de mayor edad.</w:t>
      </w:r>
    </w:p>
    <w:p w14:paraId="07F62C54" w14:textId="35DF427D" w:rsidR="0009546A" w:rsidRDefault="0009546A" w:rsidP="0009546A">
      <w:pPr>
        <w:jc w:val="both"/>
        <w:rPr>
          <w:rFonts w:ascii="Times New Roman" w:hAnsi="Times New Roman" w:cs="Times New Roman"/>
          <w:b/>
          <w:bCs/>
        </w:rPr>
      </w:pPr>
      <w:r w:rsidRPr="0009546A">
        <w:rPr>
          <w:rFonts w:ascii="Times New Roman" w:hAnsi="Times New Roman" w:cs="Times New Roman"/>
          <w:b/>
          <w:bCs/>
        </w:rPr>
        <w:lastRenderedPageBreak/>
        <w:t>Hallazgo 3: La población indígena enfrenta violencia letal con marcada diferencia por sexo</w:t>
      </w:r>
      <w:r w:rsidR="00CD32F0">
        <w:rPr>
          <w:rStyle w:val="Refdenotaalpie"/>
          <w:rFonts w:ascii="Times New Roman" w:hAnsi="Times New Roman" w:cs="Times New Roman"/>
        </w:rPr>
        <w:footnoteReference w:id="4"/>
      </w:r>
    </w:p>
    <w:p w14:paraId="5683CB24" w14:textId="191504D0" w:rsidR="0009546A" w:rsidRPr="0009546A" w:rsidRDefault="0009546A" w:rsidP="0009546A">
      <w:pPr>
        <w:jc w:val="both"/>
        <w:rPr>
          <w:rFonts w:ascii="Times New Roman" w:hAnsi="Times New Roman" w:cs="Times New Roman"/>
          <w:b/>
          <w:bCs/>
        </w:rPr>
      </w:pPr>
      <w:r>
        <w:rPr>
          <w:noProof/>
        </w:rPr>
        <w:drawing>
          <wp:inline distT="0" distB="0" distL="0" distR="0" wp14:anchorId="56666625" wp14:editId="5BC9EA8B">
            <wp:extent cx="5612130" cy="3885321"/>
            <wp:effectExtent l="0" t="0" r="0" b="0"/>
            <wp:docPr id="5"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El contenido generado por IA puede ser incorrecto."/>
                    <pic:cNvPicPr>
                      <a:picLocks noChangeAspect="1" noChangeArrowheads="1"/>
                    </pic:cNvPicPr>
                  </pic:nvPicPr>
                  <pic:blipFill>
                    <a:blip r:embed="rId10"/>
                    <a:stretch>
                      <a:fillRect/>
                    </a:stretch>
                  </pic:blipFill>
                  <pic:spPr bwMode="auto">
                    <a:xfrm>
                      <a:off x="0" y="0"/>
                      <a:ext cx="5612130" cy="3885321"/>
                    </a:xfrm>
                    <a:prstGeom prst="rect">
                      <a:avLst/>
                    </a:prstGeom>
                    <a:noFill/>
                  </pic:spPr>
                </pic:pic>
              </a:graphicData>
            </a:graphic>
          </wp:inline>
        </w:drawing>
      </w:r>
    </w:p>
    <w:p w14:paraId="522BCD23" w14:textId="585E91AD" w:rsidR="00BB2976" w:rsidRPr="0009546A" w:rsidRDefault="0009546A" w:rsidP="0009546A">
      <w:pPr>
        <w:jc w:val="both"/>
        <w:rPr>
          <w:rFonts w:ascii="Times New Roman" w:hAnsi="Times New Roman" w:cs="Times New Roman"/>
        </w:rPr>
      </w:pPr>
      <w:r w:rsidRPr="0009546A">
        <w:rPr>
          <w:rFonts w:ascii="Times New Roman" w:hAnsi="Times New Roman" w:cs="Times New Roman"/>
        </w:rPr>
        <w:t xml:space="preserve">En 2024, 832 personas indígenas fueron víctimas de homicidio en México, de las cuales 722 fueron hombres (86.8%) y 110 fueron mujeres (13.2%). </w:t>
      </w:r>
      <w:r w:rsidR="00CD32F0" w:rsidRPr="00CD32F0">
        <w:rPr>
          <w:rFonts w:ascii="Times New Roman" w:hAnsi="Times New Roman" w:cs="Times New Roman"/>
        </w:rPr>
        <w:t>Aunque existe un contraste entre el dato de que el 6.1% de la población mexicana pertenece a comunidades indígenas y lo observado en la visualización</w:t>
      </w:r>
      <w:r w:rsidR="00CD32F0">
        <w:rPr>
          <w:rFonts w:ascii="Times New Roman" w:hAnsi="Times New Roman" w:cs="Times New Roman"/>
        </w:rPr>
        <w:t xml:space="preserve">, </w:t>
      </w:r>
      <w:r w:rsidR="00CD32F0" w:rsidRPr="00CD32F0">
        <w:rPr>
          <w:rFonts w:ascii="Times New Roman" w:hAnsi="Times New Roman" w:cs="Times New Roman"/>
        </w:rPr>
        <w:t>donde las personas indígenas representan entre el 3.8% y 3.2% de los homicidio</w:t>
      </w:r>
      <w:r w:rsidR="00CD32F0">
        <w:rPr>
          <w:rFonts w:ascii="Times New Roman" w:hAnsi="Times New Roman" w:cs="Times New Roman"/>
        </w:rPr>
        <w:t>s</w:t>
      </w:r>
      <w:r w:rsidR="00CD32F0" w:rsidRPr="00CD32F0">
        <w:rPr>
          <w:rFonts w:ascii="Times New Roman" w:hAnsi="Times New Roman" w:cs="Times New Roman"/>
        </w:rPr>
        <w:t>, es importante no concluir apresuradamente que la población indígena enfrenta una exposición menor a la violencia letal en comparación con el resto de la población.</w:t>
      </w:r>
      <w:r w:rsidR="00CD32F0">
        <w:rPr>
          <w:rFonts w:ascii="Times New Roman" w:hAnsi="Times New Roman" w:cs="Times New Roman"/>
        </w:rPr>
        <w:t xml:space="preserve"> Por ejemplo, el hecho de que encontremos una mayor proporción de personas indígenas entre las mujeres que entre los hombres, nos indica </w:t>
      </w:r>
      <w:proofErr w:type="gramStart"/>
      <w:r w:rsidR="00CD32F0">
        <w:rPr>
          <w:rFonts w:ascii="Times New Roman" w:hAnsi="Times New Roman" w:cs="Times New Roman"/>
        </w:rPr>
        <w:t xml:space="preserve">que  </w:t>
      </w:r>
      <w:r w:rsidR="00F91B34">
        <w:rPr>
          <w:rFonts w:ascii="Times New Roman" w:hAnsi="Times New Roman" w:cs="Times New Roman"/>
        </w:rPr>
        <w:t>l</w:t>
      </w:r>
      <w:r w:rsidRPr="0009546A">
        <w:rPr>
          <w:rFonts w:ascii="Times New Roman" w:hAnsi="Times New Roman" w:cs="Times New Roman"/>
        </w:rPr>
        <w:t>as</w:t>
      </w:r>
      <w:proofErr w:type="gramEnd"/>
      <w:r w:rsidRPr="0009546A">
        <w:rPr>
          <w:rFonts w:ascii="Times New Roman" w:hAnsi="Times New Roman" w:cs="Times New Roman"/>
        </w:rPr>
        <w:t xml:space="preserve"> 110 mujeres indígenas asesinadas representan una intersección de vulnerabilidades donde enfrentan violencia por ser mujeres, por ser indígenas, y frecuentemente por defender sus territorios y recursos. </w:t>
      </w:r>
    </w:p>
    <w:sectPr w:rsidR="00BB2976" w:rsidRPr="000954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F720" w14:textId="77777777" w:rsidR="008151BE" w:rsidRDefault="008151BE" w:rsidP="0009546A">
      <w:pPr>
        <w:spacing w:after="0" w:line="240" w:lineRule="auto"/>
      </w:pPr>
      <w:r>
        <w:separator/>
      </w:r>
    </w:p>
  </w:endnote>
  <w:endnote w:type="continuationSeparator" w:id="0">
    <w:p w14:paraId="1D9A7FB8" w14:textId="77777777" w:rsidR="008151BE" w:rsidRDefault="008151BE" w:rsidP="00095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E340" w14:textId="77777777" w:rsidR="008151BE" w:rsidRDefault="008151BE" w:rsidP="0009546A">
      <w:pPr>
        <w:spacing w:after="0" w:line="240" w:lineRule="auto"/>
      </w:pPr>
      <w:r>
        <w:separator/>
      </w:r>
    </w:p>
  </w:footnote>
  <w:footnote w:type="continuationSeparator" w:id="0">
    <w:p w14:paraId="0CCD4DC9" w14:textId="77777777" w:rsidR="008151BE" w:rsidRDefault="008151BE" w:rsidP="0009546A">
      <w:pPr>
        <w:spacing w:after="0" w:line="240" w:lineRule="auto"/>
      </w:pPr>
      <w:r>
        <w:continuationSeparator/>
      </w:r>
    </w:p>
  </w:footnote>
  <w:footnote w:id="1">
    <w:p w14:paraId="7CAEC8D6" w14:textId="7E0F6734" w:rsidR="0009546A" w:rsidRPr="002A6CED" w:rsidRDefault="0009546A" w:rsidP="002A6CED">
      <w:pPr>
        <w:rPr>
          <w:rFonts w:ascii="Times New Roman" w:hAnsi="Times New Roman" w:cs="Times New Roman"/>
          <w:sz w:val="20"/>
          <w:szCs w:val="20"/>
        </w:rPr>
      </w:pPr>
      <w:r w:rsidRPr="0009546A">
        <w:rPr>
          <w:rStyle w:val="Refdenotaalpie"/>
          <w:rFonts w:ascii="Times New Roman" w:hAnsi="Times New Roman" w:cs="Times New Roman"/>
          <w:sz w:val="20"/>
          <w:szCs w:val="20"/>
        </w:rPr>
        <w:footnoteRef/>
      </w:r>
      <w:r w:rsidRPr="0009546A">
        <w:rPr>
          <w:rFonts w:ascii="Times New Roman" w:hAnsi="Times New Roman" w:cs="Times New Roman"/>
          <w:sz w:val="20"/>
          <w:szCs w:val="20"/>
        </w:rPr>
        <w:t xml:space="preserve"> Las fuentes de información utilizadas fueron </w:t>
      </w:r>
      <w:r w:rsidR="00C7292F" w:rsidRPr="0009546A">
        <w:rPr>
          <w:rFonts w:ascii="Times New Roman" w:hAnsi="Times New Roman" w:cs="Times New Roman"/>
          <w:sz w:val="20"/>
          <w:szCs w:val="20"/>
        </w:rPr>
        <w:t>las Estadísticas</w:t>
      </w:r>
      <w:r w:rsidRPr="0009546A">
        <w:rPr>
          <w:rFonts w:ascii="Times New Roman" w:hAnsi="Times New Roman" w:cs="Times New Roman"/>
          <w:sz w:val="20"/>
          <w:szCs w:val="20"/>
        </w:rPr>
        <w:t xml:space="preserve"> de Defunciones Registradas 2024 por el INEGI</w:t>
      </w:r>
      <w:r w:rsidR="00C7292F">
        <w:rPr>
          <w:rFonts w:ascii="Times New Roman" w:hAnsi="Times New Roman" w:cs="Times New Roman"/>
          <w:sz w:val="20"/>
          <w:szCs w:val="20"/>
        </w:rPr>
        <w:t xml:space="preserve"> y las Proyecciones de Población de mitad de año 2020-2070 de CONAPO.</w:t>
      </w:r>
    </w:p>
  </w:footnote>
  <w:footnote w:id="2">
    <w:p w14:paraId="03399A49" w14:textId="2C6371BF" w:rsidR="002A6CED" w:rsidRPr="002A6CED" w:rsidRDefault="002A6CED" w:rsidP="002A6CED">
      <w:pPr>
        <w:jc w:val="both"/>
        <w:rPr>
          <w:rFonts w:ascii="Times New Roman" w:hAnsi="Times New Roman" w:cs="Times New Roman"/>
        </w:rPr>
      </w:pPr>
      <w:r>
        <w:rPr>
          <w:rStyle w:val="Refdenotaalpie"/>
        </w:rPr>
        <w:footnoteRef/>
      </w:r>
      <w:r>
        <w:t xml:space="preserve"> </w:t>
      </w:r>
      <w:r>
        <w:rPr>
          <w:rFonts w:ascii="Times New Roman" w:hAnsi="Times New Roman" w:cs="Times New Roman"/>
        </w:rPr>
        <w:t>Se omitió de los cálculos a las personas no identificadas por su sexo.</w:t>
      </w:r>
    </w:p>
  </w:footnote>
  <w:footnote w:id="3">
    <w:p w14:paraId="7620CB8A" w14:textId="186F5FF2" w:rsidR="002A6CED" w:rsidRDefault="002A6CED">
      <w:pPr>
        <w:pStyle w:val="Textonotapie"/>
      </w:pPr>
      <w:r>
        <w:rPr>
          <w:rStyle w:val="Refdenotaalpie"/>
        </w:rPr>
        <w:footnoteRef/>
      </w:r>
      <w:r>
        <w:t xml:space="preserve"> </w:t>
      </w:r>
      <w:r>
        <w:rPr>
          <w:rFonts w:ascii="Times New Roman" w:hAnsi="Times New Roman" w:cs="Times New Roman"/>
        </w:rPr>
        <w:t>Para calcular la tase se tomó en cuenta la entidad de ocurrencia.</w:t>
      </w:r>
    </w:p>
  </w:footnote>
  <w:footnote w:id="4">
    <w:p w14:paraId="51067912" w14:textId="77777777" w:rsidR="00CD32F0" w:rsidRDefault="00CD32F0" w:rsidP="00CD32F0">
      <w:pPr>
        <w:pStyle w:val="Textonotapie"/>
      </w:pPr>
      <w:r>
        <w:rPr>
          <w:rStyle w:val="Refdenotaalpie"/>
        </w:rPr>
        <w:footnoteRef/>
      </w:r>
      <w:r>
        <w:t xml:space="preserve"> </w:t>
      </w:r>
      <w:r w:rsidRPr="00F91B34">
        <w:rPr>
          <w:rFonts w:ascii="Times New Roman" w:hAnsi="Times New Roman" w:cs="Times New Roman"/>
        </w:rPr>
        <w:t>Según la práctica estandarizada común del INEGI, una persona se considera con identidad indígena si refiere hablar una lengua indígena.</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6A"/>
    <w:rsid w:val="000349AA"/>
    <w:rsid w:val="0009546A"/>
    <w:rsid w:val="00126183"/>
    <w:rsid w:val="001F7EA1"/>
    <w:rsid w:val="002308C1"/>
    <w:rsid w:val="002A6CED"/>
    <w:rsid w:val="0030249F"/>
    <w:rsid w:val="00390F7F"/>
    <w:rsid w:val="00541D80"/>
    <w:rsid w:val="007102B3"/>
    <w:rsid w:val="008151BE"/>
    <w:rsid w:val="00866DD0"/>
    <w:rsid w:val="00905E76"/>
    <w:rsid w:val="00BB2976"/>
    <w:rsid w:val="00C7292F"/>
    <w:rsid w:val="00CC7E33"/>
    <w:rsid w:val="00CD32F0"/>
    <w:rsid w:val="00CF0D78"/>
    <w:rsid w:val="00EF4877"/>
    <w:rsid w:val="00F91B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0497"/>
  <w15:chartTrackingRefBased/>
  <w15:docId w15:val="{4E0DB064-6B06-4A4A-AB7A-1D34FC2C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5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5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5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5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5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5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5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5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54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54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54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54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54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54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54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54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54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546A"/>
    <w:rPr>
      <w:rFonts w:eastAsiaTheme="majorEastAsia" w:cstheme="majorBidi"/>
      <w:color w:val="272727" w:themeColor="text1" w:themeTint="D8"/>
    </w:rPr>
  </w:style>
  <w:style w:type="paragraph" w:styleId="Ttulo">
    <w:name w:val="Title"/>
    <w:basedOn w:val="Normal"/>
    <w:next w:val="Normal"/>
    <w:link w:val="TtuloCar"/>
    <w:uiPriority w:val="10"/>
    <w:qFormat/>
    <w:rsid w:val="00095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5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54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54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546A"/>
    <w:pPr>
      <w:spacing w:before="160"/>
      <w:jc w:val="center"/>
    </w:pPr>
    <w:rPr>
      <w:i/>
      <w:iCs/>
      <w:color w:val="404040" w:themeColor="text1" w:themeTint="BF"/>
    </w:rPr>
  </w:style>
  <w:style w:type="character" w:customStyle="1" w:styleId="CitaCar">
    <w:name w:val="Cita Car"/>
    <w:basedOn w:val="Fuentedeprrafopredeter"/>
    <w:link w:val="Cita"/>
    <w:uiPriority w:val="29"/>
    <w:rsid w:val="0009546A"/>
    <w:rPr>
      <w:i/>
      <w:iCs/>
      <w:color w:val="404040" w:themeColor="text1" w:themeTint="BF"/>
    </w:rPr>
  </w:style>
  <w:style w:type="paragraph" w:styleId="Prrafodelista">
    <w:name w:val="List Paragraph"/>
    <w:basedOn w:val="Normal"/>
    <w:uiPriority w:val="34"/>
    <w:qFormat/>
    <w:rsid w:val="0009546A"/>
    <w:pPr>
      <w:ind w:left="720"/>
      <w:contextualSpacing/>
    </w:pPr>
  </w:style>
  <w:style w:type="character" w:styleId="nfasisintenso">
    <w:name w:val="Intense Emphasis"/>
    <w:basedOn w:val="Fuentedeprrafopredeter"/>
    <w:uiPriority w:val="21"/>
    <w:qFormat/>
    <w:rsid w:val="0009546A"/>
    <w:rPr>
      <w:i/>
      <w:iCs/>
      <w:color w:val="0F4761" w:themeColor="accent1" w:themeShade="BF"/>
    </w:rPr>
  </w:style>
  <w:style w:type="paragraph" w:styleId="Citadestacada">
    <w:name w:val="Intense Quote"/>
    <w:basedOn w:val="Normal"/>
    <w:next w:val="Normal"/>
    <w:link w:val="CitadestacadaCar"/>
    <w:uiPriority w:val="30"/>
    <w:qFormat/>
    <w:rsid w:val="00095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546A"/>
    <w:rPr>
      <w:i/>
      <w:iCs/>
      <w:color w:val="0F4761" w:themeColor="accent1" w:themeShade="BF"/>
    </w:rPr>
  </w:style>
  <w:style w:type="character" w:styleId="Referenciaintensa">
    <w:name w:val="Intense Reference"/>
    <w:basedOn w:val="Fuentedeprrafopredeter"/>
    <w:uiPriority w:val="32"/>
    <w:qFormat/>
    <w:rsid w:val="0009546A"/>
    <w:rPr>
      <w:b/>
      <w:bCs/>
      <w:smallCaps/>
      <w:color w:val="0F4761" w:themeColor="accent1" w:themeShade="BF"/>
      <w:spacing w:val="5"/>
    </w:rPr>
  </w:style>
  <w:style w:type="paragraph" w:styleId="Textonotapie">
    <w:name w:val="footnote text"/>
    <w:basedOn w:val="Normal"/>
    <w:link w:val="TextonotapieCar"/>
    <w:uiPriority w:val="99"/>
    <w:semiHidden/>
    <w:unhideWhenUsed/>
    <w:rsid w:val="0009546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546A"/>
    <w:rPr>
      <w:sz w:val="20"/>
      <w:szCs w:val="20"/>
    </w:rPr>
  </w:style>
  <w:style w:type="character" w:styleId="Refdenotaalpie">
    <w:name w:val="footnote reference"/>
    <w:basedOn w:val="Fuentedeprrafopredeter"/>
    <w:uiPriority w:val="99"/>
    <w:semiHidden/>
    <w:unhideWhenUsed/>
    <w:rsid w:val="000954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E5591-2909-467B-A3E5-8272B65C6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792</Words>
  <Characters>4361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BF</dc:creator>
  <cp:keywords/>
  <dc:description/>
  <cp:lastModifiedBy>Paola BF</cp:lastModifiedBy>
  <cp:revision>6</cp:revision>
  <dcterms:created xsi:type="dcterms:W3CDTF">2025-12-14T22:35:00Z</dcterms:created>
  <dcterms:modified xsi:type="dcterms:W3CDTF">2025-12-15T04:32:00Z</dcterms:modified>
</cp:coreProperties>
</file>