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Proposed Endeavor Brief</w:t>
      </w:r>
    </w:p>
    <w:p>
      <w:pPr>
        <w:spacing w:before="200"/>
      </w:pPr>
      <w:r>
        <w:rPr>
          <w:color w:val="44544D"/>
          <w:sz w:val="28"/>
          <w:szCs w:val="28"/>
        </w:rPr>
        <w:t xml:space="preserve">EB-2 National Interest Waiver · Discussion draft for counsel · Paola Malda Arozarena</w:t>
      </w:r>
    </w:p>
    <w:p>
      <w:r>
        <w:br w:type="page"/>
      </w:r>
    </w:p>
    <w:p>
      <w:pPr>
        <w:pStyle w:val="Heading1"/>
      </w:pPr>
      <w:r>
        <w:t xml:space="preserve">Proposed Endeavor Brief for Counsel</w:t>
      </w:r>
    </w:p>
    <w:p>
      <w:r>
        <w:rPr>
          <w:b/>
          <w:bCs/>
        </w:rPr>
        <w:t xml:space="preserve">Prepared by:</w:t>
      </w:r>
      <w:r>
        <w:t xml:space="preserve"> Paola Malda Arozarena</w:t>
      </w:r>
    </w:p>
    <w:p>
      <w:r>
        <w:rPr>
          <w:b/>
          <w:bCs/>
        </w:rPr>
        <w:t xml:space="preserve">Purpose:</w:t>
      </w:r>
      <w:r>
        <w:t xml:space="preserve"> Discussion document for an EB-2 National Interest Waiver (NIW) consultation</w:t>
      </w:r>
    </w:p>
    <w:p>
      <w:r>
        <w:rPr>
          <w:b/>
          <w:bCs/>
        </w:rPr>
        <w:t xml:space="preserve">Date:</w:t>
      </w:r>
      <w:r>
        <w:t xml:space="preserve"> September 28, 2026</w:t>
      </w:r>
    </w:p>
    <w:p>
      <w:r>
        <w:rPr>
          <w:b/>
          <w:bCs/>
        </w:rPr>
        <w:t xml:space="preserve">Status:</w:t>
      </w:r>
      <w:r>
        <w:t xml:space="preserve"> Draft prepared by the prospective petitioner for counsel's review. It is not a legal filing, and every factual claim and statistic must be verified before use in a petition.</w:t>
      </w:r>
    </w:p>
    <w:p>
      <w:pPr>
        <w:pStyle w:val="Heading2"/>
      </w:pPr>
      <w:r>
        <w:t xml:space="preserve">1. Summary</w:t>
      </w:r>
    </w:p>
    <w:p>
      <w:r>
        <w:t xml:space="preserve">I propose to build, operate and scale a free, bilingual (Spanish–English) financial capability program for immigrant and underserved households in the United States. The program helps households enter and safely use the regulated U.S. financial system. It covers:</w:t>
      </w:r>
    </w:p>
    <w:p>
      <w:pPr>
        <w:pStyle w:val="ListParagraph"/>
        <w:numPr>
          <w:ilvl w:val="0"/>
          <w:numId w:val="2"/>
        </w:numPr>
      </w:pPr>
      <w:r>
        <w:t xml:space="preserve">cash-flow management;</w:t>
      </w:r>
    </w:p>
    <w:p>
      <w:pPr>
        <w:pStyle w:val="ListParagraph"/>
        <w:numPr>
          <w:ilvl w:val="0"/>
          <w:numId w:val="2"/>
        </w:numPr>
      </w:pPr>
      <w:r>
        <w:t xml:space="preserve">tax compliance;</w:t>
      </w:r>
    </w:p>
    <w:p>
      <w:pPr>
        <w:pStyle w:val="ListParagraph"/>
        <w:numPr>
          <w:ilvl w:val="0"/>
          <w:numId w:val="2"/>
        </w:numPr>
      </w:pPr>
      <w:r>
        <w:t xml:space="preserve">safe use of regulated remittance providers;</w:t>
      </w:r>
    </w:p>
    <w:p>
      <w:pPr>
        <w:pStyle w:val="ListParagraph"/>
        <w:numPr>
          <w:ilvl w:val="0"/>
          <w:numId w:val="2"/>
        </w:numPr>
      </w:pPr>
      <w:r>
        <w:t xml:space="preserve">credit building and debt management;</w:t>
      </w:r>
    </w:p>
    <w:p>
      <w:pPr>
        <w:pStyle w:val="ListParagraph"/>
        <w:numPr>
          <w:ilvl w:val="0"/>
          <w:numId w:val="2"/>
        </w:numPr>
      </w:pPr>
      <w:r>
        <w:t xml:space="preserve">fraud and identity-theft prevention;</w:t>
      </w:r>
    </w:p>
    <w:p>
      <w:pPr>
        <w:pStyle w:val="ListParagraph"/>
        <w:numPr>
          <w:ilvl w:val="0"/>
          <w:numId w:val="2"/>
        </w:numPr>
      </w:pPr>
      <w:r>
        <w:t xml:space="preserve">long-term financial security.</w:t>
      </w:r>
    </w:p>
    <w:p>
      <w:r>
        <w:t xml:space="preserve">The program combines four elements:</w:t>
      </w:r>
    </w:p>
    <w:p>
      <w:pPr>
        <w:pStyle w:val="ListParagraph"/>
        <w:numPr>
          <w:ilvl w:val="0"/>
          <w:numId w:val="2"/>
        </w:numPr>
      </w:pPr>
      <w:r>
        <w:t xml:space="preserve">a structured online curriculum;</w:t>
      </w:r>
    </w:p>
    <w:p>
      <w:pPr>
        <w:pStyle w:val="ListParagraph"/>
        <w:numPr>
          <w:ilvl w:val="0"/>
          <w:numId w:val="2"/>
        </w:numPr>
      </w:pPr>
      <w:r>
        <w:t xml:space="preserve">a continuously verified comparison of financial products and providers;</w:t>
      </w:r>
    </w:p>
    <w:p>
      <w:pPr>
        <w:pStyle w:val="ListParagraph"/>
        <w:numPr>
          <w:ilvl w:val="0"/>
          <w:numId w:val="2"/>
        </w:numPr>
      </w:pPr>
      <w:r>
        <w:t xml:space="preserve">a free companion planning app;</w:t>
      </w:r>
    </w:p>
    <w:p>
      <w:pPr>
        <w:pStyle w:val="ListParagraph"/>
        <w:numPr>
          <w:ilvl w:val="0"/>
          <w:numId w:val="2"/>
        </w:numPr>
      </w:pPr>
      <w:r>
        <w:t xml:space="preserve">a referral network to verified professional help.</w:t>
      </w:r>
    </w:p>
    <w:p>
      <w:r>
        <w:t xml:space="preserve">It launches in California and expands to Texas, Illinois, New York and Florida. It has a federal core curriculum and state-specific modules. Outcomes are measured with nationally benchmarked instruments.</w:t>
      </w:r>
    </w:p>
    <w:p>
      <w:r>
        <w:t xml:space="preserve">I bring twenty years of experience in financial services, public financial-inclusion policy and financial education. That experience includes national-level work on Mexico's National Financial Inclusion Policy and leadership of financial inclusion at a national development bank serving underserved households and remittance recipients.</w:t>
      </w:r>
    </w:p>
    <w:p>
      <w:pPr>
        <w:pStyle w:val="Heading2"/>
      </w:pPr>
      <w:r>
        <w:t xml:space="preserve">2. The proposed endeavor</w:t>
      </w:r>
    </w:p>
    <w:p>
      <w:pPr>
        <w:pStyle w:val="Heading3"/>
      </w:pPr>
      <w:r>
        <w:t xml:space="preserve">2.1 Components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Component</w:t>
            </w:r>
          </w:p>
        </w:tc>
        <w:tc>
          <w:tcPr>
            <w:tcW w:type="dxa" w:w="4820"/>
            <w:shd w:fill="1F5C4A" w:color="auto" w:val="clear"/>
            <w:tcMar>
              <w:top w:type="dxa" w:w="60"/>
              <w:left w:type="dxa" w:w="90"/>
              <w:bottom w:type="dxa" w:w="60"/>
              <w:right w:type="dxa" w:w="90"/>
            </w:tcMar>
          </w:tcPr>
          <w:p>
            <w:r>
              <w:rPr>
                <w:b/>
                <w:bCs/>
                <w:color w:val="FFFFFF"/>
                <w:sz w:val="18"/>
                <w:szCs w:val="18"/>
              </w:rPr>
              <w:t xml:space="preserve">Description</w:t>
            </w:r>
          </w:p>
        </w:tc>
      </w:tr>
      <w:tr>
        <w:trPr>
          <w:tblHeader w:val="off"/>
        </w:trPr>
        <w:tc>
          <w:tcPr>
            <w:tcW w:type="dxa" w:w="4820"/>
            <w:tcMar>
              <w:top w:type="dxa" w:w="60"/>
              <w:left w:type="dxa" w:w="90"/>
              <w:bottom w:type="dxa" w:w="60"/>
              <w:right w:type="dxa" w:w="90"/>
            </w:tcMar>
          </w:tcPr>
          <w:p>
            <w:r>
              <w:rPr>
                <w:sz w:val="18"/>
                <w:szCs w:val="18"/>
              </w:rPr>
              <w:t xml:space="preserve">Curriculum</w:t>
            </w:r>
          </w:p>
        </w:tc>
        <w:tc>
          <w:tcPr>
            <w:tcW w:type="dxa" w:w="4820"/>
            <w:tcMar>
              <w:top w:type="dxa" w:w="60"/>
              <w:left w:type="dxa" w:w="90"/>
              <w:bottom w:type="dxa" w:w="60"/>
              <w:right w:type="dxa" w:w="90"/>
            </w:tcMar>
          </w:tcPr>
          <w:p>
            <w:r>
              <w:rPr>
                <w:sz w:val="18"/>
                <w:szCs w:val="18"/>
              </w:rPr>
              <w:t xml:space="preserve">Five modules, about 59 short lessons, in separate Spanish and English editions: money and cash flow; the financial system and remittances; credit and debt; protection (fraud, identity, insurance, emergencies); and wealth and retirement. Each lesson has a three-minute core, deeper study, cases, interactive exercises and a quiz.</w:t>
            </w:r>
          </w:p>
        </w:tc>
      </w:tr>
      <w:tr>
        <w:trPr>
          <w:tblHeader w:val="off"/>
        </w:trPr>
        <w:tc>
          <w:tcPr>
            <w:tcW w:type="dxa" w:w="4820"/>
            <w:tcMar>
              <w:top w:type="dxa" w:w="60"/>
              <w:left w:type="dxa" w:w="90"/>
              <w:bottom w:type="dxa" w:w="60"/>
              <w:right w:type="dxa" w:w="90"/>
            </w:tcMar>
          </w:tcPr>
          <w:p>
            <w:r>
              <w:rPr>
                <w:sz w:val="18"/>
                <w:szCs w:val="18"/>
              </w:rPr>
              <w:t xml:space="preserve">Living comparison matrix</w:t>
            </w:r>
          </w:p>
        </w:tc>
        <w:tc>
          <w:tcPr>
            <w:tcW w:type="dxa" w:w="4820"/>
            <w:tcMar>
              <w:top w:type="dxa" w:w="60"/>
              <w:left w:type="dxa" w:w="90"/>
              <w:bottom w:type="dxa" w:w="60"/>
              <w:right w:type="dxa" w:w="90"/>
            </w:tcMar>
          </w:tcPr>
          <w:p>
            <w:r>
              <w:rPr>
                <w:sz w:val="18"/>
                <w:szCs w:val="18"/>
              </w:rPr>
              <w:t xml:space="preserve">Accounts, remittance providers, credit-building products and support services, each record carrying source, verification date and requirements by documentation type (SSN, ITIN, consular ID, none). Editorially independent: no provider can pay for placement.</w:t>
            </w:r>
          </w:p>
        </w:tc>
      </w:tr>
      <w:tr>
        <w:trPr>
          <w:tblHeader w:val="off"/>
        </w:trPr>
        <w:tc>
          <w:tcPr>
            <w:tcW w:type="dxa" w:w="4820"/>
            <w:tcMar>
              <w:top w:type="dxa" w:w="60"/>
              <w:left w:type="dxa" w:w="90"/>
              <w:bottom w:type="dxa" w:w="60"/>
              <w:right w:type="dxa" w:w="90"/>
            </w:tcMar>
          </w:tcPr>
          <w:p>
            <w:r>
              <w:rPr>
                <w:sz w:val="18"/>
                <w:szCs w:val="18"/>
              </w:rPr>
              <w:t xml:space="preserve">Companion app</w:t>
            </w:r>
          </w:p>
        </w:tc>
        <w:tc>
          <w:tcPr>
            <w:tcW w:type="dxa" w:w="4820"/>
            <w:tcMar>
              <w:top w:type="dxa" w:w="60"/>
              <w:left w:type="dxa" w:w="90"/>
              <w:bottom w:type="dxa" w:w="60"/>
              <w:right w:type="dxa" w:w="90"/>
            </w:tcMar>
          </w:tcPr>
          <w:p>
            <w:r>
              <w:rPr>
                <w:sz w:val="18"/>
                <w:szCs w:val="18"/>
              </w:rPr>
              <w:t xml:space="preserve">Free, privacy-first planning tools: dated cash-flow calendar, true-cost remittance calculator, goals in dollars or pesos, family remittance agreement, scam check, credit pathway and continuity folder. The app never holds or moves money and never collects SSNs, immigration status or banking credentials.</w:t>
            </w:r>
          </w:p>
        </w:tc>
      </w:tr>
      <w:tr>
        <w:trPr>
          <w:tblHeader w:val="off"/>
        </w:trPr>
        <w:tc>
          <w:tcPr>
            <w:tcW w:type="dxa" w:w="4820"/>
            <w:tcMar>
              <w:top w:type="dxa" w:w="60"/>
              <w:left w:type="dxa" w:w="90"/>
              <w:bottom w:type="dxa" w:w="60"/>
              <w:right w:type="dxa" w:w="90"/>
            </w:tcMar>
          </w:tcPr>
          <w:p>
            <w:r>
              <w:rPr>
                <w:sz w:val="18"/>
                <w:szCs w:val="18"/>
              </w:rPr>
              <w:t xml:space="preserve">Verified help network</w:t>
            </w:r>
          </w:p>
        </w:tc>
        <w:tc>
          <w:tcPr>
            <w:tcW w:type="dxa" w:w="4820"/>
            <w:tcMar>
              <w:top w:type="dxa" w:w="60"/>
              <w:left w:type="dxa" w:w="90"/>
              <w:bottom w:type="dxa" w:w="60"/>
              <w:right w:type="dxa" w:w="90"/>
            </w:tcMar>
          </w:tcPr>
          <w:p>
            <w:r>
              <w:rPr>
                <w:sz w:val="18"/>
                <w:szCs w:val="18"/>
              </w:rPr>
              <w:t xml:space="preserve">Directory of free tax preparation sites (VITA), certified legal referral services, housing counselors, consulate financial-advice windows, credit unions and community organizations.</w:t>
            </w:r>
          </w:p>
        </w:tc>
      </w:tr>
      <w:tr>
        <w:trPr>
          <w:tblHeader w:val="off"/>
        </w:trPr>
        <w:tc>
          <w:tcPr>
            <w:tcW w:type="dxa" w:w="4820"/>
            <w:tcMar>
              <w:top w:type="dxa" w:w="60"/>
              <w:left w:type="dxa" w:w="90"/>
              <w:bottom w:type="dxa" w:w="60"/>
              <w:right w:type="dxa" w:w="90"/>
            </w:tcMar>
          </w:tcPr>
          <w:p>
            <w:r>
              <w:rPr>
                <w:sz w:val="18"/>
                <w:szCs w:val="18"/>
              </w:rPr>
              <w:t xml:space="preserve">Certificates</w:t>
            </w:r>
          </w:p>
        </w:tc>
        <w:tc>
          <w:tcPr>
            <w:tcW w:type="dxa" w:w="4820"/>
            <w:tcMar>
              <w:top w:type="dxa" w:w="60"/>
              <w:left w:type="dxa" w:w="90"/>
              <w:bottom w:type="dxa" w:w="60"/>
              <w:right w:type="dxa" w:w="90"/>
            </w:tcMar>
          </w:tcPr>
          <w:p>
            <w:r>
              <w:rPr>
                <w:sz w:val="18"/>
                <w:szCs w:val="18"/>
              </w:rPr>
              <w:t xml:space="preserve">Program-issued, verifiable digital badges (Open Badges) for each module and for the full program. They are educational completion records, not licenses or accreditation.</w:t>
            </w:r>
          </w:p>
        </w:tc>
      </w:tr>
    </w:tbl>
    <w:p/>
    <w:p>
      <w:pPr>
        <w:pStyle w:val="Heading3"/>
      </w:pPr>
      <w:r>
        <w:t xml:space="preserve">2.2 Rollout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Phase</w:t>
            </w:r>
          </w:p>
        </w:tc>
        <w:tc>
          <w:tcPr>
            <w:tcW w:type="dxa" w:w="3213"/>
            <w:shd w:fill="1F5C4A" w:color="auto" w:val="clear"/>
            <w:tcMar>
              <w:top w:type="dxa" w:w="60"/>
              <w:left w:type="dxa" w:w="90"/>
              <w:bottom w:type="dxa" w:w="60"/>
              <w:right w:type="dxa" w:w="90"/>
            </w:tcMar>
          </w:tcPr>
          <w:p>
            <w:r>
              <w:rPr>
                <w:b/>
                <w:bCs/>
                <w:color w:val="FFFFFF"/>
                <w:sz w:val="18"/>
                <w:szCs w:val="18"/>
              </w:rPr>
              <w:t xml:space="preserve">Scope</w:t>
            </w:r>
          </w:p>
        </w:tc>
        <w:tc>
          <w:tcPr>
            <w:tcW w:type="dxa" w:w="3214"/>
            <w:shd w:fill="1F5C4A" w:color="auto" w:val="clear"/>
            <w:tcMar>
              <w:top w:type="dxa" w:w="60"/>
              <w:left w:type="dxa" w:w="90"/>
              <w:bottom w:type="dxa" w:w="60"/>
              <w:right w:type="dxa" w:w="90"/>
            </w:tcMar>
          </w:tcPr>
          <w:p>
            <w:r>
              <w:rPr>
                <w:b/>
                <w:bCs/>
                <w:color w:val="FFFFFF"/>
                <w:sz w:val="18"/>
                <w:szCs w:val="18"/>
              </w:rPr>
              <w:t xml:space="preserve">Indicative timing</w:t>
            </w:r>
          </w:p>
        </w:tc>
      </w:tr>
      <w:tr>
        <w:trPr>
          <w:tblHeader w:val="off"/>
        </w:trPr>
        <w:tc>
          <w:tcPr>
            <w:tcW w:type="dxa" w:w="3213"/>
            <w:tcMar>
              <w:top w:type="dxa" w:w="60"/>
              <w:left w:type="dxa" w:w="90"/>
              <w:bottom w:type="dxa" w:w="60"/>
              <w:right w:type="dxa" w:w="90"/>
            </w:tcMar>
          </w:tcPr>
          <w:p>
            <w:r>
              <w:rPr>
                <w:sz w:val="18"/>
                <w:szCs w:val="18"/>
              </w:rPr>
              <w:t xml:space="preserve">1. Pilot</w:t>
            </w:r>
          </w:p>
        </w:tc>
        <w:tc>
          <w:tcPr>
            <w:tcW w:type="dxa" w:w="3213"/>
            <w:tcMar>
              <w:top w:type="dxa" w:w="60"/>
              <w:left w:type="dxa" w:w="90"/>
              <w:bottom w:type="dxa" w:w="60"/>
              <w:right w:type="dxa" w:w="90"/>
            </w:tcMar>
          </w:tcPr>
          <w:p>
            <w:r>
              <w:rPr>
                <w:sz w:val="18"/>
                <w:szCs w:val="18"/>
              </w:rPr>
              <w:t xml:space="preserve">California: curriculum, matrix, app MVP, partner onboarding and impact baseline</w:t>
            </w:r>
          </w:p>
        </w:tc>
        <w:tc>
          <w:tcPr>
            <w:tcW w:type="dxa" w:w="3214"/>
            <w:tcMar>
              <w:top w:type="dxa" w:w="60"/>
              <w:left w:type="dxa" w:w="90"/>
              <w:bottom w:type="dxa" w:w="60"/>
              <w:right w:type="dxa" w:w="90"/>
            </w:tcMar>
          </w:tcPr>
          <w:p>
            <w:r>
              <w:rPr>
                <w:sz w:val="18"/>
                <w:szCs w:val="18"/>
              </w:rPr>
              <w:t xml:space="preserve">Months 0–12</w:t>
            </w:r>
          </w:p>
        </w:tc>
      </w:tr>
      <w:tr>
        <w:trPr>
          <w:tblHeader w:val="off"/>
        </w:trPr>
        <w:tc>
          <w:tcPr>
            <w:tcW w:type="dxa" w:w="3213"/>
            <w:tcMar>
              <w:top w:type="dxa" w:w="60"/>
              <w:left w:type="dxa" w:w="90"/>
              <w:bottom w:type="dxa" w:w="60"/>
              <w:right w:type="dxa" w:w="90"/>
            </w:tcMar>
          </w:tcPr>
          <w:p>
            <w:r>
              <w:rPr>
                <w:sz w:val="18"/>
                <w:szCs w:val="18"/>
              </w:rPr>
              <w:t xml:space="preserve">2. Texas</w:t>
            </w:r>
          </w:p>
        </w:tc>
        <w:tc>
          <w:tcPr>
            <w:tcW w:type="dxa" w:w="3213"/>
            <w:tcMar>
              <w:top w:type="dxa" w:w="60"/>
              <w:left w:type="dxa" w:w="90"/>
              <w:bottom w:type="dxa" w:w="60"/>
              <w:right w:type="dxa" w:w="90"/>
            </w:tcMar>
          </w:tcPr>
          <w:p>
            <w:r>
              <w:rPr>
                <w:sz w:val="18"/>
                <w:szCs w:val="18"/>
              </w:rPr>
              <w:t xml:space="preserve">State module and Texas partners</w:t>
            </w:r>
          </w:p>
        </w:tc>
        <w:tc>
          <w:tcPr>
            <w:tcW w:type="dxa" w:w="3214"/>
            <w:tcMar>
              <w:top w:type="dxa" w:w="60"/>
              <w:left w:type="dxa" w:w="90"/>
              <w:bottom w:type="dxa" w:w="60"/>
              <w:right w:type="dxa" w:w="90"/>
            </w:tcMar>
          </w:tcPr>
          <w:p>
            <w:r>
              <w:rPr>
                <w:sz w:val="18"/>
                <w:szCs w:val="18"/>
              </w:rPr>
              <w:t xml:space="preserve">Months 12–18</w:t>
            </w:r>
          </w:p>
        </w:tc>
      </w:tr>
      <w:tr>
        <w:trPr>
          <w:tblHeader w:val="off"/>
        </w:trPr>
        <w:tc>
          <w:tcPr>
            <w:tcW w:type="dxa" w:w="3213"/>
            <w:tcMar>
              <w:top w:type="dxa" w:w="60"/>
              <w:left w:type="dxa" w:w="90"/>
              <w:bottom w:type="dxa" w:w="60"/>
              <w:right w:type="dxa" w:w="90"/>
            </w:tcMar>
          </w:tcPr>
          <w:p>
            <w:r>
              <w:rPr>
                <w:sz w:val="18"/>
                <w:szCs w:val="18"/>
              </w:rPr>
              <w:t xml:space="preserve">3. Illinois</w:t>
            </w:r>
          </w:p>
        </w:tc>
        <w:tc>
          <w:tcPr>
            <w:tcW w:type="dxa" w:w="3213"/>
            <w:tcMar>
              <w:top w:type="dxa" w:w="60"/>
              <w:left w:type="dxa" w:w="90"/>
              <w:bottom w:type="dxa" w:w="60"/>
              <w:right w:type="dxa" w:w="90"/>
            </w:tcMar>
          </w:tcPr>
          <w:p>
            <w:r>
              <w:rPr>
                <w:sz w:val="18"/>
                <w:szCs w:val="18"/>
              </w:rPr>
              <w:t xml:space="preserve">State module and Illinois partners</w:t>
            </w:r>
          </w:p>
        </w:tc>
        <w:tc>
          <w:tcPr>
            <w:tcW w:type="dxa" w:w="3214"/>
            <w:tcMar>
              <w:top w:type="dxa" w:w="60"/>
              <w:left w:type="dxa" w:w="90"/>
              <w:bottom w:type="dxa" w:w="60"/>
              <w:right w:type="dxa" w:w="90"/>
            </w:tcMar>
          </w:tcPr>
          <w:p>
            <w:r>
              <w:rPr>
                <w:sz w:val="18"/>
                <w:szCs w:val="18"/>
              </w:rPr>
              <w:t xml:space="preserve">Months 18–24</w:t>
            </w:r>
          </w:p>
        </w:tc>
      </w:tr>
      <w:tr>
        <w:trPr>
          <w:tblHeader w:val="off"/>
        </w:trPr>
        <w:tc>
          <w:tcPr>
            <w:tcW w:type="dxa" w:w="3213"/>
            <w:tcMar>
              <w:top w:type="dxa" w:w="60"/>
              <w:left w:type="dxa" w:w="90"/>
              <w:bottom w:type="dxa" w:w="60"/>
              <w:right w:type="dxa" w:w="90"/>
            </w:tcMar>
          </w:tcPr>
          <w:p>
            <w:r>
              <w:rPr>
                <w:sz w:val="18"/>
                <w:szCs w:val="18"/>
              </w:rPr>
              <w:t xml:space="preserve">4. New York</w:t>
            </w:r>
          </w:p>
        </w:tc>
        <w:tc>
          <w:tcPr>
            <w:tcW w:type="dxa" w:w="3213"/>
            <w:tcMar>
              <w:top w:type="dxa" w:w="60"/>
              <w:left w:type="dxa" w:w="90"/>
              <w:bottom w:type="dxa" w:w="60"/>
              <w:right w:type="dxa" w:w="90"/>
            </w:tcMar>
          </w:tcPr>
          <w:p>
            <w:r>
              <w:rPr>
                <w:sz w:val="18"/>
                <w:szCs w:val="18"/>
              </w:rPr>
              <w:t xml:space="preserve">State module and New York City partners</w:t>
            </w:r>
          </w:p>
        </w:tc>
        <w:tc>
          <w:tcPr>
            <w:tcW w:type="dxa" w:w="3214"/>
            <w:tcMar>
              <w:top w:type="dxa" w:w="60"/>
              <w:left w:type="dxa" w:w="90"/>
              <w:bottom w:type="dxa" w:w="60"/>
              <w:right w:type="dxa" w:w="90"/>
            </w:tcMar>
          </w:tcPr>
          <w:p>
            <w:r>
              <w:rPr>
                <w:sz w:val="18"/>
                <w:szCs w:val="18"/>
              </w:rPr>
              <w:t xml:space="preserve">Months 24–30</w:t>
            </w:r>
          </w:p>
        </w:tc>
      </w:tr>
      <w:tr>
        <w:trPr>
          <w:tblHeader w:val="off"/>
        </w:trPr>
        <w:tc>
          <w:tcPr>
            <w:tcW w:type="dxa" w:w="3213"/>
            <w:tcMar>
              <w:top w:type="dxa" w:w="60"/>
              <w:left w:type="dxa" w:w="90"/>
              <w:bottom w:type="dxa" w:w="60"/>
              <w:right w:type="dxa" w:w="90"/>
            </w:tcMar>
          </w:tcPr>
          <w:p>
            <w:r>
              <w:rPr>
                <w:sz w:val="18"/>
                <w:szCs w:val="18"/>
              </w:rPr>
              <w:t xml:space="preserve">5. Florida</w:t>
            </w:r>
          </w:p>
        </w:tc>
        <w:tc>
          <w:tcPr>
            <w:tcW w:type="dxa" w:w="3213"/>
            <w:tcMar>
              <w:top w:type="dxa" w:w="60"/>
              <w:left w:type="dxa" w:w="90"/>
              <w:bottom w:type="dxa" w:w="60"/>
              <w:right w:type="dxa" w:w="90"/>
            </w:tcMar>
          </w:tcPr>
          <w:p>
            <w:r>
              <w:rPr>
                <w:sz w:val="18"/>
                <w:szCs w:val="18"/>
              </w:rPr>
              <w:t xml:space="preserve">State module and Florida partners</w:t>
            </w:r>
          </w:p>
        </w:tc>
        <w:tc>
          <w:tcPr>
            <w:tcW w:type="dxa" w:w="3214"/>
            <w:tcMar>
              <w:top w:type="dxa" w:w="60"/>
              <w:left w:type="dxa" w:w="90"/>
              <w:bottom w:type="dxa" w:w="60"/>
              <w:right w:type="dxa" w:w="90"/>
            </w:tcMar>
          </w:tcPr>
          <w:p>
            <w:r>
              <w:rPr>
                <w:sz w:val="18"/>
                <w:szCs w:val="18"/>
              </w:rPr>
              <w:t xml:space="preserve">Months 30–36</w:t>
            </w:r>
          </w:p>
        </w:tc>
      </w:tr>
    </w:tbl>
    <w:p/>
    <w:p>
      <w:r>
        <w:t xml:space="preserve">About 70% of the content is a shared federal core: banking, IRS, federal remittance rules, credit reporting and fraud. About 30% is state-specific: regulators, state tax credits, tenant rules, health coverage and identification.</w:t>
      </w:r>
    </w:p>
    <w:p>
      <w:pPr>
        <w:pStyle w:val="Heading3"/>
      </w:pPr>
      <w:r>
        <w:t xml:space="preserve">2.3 Delivery and sustainability</w:t>
      </w:r>
    </w:p>
    <w:p>
      <w:pPr>
        <w:pStyle w:val="ListParagraph"/>
        <w:numPr>
          <w:ilvl w:val="0"/>
          <w:numId w:val="2"/>
        </w:numPr>
      </w:pPr>
      <w:r>
        <w:rPr>
          <w:b/>
          <w:bCs/>
        </w:rPr>
        <w:t xml:space="preserve">Delivery:</w:t>
      </w:r>
      <w:r>
        <w:t xml:space="preserve"> Moodle-based learning platform (mobile-first, offline-capable), WhatsApp micro-learning, and in-person sessions through partner organizations.</w:t>
      </w:r>
    </w:p>
    <w:p>
      <w:pPr>
        <w:pStyle w:val="ListParagraph"/>
        <w:numPr>
          <w:ilvl w:val="0"/>
          <w:numId w:val="2"/>
        </w:numPr>
      </w:pPr>
      <w:r>
        <w:rPr>
          <w:b/>
          <w:bCs/>
        </w:rPr>
        <w:t xml:space="preserve">Distribution partners (targeted):</w:t>
      </w:r>
      <w:r>
        <w:t xml:space="preserve"> consulate financial-advice windows (Ventanillas de Asesoría Financiera / IME), CDFI credit unions, Bank On coalitions, community and worker organizations, community colleges and libraries.</w:t>
      </w:r>
    </w:p>
    <w:p>
      <w:pPr>
        <w:pStyle w:val="ListParagraph"/>
        <w:numPr>
          <w:ilvl w:val="0"/>
          <w:numId w:val="2"/>
        </w:numPr>
      </w:pPr>
      <w:r>
        <w:rPr>
          <w:b/>
          <w:bCs/>
        </w:rPr>
        <w:t xml:space="preserve">Funding model:</w:t>
      </w:r>
      <w:r>
        <w:t xml:space="preserve"> free to participants. Funded through foundation grants, corporate philanthropy and white-label licensing to partner institutions, with strict editorial independence.</w:t>
      </w:r>
    </w:p>
    <w:p>
      <w:pPr>
        <w:pStyle w:val="ListParagraph"/>
        <w:numPr>
          <w:ilvl w:val="0"/>
          <w:numId w:val="2"/>
        </w:numPr>
      </w:pPr>
      <w:r>
        <w:rPr>
          <w:b/>
          <w:bCs/>
        </w:rPr>
        <w:t xml:space="preserve">Legal entity:</w:t>
      </w:r>
      <w:r>
        <w:t xml:space="preserve"> to be determined with counsel (see section 7).</w:t>
      </w:r>
    </w:p>
    <w:p>
      <w:pPr>
        <w:pStyle w:val="Heading2"/>
      </w:pPr>
      <w:r>
        <w:t xml:space="preserve">3. Substantial merit and national importance (Prong 1)</w:t>
      </w:r>
    </w:p>
    <w:p>
      <w:pPr>
        <w:pStyle w:val="Heading3"/>
      </w:pPr>
      <w:r>
        <w:t xml:space="preserve">3.1 National priorities the endeavor advances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National priority</w:t>
            </w:r>
          </w:p>
        </w:tc>
        <w:tc>
          <w:tcPr>
            <w:tcW w:type="dxa" w:w="3213"/>
            <w:shd w:fill="1F5C4A" w:color="auto" w:val="clear"/>
            <w:tcMar>
              <w:top w:type="dxa" w:w="60"/>
              <w:left w:type="dxa" w:w="90"/>
              <w:bottom w:type="dxa" w:w="60"/>
              <w:right w:type="dxa" w:w="90"/>
            </w:tcMar>
          </w:tcPr>
          <w:p>
            <w:r>
              <w:rPr>
                <w:b/>
                <w:bCs/>
                <w:color w:val="FFFFFF"/>
                <w:sz w:val="18"/>
                <w:szCs w:val="18"/>
              </w:rPr>
              <w:t xml:space="preserve">How the endeavor advances it</w:t>
            </w:r>
          </w:p>
        </w:tc>
        <w:tc>
          <w:tcPr>
            <w:tcW w:type="dxa" w:w="3214"/>
            <w:shd w:fill="1F5C4A" w:color="auto" w:val="clear"/>
            <w:tcMar>
              <w:top w:type="dxa" w:w="60"/>
              <w:left w:type="dxa" w:w="90"/>
              <w:bottom w:type="dxa" w:w="60"/>
              <w:right w:type="dxa" w:w="90"/>
            </w:tcMar>
          </w:tcPr>
          <w:p>
            <w:r>
              <w:rPr>
                <w:b/>
                <w:bCs/>
                <w:color w:val="FFFFFF"/>
                <w:sz w:val="18"/>
                <w:szCs w:val="18"/>
              </w:rPr>
              <w:t xml:space="preserve">Federal reference points</w:t>
            </w:r>
          </w:p>
        </w:tc>
      </w:tr>
      <w:tr>
        <w:trPr>
          <w:tblHeader w:val="off"/>
        </w:trPr>
        <w:tc>
          <w:tcPr>
            <w:tcW w:type="dxa" w:w="3213"/>
            <w:tcMar>
              <w:top w:type="dxa" w:w="60"/>
              <w:left w:type="dxa" w:w="90"/>
              <w:bottom w:type="dxa" w:w="60"/>
              <w:right w:type="dxa" w:w="90"/>
            </w:tcMar>
          </w:tcPr>
          <w:p>
            <w:r>
              <w:rPr>
                <w:sz w:val="18"/>
                <w:szCs w:val="18"/>
              </w:rPr>
              <w:t xml:space="preserve">Financial inclusion</w:t>
            </w:r>
          </w:p>
        </w:tc>
        <w:tc>
          <w:tcPr>
            <w:tcW w:type="dxa" w:w="3213"/>
            <w:tcMar>
              <w:top w:type="dxa" w:w="60"/>
              <w:left w:type="dxa" w:w="90"/>
              <w:bottom w:type="dxa" w:w="60"/>
              <w:right w:type="dxa" w:w="90"/>
            </w:tcMar>
          </w:tcPr>
          <w:p>
            <w:r>
              <w:rPr>
                <w:sz w:val="18"/>
                <w:szCs w:val="18"/>
              </w:rPr>
              <w:t xml:space="preserve">Moves unbanked and underbanked households into safe, low-cost accounts</w:t>
            </w:r>
          </w:p>
        </w:tc>
        <w:tc>
          <w:tcPr>
            <w:tcW w:type="dxa" w:w="3214"/>
            <w:tcMar>
              <w:top w:type="dxa" w:w="60"/>
              <w:left w:type="dxa" w:w="90"/>
              <w:bottom w:type="dxa" w:w="60"/>
              <w:right w:type="dxa" w:w="90"/>
            </w:tcMar>
          </w:tcPr>
          <w:p>
            <w:r>
              <w:rPr>
                <w:sz w:val="18"/>
                <w:szCs w:val="18"/>
              </w:rPr>
              <w:t xml:space="preserve">FDIC National Survey of Unbanked and Underbanked Households; Bank On National Account Standards</w:t>
            </w:r>
          </w:p>
        </w:tc>
      </w:tr>
      <w:tr>
        <w:trPr>
          <w:tblHeader w:val="off"/>
        </w:trPr>
        <w:tc>
          <w:tcPr>
            <w:tcW w:type="dxa" w:w="3213"/>
            <w:tcMar>
              <w:top w:type="dxa" w:w="60"/>
              <w:left w:type="dxa" w:w="90"/>
              <w:bottom w:type="dxa" w:w="60"/>
              <w:right w:type="dxa" w:w="90"/>
            </w:tcMar>
          </w:tcPr>
          <w:p>
            <w:r>
              <w:rPr>
                <w:sz w:val="18"/>
                <w:szCs w:val="18"/>
              </w:rPr>
              <w:t xml:space="preserve">Consumer protection</w:t>
            </w:r>
          </w:p>
        </w:tc>
        <w:tc>
          <w:tcPr>
            <w:tcW w:type="dxa" w:w="3213"/>
            <w:tcMar>
              <w:top w:type="dxa" w:w="60"/>
              <w:left w:type="dxa" w:w="90"/>
              <w:bottom w:type="dxa" w:w="60"/>
              <w:right w:type="dxa" w:w="90"/>
            </w:tcMar>
          </w:tcPr>
          <w:p>
            <w:r>
              <w:rPr>
                <w:sz w:val="18"/>
                <w:szCs w:val="18"/>
              </w:rPr>
              <w:t xml:space="preserve">Teaches rights under federal remittance, credit-reporting and debt-collection rules; reduces use of predatory products</w:t>
            </w:r>
          </w:p>
        </w:tc>
        <w:tc>
          <w:tcPr>
            <w:tcW w:type="dxa" w:w="3214"/>
            <w:tcMar>
              <w:top w:type="dxa" w:w="60"/>
              <w:left w:type="dxa" w:w="90"/>
              <w:bottom w:type="dxa" w:w="60"/>
              <w:right w:type="dxa" w:w="90"/>
            </w:tcMar>
          </w:tcPr>
          <w:p>
            <w:r>
              <w:rPr>
                <w:sz w:val="18"/>
                <w:szCs w:val="18"/>
              </w:rPr>
              <w:t xml:space="preserve">CFPB (Remittance Rule, FCRA and FDCPA resources)</w:t>
            </w:r>
          </w:p>
        </w:tc>
      </w:tr>
      <w:tr>
        <w:trPr>
          <w:tblHeader w:val="off"/>
        </w:trPr>
        <w:tc>
          <w:tcPr>
            <w:tcW w:type="dxa" w:w="3213"/>
            <w:tcMar>
              <w:top w:type="dxa" w:w="60"/>
              <w:left w:type="dxa" w:w="90"/>
              <w:bottom w:type="dxa" w:w="60"/>
              <w:right w:type="dxa" w:w="90"/>
            </w:tcMar>
          </w:tcPr>
          <w:p>
            <w:r>
              <w:rPr>
                <w:sz w:val="18"/>
                <w:szCs w:val="18"/>
              </w:rPr>
              <w:t xml:space="preserve">Fraud and identity-theft prevention</w:t>
            </w:r>
          </w:p>
        </w:tc>
        <w:tc>
          <w:tcPr>
            <w:tcW w:type="dxa" w:w="3213"/>
            <w:tcMar>
              <w:top w:type="dxa" w:w="60"/>
              <w:left w:type="dxa" w:w="90"/>
              <w:bottom w:type="dxa" w:w="60"/>
              <w:right w:type="dxa" w:w="90"/>
            </w:tcMar>
          </w:tcPr>
          <w:p>
            <w:r>
              <w:rPr>
                <w:sz w:val="18"/>
                <w:szCs w:val="18"/>
              </w:rPr>
              <w:t xml:space="preserve">Scam-recognition training and response protocols tailored to schemes targeting immigrants, such as notario fraud and government impersonation</w:t>
            </w:r>
          </w:p>
        </w:tc>
        <w:tc>
          <w:tcPr>
            <w:tcW w:type="dxa" w:w="3214"/>
            <w:tcMar>
              <w:top w:type="dxa" w:w="60"/>
              <w:left w:type="dxa" w:w="90"/>
              <w:bottom w:type="dxa" w:w="60"/>
              <w:right w:type="dxa" w:w="90"/>
            </w:tcMar>
          </w:tcPr>
          <w:p>
            <w:r>
              <w:rPr>
                <w:sz w:val="18"/>
                <w:szCs w:val="18"/>
              </w:rPr>
              <w:t xml:space="preserve">FTC Consumer Sentinel; IdentityTheft.gov</w:t>
            </w:r>
          </w:p>
        </w:tc>
      </w:tr>
      <w:tr>
        <w:trPr>
          <w:tblHeader w:val="off"/>
        </w:trPr>
        <w:tc>
          <w:tcPr>
            <w:tcW w:type="dxa" w:w="3213"/>
            <w:tcMar>
              <w:top w:type="dxa" w:w="60"/>
              <w:left w:type="dxa" w:w="90"/>
              <w:bottom w:type="dxa" w:w="60"/>
              <w:right w:type="dxa" w:w="90"/>
            </w:tcMar>
          </w:tcPr>
          <w:p>
            <w:r>
              <w:rPr>
                <w:sz w:val="18"/>
                <w:szCs w:val="18"/>
              </w:rPr>
              <w:t xml:space="preserve">Tax compliance</w:t>
            </w:r>
          </w:p>
        </w:tc>
        <w:tc>
          <w:tcPr>
            <w:tcW w:type="dxa" w:w="3213"/>
            <w:tcMar>
              <w:top w:type="dxa" w:w="60"/>
              <w:left w:type="dxa" w:w="90"/>
              <w:bottom w:type="dxa" w:w="60"/>
              <w:right w:type="dxa" w:w="90"/>
            </w:tcMar>
          </w:tcPr>
          <w:p>
            <w:r>
              <w:rPr>
                <w:sz w:val="18"/>
                <w:szCs w:val="18"/>
              </w:rPr>
              <w:t xml:space="preserve">Helps ITIN and SSN filers organize records, use free VITA help and avoid fraudulent preparers</w:t>
            </w:r>
          </w:p>
        </w:tc>
        <w:tc>
          <w:tcPr>
            <w:tcW w:type="dxa" w:w="3214"/>
            <w:tcMar>
              <w:top w:type="dxa" w:w="60"/>
              <w:left w:type="dxa" w:w="90"/>
              <w:bottom w:type="dxa" w:w="60"/>
              <w:right w:type="dxa" w:w="90"/>
            </w:tcMar>
          </w:tcPr>
          <w:p>
            <w:r>
              <w:rPr>
                <w:sz w:val="18"/>
                <w:szCs w:val="18"/>
              </w:rPr>
              <w:t xml:space="preserve">IRS (ITIN, gig economy, VITA/TCE)</w:t>
            </w:r>
          </w:p>
        </w:tc>
      </w:tr>
      <w:tr>
        <w:trPr>
          <w:tblHeader w:val="off"/>
        </w:trPr>
        <w:tc>
          <w:tcPr>
            <w:tcW w:type="dxa" w:w="3213"/>
            <w:tcMar>
              <w:top w:type="dxa" w:w="60"/>
              <w:left w:type="dxa" w:w="90"/>
              <w:bottom w:type="dxa" w:w="60"/>
              <w:right w:type="dxa" w:w="90"/>
            </w:tcMar>
          </w:tcPr>
          <w:p>
            <w:r>
              <w:rPr>
                <w:sz w:val="18"/>
                <w:szCs w:val="18"/>
              </w:rPr>
              <w:t xml:space="preserve">Formal-channel remittances</w:t>
            </w:r>
          </w:p>
        </w:tc>
        <w:tc>
          <w:tcPr>
            <w:tcW w:type="dxa" w:w="3213"/>
            <w:tcMar>
              <w:top w:type="dxa" w:w="60"/>
              <w:left w:type="dxa" w:w="90"/>
              <w:bottom w:type="dxa" w:w="60"/>
              <w:right w:type="dxa" w:w="90"/>
            </w:tcMar>
          </w:tcPr>
          <w:p>
            <w:r>
              <w:rPr>
                <w:sz w:val="18"/>
                <w:szCs w:val="18"/>
              </w:rPr>
              <w:t xml:space="preserve">Encourages regulated, licensed providers and documented transactions over informal channels, supporting anti-money-laundering objectives</w:t>
            </w:r>
          </w:p>
        </w:tc>
        <w:tc>
          <w:tcPr>
            <w:tcW w:type="dxa" w:w="3214"/>
            <w:tcMar>
              <w:top w:type="dxa" w:w="60"/>
              <w:left w:type="dxa" w:w="90"/>
              <w:bottom w:type="dxa" w:w="60"/>
              <w:right w:type="dxa" w:w="90"/>
            </w:tcMar>
          </w:tcPr>
          <w:p>
            <w:r>
              <w:rPr>
                <w:sz w:val="18"/>
                <w:szCs w:val="18"/>
              </w:rPr>
              <w:t xml:space="preserve">FinCEN / Bank Secrecy Act framework; CFPB Remittance Rule</w:t>
            </w:r>
          </w:p>
        </w:tc>
      </w:tr>
      <w:tr>
        <w:trPr>
          <w:tblHeader w:val="off"/>
        </w:trPr>
        <w:tc>
          <w:tcPr>
            <w:tcW w:type="dxa" w:w="3213"/>
            <w:tcMar>
              <w:top w:type="dxa" w:w="60"/>
              <w:left w:type="dxa" w:w="90"/>
              <w:bottom w:type="dxa" w:w="60"/>
              <w:right w:type="dxa" w:w="90"/>
            </w:tcMar>
          </w:tcPr>
          <w:p>
            <w:r>
              <w:rPr>
                <w:sz w:val="18"/>
                <w:szCs w:val="18"/>
              </w:rPr>
              <w:t xml:space="preserve">Financial literacy</w:t>
            </w:r>
          </w:p>
        </w:tc>
        <w:tc>
          <w:tcPr>
            <w:tcW w:type="dxa" w:w="3213"/>
            <w:tcMar>
              <w:top w:type="dxa" w:w="60"/>
              <w:left w:type="dxa" w:w="90"/>
              <w:bottom w:type="dxa" w:w="60"/>
              <w:right w:type="dxa" w:w="90"/>
            </w:tcMar>
          </w:tcPr>
          <w:p>
            <w:r>
              <w:rPr>
                <w:sz w:val="18"/>
                <w:szCs w:val="18"/>
              </w:rPr>
              <w:t xml:space="preserve">Implements the goals of the national strategy at scale for an underserved population</w:t>
            </w:r>
          </w:p>
        </w:tc>
        <w:tc>
          <w:tcPr>
            <w:tcW w:type="dxa" w:w="3214"/>
            <w:tcMar>
              <w:top w:type="dxa" w:w="60"/>
              <w:left w:type="dxa" w:w="90"/>
              <w:bottom w:type="dxa" w:w="60"/>
              <w:right w:type="dxa" w:w="90"/>
            </w:tcMar>
          </w:tcPr>
          <w:p>
            <w:r>
              <w:rPr>
                <w:sz w:val="18"/>
                <w:szCs w:val="18"/>
              </w:rPr>
              <w:t xml:space="preserve">U.S. National Strategy for Financial Literacy (2020), Financial Literacy and Education Commission</w:t>
            </w:r>
          </w:p>
        </w:tc>
      </w:tr>
      <w:tr>
        <w:trPr>
          <w:tblHeader w:val="off"/>
        </w:trPr>
        <w:tc>
          <w:tcPr>
            <w:tcW w:type="dxa" w:w="3213"/>
            <w:tcMar>
              <w:top w:type="dxa" w:w="60"/>
              <w:left w:type="dxa" w:w="90"/>
              <w:bottom w:type="dxa" w:w="60"/>
              <w:right w:type="dxa" w:w="90"/>
            </w:tcMar>
          </w:tcPr>
          <w:p>
            <w:r>
              <w:rPr>
                <w:sz w:val="18"/>
                <w:szCs w:val="18"/>
              </w:rPr>
              <w:t xml:space="preserve">Retirement and economic security</w:t>
            </w:r>
          </w:p>
        </w:tc>
        <w:tc>
          <w:tcPr>
            <w:tcW w:type="dxa" w:w="3213"/>
            <w:tcMar>
              <w:top w:type="dxa" w:w="60"/>
              <w:left w:type="dxa" w:w="90"/>
              <w:bottom w:type="dxa" w:w="60"/>
              <w:right w:type="dxa" w:w="90"/>
            </w:tcMar>
          </w:tcPr>
          <w:p>
            <w:r>
              <w:rPr>
                <w:sz w:val="18"/>
                <w:szCs w:val="18"/>
              </w:rPr>
              <w:t xml:space="preserve">Introduces workplace and state retirement programs, beneficiary designations and continuity planning</w:t>
            </w:r>
          </w:p>
        </w:tc>
        <w:tc>
          <w:tcPr>
            <w:tcW w:type="dxa" w:w="3214"/>
            <w:tcMar>
              <w:top w:type="dxa" w:w="60"/>
              <w:left w:type="dxa" w:w="90"/>
              <w:bottom w:type="dxa" w:w="60"/>
              <w:right w:type="dxa" w:w="90"/>
            </w:tcMar>
          </w:tcPr>
          <w:p>
            <w:r>
              <w:rPr>
                <w:sz w:val="18"/>
                <w:szCs w:val="18"/>
              </w:rPr>
              <w:t xml:space="preserve">DOL; SEC Investor.gov; state auto-IRA programs</w:t>
            </w:r>
          </w:p>
        </w:tc>
      </w:tr>
    </w:tbl>
    <w:p/>
    <w:p>
      <w:pPr>
        <w:pStyle w:val="Heading3"/>
      </w:pPr>
      <w:r>
        <w:t xml:space="preserve">3.2 Indicators of scale (to verify and cite with sources and years)</w:t>
      </w:r>
    </w:p>
    <w:p>
      <w:pPr>
        <w:pStyle w:val="ListParagraph"/>
        <w:numPr>
          <w:ilvl w:val="0"/>
          <w:numId w:val="2"/>
        </w:numPr>
      </w:pPr>
      <w:r>
        <w:t xml:space="preserve">Share of U.S. households that are unbanked, and the higher rate among Hispanic households (FDIC 2023 survey).</w:t>
      </w:r>
    </w:p>
    <w:p>
      <w:pPr>
        <w:pStyle w:val="ListParagraph"/>
        <w:numPr>
          <w:ilvl w:val="0"/>
          <w:numId w:val="2"/>
        </w:numPr>
      </w:pPr>
      <w:r>
        <w:t xml:space="preserve">Annual remittances from the United States to Mexico and Latin America (Banco de México; World Bank).</w:t>
      </w:r>
    </w:p>
    <w:p>
      <w:pPr>
        <w:pStyle w:val="ListParagraph"/>
        <w:numPr>
          <w:ilvl w:val="0"/>
          <w:numId w:val="2"/>
        </w:numPr>
      </w:pPr>
      <w:r>
        <w:t xml:space="preserve">Reported consumer fraud losses nationally (FTC Consumer Sentinel Data Book 2024).</w:t>
      </w:r>
    </w:p>
    <w:p>
      <w:pPr>
        <w:pStyle w:val="ListParagraph"/>
        <w:numPr>
          <w:ilvl w:val="0"/>
          <w:numId w:val="2"/>
        </w:numPr>
      </w:pPr>
      <w:r>
        <w:t xml:space="preserve">Taxes paid by ITIN filers and immigrant households (IRS data; independent research such as ITEP).</w:t>
      </w:r>
    </w:p>
    <w:p>
      <w:pPr>
        <w:pStyle w:val="ListParagraph"/>
        <w:numPr>
          <w:ilvl w:val="0"/>
          <w:numId w:val="2"/>
        </w:numPr>
      </w:pPr>
      <w:r>
        <w:t xml:space="preserve">Immigrant population in the five rollout states (Census Bureau, American Community Survey).</w:t>
      </w:r>
    </w:p>
    <w:p>
      <w:pPr>
        <w:pStyle w:val="Heading3"/>
      </w:pPr>
      <w:r>
        <w:t xml:space="preserve">3.3 Why the impact is national, not local</w:t>
      </w:r>
    </w:p>
    <w:p>
      <w:pPr>
        <w:pStyle w:val="ListParagraph"/>
        <w:numPr>
          <w:ilvl w:val="0"/>
          <w:numId w:val="2"/>
        </w:numPr>
      </w:pPr>
      <w:r>
        <w:t xml:space="preserve">Multi-state design with a replicable federal core and a documented state-module template.</w:t>
      </w:r>
    </w:p>
    <w:p>
      <w:pPr>
        <w:pStyle w:val="ListParagraph"/>
        <w:numPr>
          <w:ilvl w:val="0"/>
          <w:numId w:val="2"/>
        </w:numPr>
      </w:pPr>
      <w:r>
        <w:t xml:space="preserve">Distribution through national networks (credit-union associations, Bank On coalitions, national Latino organizations, consular networks across the country).</w:t>
      </w:r>
    </w:p>
    <w:p>
      <w:pPr>
        <w:pStyle w:val="ListParagraph"/>
        <w:numPr>
          <w:ilvl w:val="0"/>
          <w:numId w:val="2"/>
        </w:numPr>
      </w:pPr>
      <w:r>
        <w:t xml:space="preserve">Outcomes measured with national instruments (CFPB Financial Well-Being Scale and questions comparable with the FDIC and FINRA National Financial Capability Study). Results can therefore be compared with national benchmarks and reused by other programs.</w:t>
      </w:r>
    </w:p>
    <w:p>
      <w:pPr>
        <w:pStyle w:val="ListParagraph"/>
        <w:numPr>
          <w:ilvl w:val="0"/>
          <w:numId w:val="2"/>
        </w:numPr>
      </w:pPr>
      <w:r>
        <w:t xml:space="preserve">Open publication of the curriculum framework and annual impact reports.</w:t>
      </w:r>
    </w:p>
    <w:p>
      <w:pPr>
        <w:pStyle w:val="Heading2"/>
      </w:pPr>
      <w:r>
        <w:t xml:space="preserve">4. Well positioned to advance the endeavor (Prong 2)</w:t>
      </w:r>
    </w:p>
    <w:p>
      <w:pPr>
        <w:pStyle w:val="Heading3"/>
      </w:pPr>
      <w:r>
        <w:t xml:space="preserve">4.1 Relevant track record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Experience</w:t>
            </w:r>
          </w:p>
        </w:tc>
        <w:tc>
          <w:tcPr>
            <w:tcW w:type="dxa" w:w="2410"/>
            <w:shd w:fill="1F5C4A" w:color="auto" w:val="clear"/>
            <w:tcMar>
              <w:top w:type="dxa" w:w="60"/>
              <w:left w:type="dxa" w:w="90"/>
              <w:bottom w:type="dxa" w:w="60"/>
              <w:right w:type="dxa" w:w="90"/>
            </w:tcMar>
          </w:tcPr>
          <w:p>
            <w:r>
              <w:rPr>
                <w:b/>
                <w:bCs/>
                <w:color w:val="FFFFFF"/>
                <w:sz w:val="18"/>
                <w:szCs w:val="18"/>
              </w:rPr>
              <w:t xml:space="preserve">Relevance</w:t>
            </w:r>
          </w:p>
        </w:tc>
        <w:tc>
          <w:tcPr>
            <w:tcW w:type="dxa" w:w="2410"/>
            <w:shd w:fill="1F5C4A" w:color="auto" w:val="clear"/>
            <w:tcMar>
              <w:top w:type="dxa" w:w="60"/>
              <w:left w:type="dxa" w:w="90"/>
              <w:bottom w:type="dxa" w:w="60"/>
              <w:right w:type="dxa" w:w="90"/>
            </w:tcMar>
          </w:tcPr>
          <w:p>
            <w:r>
              <w:rPr>
                <w:b/>
                <w:bCs/>
                <w:color w:val="FFFFFF"/>
                <w:sz w:val="18"/>
                <w:szCs w:val="18"/>
              </w:rPr>
              <w:t xml:space="preserve">Evidence available</w:t>
            </w:r>
          </w:p>
        </w:tc>
        <w:tc>
          <w:tcPr>
            <w:tcW w:type="dxa" w:w="2410"/>
            <w:shd w:fill="1F5C4A" w:color="auto" w:val="clear"/>
            <w:tcMar>
              <w:top w:type="dxa" w:w="60"/>
              <w:left w:type="dxa" w:w="90"/>
              <w:bottom w:type="dxa" w:w="60"/>
              <w:right w:type="dxa" w:w="90"/>
            </w:tcMar>
          </w:tcPr>
          <w:p>
            <w:r>
              <w:rPr>
                <w:b/>
                <w:bCs/>
                <w:color w:val="FFFFFF"/>
                <w:sz w:val="18"/>
                <w:szCs w:val="18"/>
              </w:rPr>
              <w:t xml:space="preserve">Evidence to obtain</w:t>
            </w:r>
          </w:p>
        </w:tc>
      </w:tr>
      <w:tr>
        <w:trPr>
          <w:tblHeader w:val="off"/>
        </w:trPr>
        <w:tc>
          <w:tcPr>
            <w:tcW w:type="dxa" w:w="2410"/>
            <w:tcMar>
              <w:top w:type="dxa" w:w="60"/>
              <w:left w:type="dxa" w:w="90"/>
              <w:bottom w:type="dxa" w:w="60"/>
              <w:right w:type="dxa" w:w="90"/>
            </w:tcMar>
          </w:tcPr>
          <w:p>
            <w:r>
              <w:rPr>
                <w:sz w:val="18"/>
                <w:szCs w:val="18"/>
              </w:rPr>
              <w:t xml:space="preserve">Deputy Director General for Financial Inclusion, Banco del Bienestar (national development bank), 2019–2020</w:t>
            </w:r>
          </w:p>
        </w:tc>
        <w:tc>
          <w:tcPr>
            <w:tcW w:type="dxa" w:w="2410"/>
            <w:tcMar>
              <w:top w:type="dxa" w:w="60"/>
              <w:left w:type="dxa" w:w="90"/>
              <w:bottom w:type="dxa" w:w="60"/>
              <w:right w:type="dxa" w:w="90"/>
            </w:tcMar>
          </w:tcPr>
          <w:p>
            <w:r>
              <w:rPr>
                <w:sz w:val="18"/>
                <w:szCs w:val="18"/>
              </w:rPr>
              <w:t xml:space="preserve">Led financial-inclusion strategy, remittance strategy and financial-education programs for underserved households; participated in national financial-education committee</w:t>
            </w:r>
          </w:p>
        </w:tc>
        <w:tc>
          <w:tcPr>
            <w:tcW w:type="dxa" w:w="2410"/>
            <w:tcMar>
              <w:top w:type="dxa" w:w="60"/>
              <w:left w:type="dxa" w:w="90"/>
              <w:bottom w:type="dxa" w:w="60"/>
              <w:right w:type="dxa" w:w="90"/>
            </w:tcMar>
          </w:tcPr>
          <w:p>
            <w:r>
              <w:rPr>
                <w:sz w:val="18"/>
                <w:szCs w:val="18"/>
              </w:rPr>
              <w:t xml:space="preserve">CV; institutional records</w:t>
            </w:r>
          </w:p>
        </w:tc>
        <w:tc>
          <w:tcPr>
            <w:tcW w:type="dxa" w:w="2410"/>
            <w:tcMar>
              <w:top w:type="dxa" w:w="60"/>
              <w:left w:type="dxa" w:w="90"/>
              <w:bottom w:type="dxa" w:w="60"/>
              <w:right w:type="dxa" w:w="90"/>
            </w:tcMar>
          </w:tcPr>
          <w:p>
            <w:r>
              <w:rPr>
                <w:sz w:val="18"/>
                <w:szCs w:val="18"/>
              </w:rPr>
              <w:t xml:space="preserve">Letter from a former senior official; figures on programs led</w:t>
            </w:r>
          </w:p>
        </w:tc>
      </w:tr>
      <w:tr>
        <w:trPr>
          <w:tblHeader w:val="off"/>
        </w:trPr>
        <w:tc>
          <w:tcPr>
            <w:tcW w:type="dxa" w:w="2410"/>
            <w:tcMar>
              <w:top w:type="dxa" w:w="60"/>
              <w:left w:type="dxa" w:w="90"/>
              <w:bottom w:type="dxa" w:w="60"/>
              <w:right w:type="dxa" w:w="90"/>
            </w:tcMar>
          </w:tcPr>
          <w:p>
            <w:r>
              <w:rPr>
                <w:sz w:val="18"/>
                <w:szCs w:val="18"/>
              </w:rPr>
              <w:t xml:space="preserve">PATMIR program lead (2019)</w:t>
            </w:r>
          </w:p>
        </w:tc>
        <w:tc>
          <w:tcPr>
            <w:tcW w:type="dxa" w:w="2410"/>
            <w:tcMar>
              <w:top w:type="dxa" w:w="60"/>
              <w:left w:type="dxa" w:w="90"/>
              <w:bottom w:type="dxa" w:w="60"/>
              <w:right w:type="dxa" w:w="90"/>
            </w:tcMar>
          </w:tcPr>
          <w:p>
            <w:r>
              <w:rPr>
                <w:sz w:val="18"/>
                <w:szCs w:val="18"/>
              </w:rPr>
              <w:t xml:space="preserve">National program strengthening cooperative finance institutions serving rural and low-income populations</w:t>
            </w:r>
          </w:p>
        </w:tc>
        <w:tc>
          <w:tcPr>
            <w:tcW w:type="dxa" w:w="2410"/>
            <w:tcMar>
              <w:top w:type="dxa" w:w="60"/>
              <w:left w:type="dxa" w:w="90"/>
              <w:bottom w:type="dxa" w:w="60"/>
              <w:right w:type="dxa" w:w="90"/>
            </w:tcMar>
          </w:tcPr>
          <w:p>
            <w:r>
              <w:rPr>
                <w:sz w:val="18"/>
                <w:szCs w:val="18"/>
              </w:rPr>
              <w:t xml:space="preserve">Public program pages (Banco del Bienestar; Sparkassenstiftung)</w:t>
            </w:r>
          </w:p>
        </w:tc>
        <w:tc>
          <w:tcPr>
            <w:tcW w:type="dxa" w:w="2410"/>
            <w:tcMar>
              <w:top w:type="dxa" w:w="60"/>
              <w:left w:type="dxa" w:w="90"/>
              <w:bottom w:type="dxa" w:w="60"/>
              <w:right w:type="dxa" w:w="90"/>
            </w:tcMar>
          </w:tcPr>
          <w:p>
            <w:r>
              <w:rPr>
                <w:sz w:val="18"/>
                <w:szCs w:val="18"/>
              </w:rPr>
              <w:t xml:space="preserve">Program figures; letter from Sparkassenstiftung or program partner</w:t>
            </w:r>
          </w:p>
        </w:tc>
      </w:tr>
      <w:tr>
        <w:trPr>
          <w:tblHeader w:val="off"/>
        </w:trPr>
        <w:tc>
          <w:tcPr>
            <w:tcW w:type="dxa" w:w="2410"/>
            <w:tcMar>
              <w:top w:type="dxa" w:w="60"/>
              <w:left w:type="dxa" w:w="90"/>
              <w:bottom w:type="dxa" w:w="60"/>
              <w:right w:type="dxa" w:w="90"/>
            </w:tcMar>
          </w:tcPr>
          <w:p>
            <w:r>
              <w:rPr>
                <w:sz w:val="18"/>
                <w:szCs w:val="18"/>
              </w:rPr>
              <w:t xml:space="preserve">Contributor to Mexico's National Financial Inclusion Policy (PNIF 2020) and its consultation rounds</w:t>
            </w:r>
          </w:p>
        </w:tc>
        <w:tc>
          <w:tcPr>
            <w:tcW w:type="dxa" w:w="2410"/>
            <w:tcMar>
              <w:top w:type="dxa" w:w="60"/>
              <w:left w:type="dxa" w:w="90"/>
              <w:bottom w:type="dxa" w:w="60"/>
              <w:right w:type="dxa" w:w="90"/>
            </w:tcMar>
          </w:tcPr>
          <w:p>
            <w:r>
              <w:rPr>
                <w:sz w:val="18"/>
                <w:szCs w:val="18"/>
              </w:rPr>
              <w:t xml:space="preserve">Direct participation in national financial-inclusion policy design</w:t>
            </w:r>
          </w:p>
        </w:tc>
        <w:tc>
          <w:tcPr>
            <w:tcW w:type="dxa" w:w="2410"/>
            <w:tcMar>
              <w:top w:type="dxa" w:w="60"/>
              <w:left w:type="dxa" w:w="90"/>
              <w:bottom w:type="dxa" w:w="60"/>
              <w:right w:type="dxa" w:w="90"/>
            </w:tcMar>
          </w:tcPr>
          <w:p>
            <w:r>
              <w:rPr>
                <w:sz w:val="18"/>
                <w:szCs w:val="18"/>
              </w:rPr>
              <w:t xml:space="preserve">Official policy documents (name to be located and captured)</w:t>
            </w:r>
          </w:p>
        </w:tc>
        <w:tc>
          <w:tcPr>
            <w:tcW w:type="dxa" w:w="2410"/>
            <w:tcMar>
              <w:top w:type="dxa" w:w="60"/>
              <w:left w:type="dxa" w:w="90"/>
              <w:bottom w:type="dxa" w:w="60"/>
              <w:right w:type="dxa" w:w="90"/>
            </w:tcMar>
          </w:tcPr>
          <w:p>
            <w:r>
              <w:rPr>
                <w:sz w:val="18"/>
                <w:szCs w:val="18"/>
              </w:rPr>
              <w:t xml:space="preserve">Letter from a committee member</w:t>
            </w:r>
          </w:p>
        </w:tc>
      </w:tr>
      <w:tr>
        <w:trPr>
          <w:tblHeader w:val="off"/>
        </w:trPr>
        <w:tc>
          <w:tcPr>
            <w:tcW w:type="dxa" w:w="2410"/>
            <w:tcMar>
              <w:top w:type="dxa" w:w="60"/>
              <w:left w:type="dxa" w:w="90"/>
              <w:bottom w:type="dxa" w:w="60"/>
              <w:right w:type="dxa" w:w="90"/>
            </w:tcMar>
          </w:tcPr>
          <w:p>
            <w:r>
              <w:rPr>
                <w:sz w:val="18"/>
                <w:szCs w:val="18"/>
              </w:rPr>
              <w:t xml:space="preserve">Speaker: Binational Forum on Remittances and Financial Inclusion for Migrants</w:t>
            </w:r>
          </w:p>
        </w:tc>
        <w:tc>
          <w:tcPr>
            <w:tcW w:type="dxa" w:w="2410"/>
            <w:tcMar>
              <w:top w:type="dxa" w:w="60"/>
              <w:left w:type="dxa" w:w="90"/>
              <w:bottom w:type="dxa" w:w="60"/>
              <w:right w:type="dxa" w:w="90"/>
            </w:tcMar>
          </w:tcPr>
          <w:p>
            <w:r>
              <w:rPr>
                <w:sz w:val="18"/>
                <w:szCs w:val="18"/>
              </w:rPr>
              <w:t xml:space="preserve">Expertise specific to migrants and remittances</w:t>
            </w:r>
          </w:p>
        </w:tc>
        <w:tc>
          <w:tcPr>
            <w:tcW w:type="dxa" w:w="2410"/>
            <w:tcMar>
              <w:top w:type="dxa" w:w="60"/>
              <w:left w:type="dxa" w:w="90"/>
              <w:bottom w:type="dxa" w:w="60"/>
              <w:right w:type="dxa" w:w="90"/>
            </w:tcMar>
          </w:tcPr>
          <w:p>
            <w:r>
              <w:rPr>
                <w:sz w:val="18"/>
                <w:szCs w:val="18"/>
              </w:rPr>
              <w:t xml:space="preserve">Official participant list and results summary (gob.mx)</w:t>
            </w:r>
          </w:p>
        </w:tc>
        <w:tc>
          <w:tcPr>
            <w:tcW w:type="dxa" w:w="2410"/>
            <w:tcMar>
              <w:top w:type="dxa" w:w="60"/>
              <w:left w:type="dxa" w:w="90"/>
              <w:bottom w:type="dxa" w:w="60"/>
              <w:right w:type="dxa" w:w="90"/>
            </w:tcMar>
          </w:tcPr>
          <w:p>
            <w:r>
              <w:rPr>
                <w:sz w:val="18"/>
                <w:szCs w:val="18"/>
              </w:rPr>
              <w:t xml:space="preserve">Organizer letter</w:t>
            </w:r>
          </w:p>
        </w:tc>
      </w:tr>
      <w:tr>
        <w:trPr>
          <w:tblHeader w:val="off"/>
        </w:trPr>
        <w:tc>
          <w:tcPr>
            <w:tcW w:type="dxa" w:w="2410"/>
            <w:tcMar>
              <w:top w:type="dxa" w:w="60"/>
              <w:left w:type="dxa" w:w="90"/>
              <w:bottom w:type="dxa" w:w="60"/>
              <w:right w:type="dxa" w:w="90"/>
            </w:tcMar>
          </w:tcPr>
          <w:p>
            <w:r>
              <w:rPr>
                <w:sz w:val="18"/>
                <w:szCs w:val="18"/>
              </w:rPr>
              <w:t xml:space="preserve">Speaker: first Open Finance conference in Mexico (2020)</w:t>
            </w:r>
          </w:p>
        </w:tc>
        <w:tc>
          <w:tcPr>
            <w:tcW w:type="dxa" w:w="2410"/>
            <w:tcMar>
              <w:top w:type="dxa" w:w="60"/>
              <w:left w:type="dxa" w:w="90"/>
              <w:bottom w:type="dxa" w:w="60"/>
              <w:right w:type="dxa" w:w="90"/>
            </w:tcMar>
          </w:tcPr>
          <w:p>
            <w:r>
              <w:rPr>
                <w:sz w:val="18"/>
                <w:szCs w:val="18"/>
              </w:rPr>
              <w:t xml:space="preserve">Fintech and open-finance expertise</w:t>
            </w:r>
          </w:p>
        </w:tc>
        <w:tc>
          <w:tcPr>
            <w:tcW w:type="dxa" w:w="2410"/>
            <w:tcMar>
              <w:top w:type="dxa" w:w="60"/>
              <w:left w:type="dxa" w:w="90"/>
              <w:bottom w:type="dxa" w:w="60"/>
              <w:right w:type="dxa" w:w="90"/>
            </w:tcMar>
          </w:tcPr>
          <w:p>
            <w:r>
              <w:rPr>
                <w:sz w:val="18"/>
                <w:szCs w:val="18"/>
              </w:rPr>
              <w:t xml:space="preserve">Speaker page; video recording</w:t>
            </w:r>
          </w:p>
        </w:tc>
        <w:tc>
          <w:tcPr>
            <w:tcW w:type="dxa" w:w="2410"/>
            <w:tcMar>
              <w:top w:type="dxa" w:w="60"/>
              <w:left w:type="dxa" w:w="90"/>
              <w:bottom w:type="dxa" w:w="60"/>
              <w:right w:type="dxa" w:w="90"/>
            </w:tcMar>
          </w:tcPr>
          <w:p>
            <w:r>
              <w:rPr>
                <w:sz w:val="18"/>
                <w:szCs w:val="18"/>
              </w:rPr>
              <w:t xml:space="preserve">Organizer letter</w:t>
            </w:r>
          </w:p>
        </w:tc>
      </w:tr>
      <w:tr>
        <w:trPr>
          <w:tblHeader w:val="off"/>
        </w:trPr>
        <w:tc>
          <w:tcPr>
            <w:tcW w:type="dxa" w:w="2410"/>
            <w:tcMar>
              <w:top w:type="dxa" w:w="60"/>
              <w:left w:type="dxa" w:w="90"/>
              <w:bottom w:type="dxa" w:w="60"/>
              <w:right w:type="dxa" w:w="90"/>
            </w:tcMar>
          </w:tcPr>
          <w:p>
            <w:r>
              <w:rPr>
                <w:sz w:val="18"/>
                <w:szCs w:val="18"/>
              </w:rPr>
              <w:t xml:space="preserve">Speaker: First Social Economy Forum (Chihuahua, 2019); National Cooperativism Forum (INAES, 2019); Inmujeres (2019–2020)</w:t>
            </w:r>
          </w:p>
        </w:tc>
        <w:tc>
          <w:tcPr>
            <w:tcW w:type="dxa" w:w="2410"/>
            <w:tcMar>
              <w:top w:type="dxa" w:w="60"/>
              <w:left w:type="dxa" w:w="90"/>
              <w:bottom w:type="dxa" w:w="60"/>
              <w:right w:type="dxa" w:w="90"/>
            </w:tcMar>
          </w:tcPr>
          <w:p>
            <w:r>
              <w:rPr>
                <w:sz w:val="18"/>
                <w:szCs w:val="18"/>
              </w:rPr>
              <w:t xml:space="preserve">Cooperative finance and women's economic empowerment</w:t>
            </w:r>
          </w:p>
        </w:tc>
        <w:tc>
          <w:tcPr>
            <w:tcW w:type="dxa" w:w="2410"/>
            <w:tcMar>
              <w:top w:type="dxa" w:w="60"/>
              <w:left w:type="dxa" w:w="90"/>
              <w:bottom w:type="dxa" w:w="60"/>
              <w:right w:type="dxa" w:w="90"/>
            </w:tcMar>
          </w:tcPr>
          <w:p>
            <w:r>
              <w:rPr>
                <w:sz w:val="18"/>
                <w:szCs w:val="18"/>
              </w:rPr>
              <w:t xml:space="preserve">Presentation file; online video</w:t>
            </w:r>
          </w:p>
        </w:tc>
        <w:tc>
          <w:tcPr>
            <w:tcW w:type="dxa" w:w="2410"/>
            <w:tcMar>
              <w:top w:type="dxa" w:w="60"/>
              <w:left w:type="dxa" w:w="90"/>
              <w:bottom w:type="dxa" w:w="60"/>
              <w:right w:type="dxa" w:w="90"/>
            </w:tcMar>
          </w:tcPr>
          <w:p>
            <w:r>
              <w:rPr>
                <w:sz w:val="18"/>
                <w:szCs w:val="18"/>
              </w:rPr>
              <w:t xml:space="preserve">Programs, archived pages, organizer letters</w:t>
            </w:r>
          </w:p>
        </w:tc>
      </w:tr>
      <w:tr>
        <w:trPr>
          <w:tblHeader w:val="off"/>
        </w:trPr>
        <w:tc>
          <w:tcPr>
            <w:tcW w:type="dxa" w:w="2410"/>
            <w:tcMar>
              <w:top w:type="dxa" w:w="60"/>
              <w:left w:type="dxa" w:w="90"/>
              <w:bottom w:type="dxa" w:w="60"/>
              <w:right w:type="dxa" w:w="90"/>
            </w:tcMar>
          </w:tcPr>
          <w:p>
            <w:r>
              <w:rPr>
                <w:sz w:val="18"/>
                <w:szCs w:val="18"/>
              </w:rPr>
              <w:t xml:space="preserve">Founder, Desarrolla Talento (2020–present)</w:t>
            </w:r>
          </w:p>
        </w:tc>
        <w:tc>
          <w:tcPr>
            <w:tcW w:type="dxa" w:w="2410"/>
            <w:tcMar>
              <w:top w:type="dxa" w:w="60"/>
              <w:left w:type="dxa" w:w="90"/>
              <w:bottom w:type="dxa" w:w="60"/>
              <w:right w:type="dxa" w:w="90"/>
            </w:tcMar>
          </w:tcPr>
          <w:p>
            <w:r>
              <w:rPr>
                <w:sz w:val="18"/>
                <w:szCs w:val="18"/>
              </w:rPr>
              <w:t xml:space="preserve">Designs and delivers online financial-education programs (financial system, personal finance, women's financial empowerment, fintech, open banking, UX)</w:t>
            </w:r>
          </w:p>
        </w:tc>
        <w:tc>
          <w:tcPr>
            <w:tcW w:type="dxa" w:w="2410"/>
            <w:tcMar>
              <w:top w:type="dxa" w:w="60"/>
              <w:left w:type="dxa" w:w="90"/>
              <w:bottom w:type="dxa" w:w="60"/>
              <w:right w:type="dxa" w:w="90"/>
            </w:tcMar>
          </w:tcPr>
          <w:p>
            <w:r>
              <w:rPr>
                <w:sz w:val="18"/>
                <w:szCs w:val="18"/>
              </w:rPr>
              <w:t xml:space="preserve">Course catalog</w:t>
            </w:r>
          </w:p>
        </w:tc>
        <w:tc>
          <w:tcPr>
            <w:tcW w:type="dxa" w:w="2410"/>
            <w:tcMar>
              <w:top w:type="dxa" w:w="60"/>
              <w:left w:type="dxa" w:w="90"/>
              <w:bottom w:type="dxa" w:w="60"/>
              <w:right w:type="dxa" w:w="90"/>
            </w:tcMar>
          </w:tcPr>
          <w:p>
            <w:r>
              <w:rPr>
                <w:sz w:val="18"/>
                <w:szCs w:val="18"/>
              </w:rPr>
              <w:t xml:space="preserve">Enrollment and outcome data as the platform grows</w:t>
            </w:r>
          </w:p>
        </w:tc>
      </w:tr>
      <w:tr>
        <w:trPr>
          <w:tblHeader w:val="off"/>
        </w:trPr>
        <w:tc>
          <w:tcPr>
            <w:tcW w:type="dxa" w:w="2410"/>
            <w:tcMar>
              <w:top w:type="dxa" w:w="60"/>
              <w:left w:type="dxa" w:w="90"/>
              <w:bottom w:type="dxa" w:w="60"/>
              <w:right w:type="dxa" w:w="90"/>
            </w:tcMar>
          </w:tcPr>
          <w:p>
            <w:r>
              <w:rPr>
                <w:sz w:val="18"/>
                <w:szCs w:val="18"/>
              </w:rPr>
              <w:t xml:space="preserve">University faculty: UNAM (graduate, 2016–present), Tecnológico de Monterrey (2022–2025), Anáhuac Online (graduate, 2021–present)</w:t>
            </w:r>
          </w:p>
        </w:tc>
        <w:tc>
          <w:tcPr>
            <w:tcW w:type="dxa" w:w="2410"/>
            <w:tcMar>
              <w:top w:type="dxa" w:w="60"/>
              <w:left w:type="dxa" w:w="90"/>
              <w:bottom w:type="dxa" w:w="60"/>
              <w:right w:type="dxa" w:w="90"/>
            </w:tcMar>
          </w:tcPr>
          <w:p>
            <w:r>
              <w:rPr>
                <w:sz w:val="18"/>
                <w:szCs w:val="18"/>
              </w:rPr>
              <w:t xml:space="preserve">Nearly a decade of university teaching in finance, risk and investments</w:t>
            </w:r>
          </w:p>
        </w:tc>
        <w:tc>
          <w:tcPr>
            <w:tcW w:type="dxa" w:w="2410"/>
            <w:tcMar>
              <w:top w:type="dxa" w:w="60"/>
              <w:left w:type="dxa" w:w="90"/>
              <w:bottom w:type="dxa" w:w="60"/>
              <w:right w:type="dxa" w:w="90"/>
            </w:tcMar>
          </w:tcPr>
          <w:p>
            <w:r>
              <w:rPr>
                <w:sz w:val="18"/>
                <w:szCs w:val="18"/>
              </w:rPr>
              <w:t xml:space="preserve">Institutional records</w:t>
            </w:r>
          </w:p>
        </w:tc>
        <w:tc>
          <w:tcPr>
            <w:tcW w:type="dxa" w:w="2410"/>
            <w:tcMar>
              <w:top w:type="dxa" w:w="60"/>
              <w:left w:type="dxa" w:w="90"/>
              <w:bottom w:type="dxa" w:w="60"/>
              <w:right w:type="dxa" w:w="90"/>
            </w:tcMar>
          </w:tcPr>
          <w:p>
            <w:r>
              <w:rPr>
                <w:sz w:val="18"/>
                <w:szCs w:val="18"/>
              </w:rPr>
              <w:t xml:space="preserve">Faculty letters</w:t>
            </w:r>
          </w:p>
        </w:tc>
      </w:tr>
      <w:tr>
        <w:trPr>
          <w:tblHeader w:val="off"/>
        </w:trPr>
        <w:tc>
          <w:tcPr>
            <w:tcW w:type="dxa" w:w="2410"/>
            <w:tcMar>
              <w:top w:type="dxa" w:w="60"/>
              <w:left w:type="dxa" w:w="90"/>
              <w:bottom w:type="dxa" w:w="60"/>
              <w:right w:type="dxa" w:w="90"/>
            </w:tcMar>
          </w:tcPr>
          <w:p>
            <w:r>
              <w:rPr>
                <w:sz w:val="18"/>
                <w:szCs w:val="18"/>
              </w:rPr>
              <w:t xml:space="preserve">Wealth management, risk and compliance roles: Scotiabank, BBVA Bancomer, SURA, Asigna (MexDer), Newport Capital</w:t>
            </w:r>
          </w:p>
        </w:tc>
        <w:tc>
          <w:tcPr>
            <w:tcW w:type="dxa" w:w="2410"/>
            <w:tcMar>
              <w:top w:type="dxa" w:w="60"/>
              <w:left w:type="dxa" w:w="90"/>
              <w:bottom w:type="dxa" w:w="60"/>
              <w:right w:type="dxa" w:w="90"/>
            </w:tcMar>
          </w:tcPr>
          <w:p>
            <w:r>
              <w:rPr>
                <w:sz w:val="18"/>
                <w:szCs w:val="18"/>
              </w:rPr>
              <w:t xml:space="preserve">Deep product, regulatory and compliance knowledge needed for an accurate, defensible comparison matrix</w:t>
            </w:r>
          </w:p>
        </w:tc>
        <w:tc>
          <w:tcPr>
            <w:tcW w:type="dxa" w:w="2410"/>
            <w:tcMar>
              <w:top w:type="dxa" w:w="60"/>
              <w:left w:type="dxa" w:w="90"/>
              <w:bottom w:type="dxa" w:w="60"/>
              <w:right w:type="dxa" w:w="90"/>
            </w:tcMar>
          </w:tcPr>
          <w:p>
            <w:r>
              <w:rPr>
                <w:sz w:val="18"/>
                <w:szCs w:val="18"/>
              </w:rPr>
              <w:t xml:space="preserve">Employment records</w:t>
            </w:r>
          </w:p>
        </w:tc>
        <w:tc>
          <w:tcPr>
            <w:tcW w:type="dxa" w:w="2410"/>
            <w:tcMar>
              <w:top w:type="dxa" w:w="60"/>
              <w:left w:type="dxa" w:w="90"/>
              <w:bottom w:type="dxa" w:w="60"/>
              <w:right w:type="dxa" w:w="90"/>
            </w:tcMar>
          </w:tcPr>
          <w:p>
            <w:r>
              <w:rPr>
                <w:sz w:val="18"/>
                <w:szCs w:val="18"/>
              </w:rPr>
              <w:t xml:space="preserve">Reference letters</w:t>
            </w:r>
          </w:p>
        </w:tc>
      </w:tr>
      <w:tr>
        <w:trPr>
          <w:tblHeader w:val="off"/>
        </w:trPr>
        <w:tc>
          <w:tcPr>
            <w:tcW w:type="dxa" w:w="2410"/>
            <w:tcMar>
              <w:top w:type="dxa" w:w="60"/>
              <w:left w:type="dxa" w:w="90"/>
              <w:bottom w:type="dxa" w:w="60"/>
              <w:right w:type="dxa" w:w="90"/>
            </w:tcMar>
          </w:tcPr>
          <w:p>
            <w:r>
              <w:rPr>
                <w:sz w:val="18"/>
                <w:szCs w:val="18"/>
              </w:rPr>
              <w:t xml:space="preserve">Instructional design and teaching certification</w:t>
            </w:r>
          </w:p>
        </w:tc>
        <w:tc>
          <w:tcPr>
            <w:tcW w:type="dxa" w:w="2410"/>
            <w:tcMar>
              <w:top w:type="dxa" w:w="60"/>
              <w:left w:type="dxa" w:w="90"/>
              <w:bottom w:type="dxa" w:w="60"/>
              <w:right w:type="dxa" w:w="90"/>
            </w:tcMar>
          </w:tcPr>
          <w:p>
            <w:r>
              <w:rPr>
                <w:sz w:val="18"/>
                <w:szCs w:val="18"/>
              </w:rPr>
              <w:t xml:space="preserve">Mexican federal CONOCER competency standard for instruction (to confirm: EC0217 or EC0301); online course development EC0366 (in progress)</w:t>
            </w:r>
          </w:p>
        </w:tc>
        <w:tc>
          <w:tcPr>
            <w:tcW w:type="dxa" w:w="2410"/>
            <w:tcMar>
              <w:top w:type="dxa" w:w="60"/>
              <w:left w:type="dxa" w:w="90"/>
              <w:bottom w:type="dxa" w:w="60"/>
              <w:right w:type="dxa" w:w="90"/>
            </w:tcMar>
          </w:tcPr>
          <w:p>
            <w:r>
              <w:rPr>
                <w:sz w:val="18"/>
                <w:szCs w:val="18"/>
              </w:rPr>
              <w:t xml:space="preserve">Certificates</w:t>
            </w:r>
          </w:p>
        </w:tc>
        <w:tc>
          <w:tcPr>
            <w:tcW w:type="dxa" w:w="2410"/>
            <w:tcMar>
              <w:top w:type="dxa" w:w="60"/>
              <w:left w:type="dxa" w:w="90"/>
              <w:bottom w:type="dxa" w:w="60"/>
              <w:right w:type="dxa" w:w="90"/>
            </w:tcMar>
          </w:tcPr>
          <w:p>
            <w:r>
              <w:rPr>
                <w:sz w:val="18"/>
                <w:szCs w:val="18"/>
              </w:rPr>
              <w:t xml:space="preserve">EC0366 certificate</w:t>
            </w:r>
          </w:p>
        </w:tc>
      </w:tr>
      <w:tr>
        <w:trPr>
          <w:tblHeader w:val="off"/>
        </w:trPr>
        <w:tc>
          <w:tcPr>
            <w:tcW w:type="dxa" w:w="2410"/>
            <w:tcMar>
              <w:top w:type="dxa" w:w="60"/>
              <w:left w:type="dxa" w:w="90"/>
              <w:bottom w:type="dxa" w:w="60"/>
              <w:right w:type="dxa" w:w="90"/>
            </w:tcMar>
          </w:tcPr>
          <w:p>
            <w:r>
              <w:rPr>
                <w:sz w:val="18"/>
                <w:szCs w:val="18"/>
              </w:rPr>
              <w:t xml:space="preserve">Master's in Education (Montessori, Waldorf, Reggio Emilia), 2025–2026; Montessori certification (expected 2027)</w:t>
            </w:r>
          </w:p>
        </w:tc>
        <w:tc>
          <w:tcPr>
            <w:tcW w:type="dxa" w:w="2410"/>
            <w:tcMar>
              <w:top w:type="dxa" w:w="60"/>
              <w:left w:type="dxa" w:w="90"/>
              <w:bottom w:type="dxa" w:w="60"/>
              <w:right w:type="dxa" w:w="90"/>
            </w:tcMar>
          </w:tcPr>
          <w:p>
            <w:r>
              <w:rPr>
                <w:sz w:val="18"/>
                <w:szCs w:val="18"/>
              </w:rPr>
              <w:t xml:space="preserve">Adult-learning and pedagogy expertise</w:t>
            </w:r>
          </w:p>
        </w:tc>
        <w:tc>
          <w:tcPr>
            <w:tcW w:type="dxa" w:w="2410"/>
            <w:tcMar>
              <w:top w:type="dxa" w:w="60"/>
              <w:left w:type="dxa" w:w="90"/>
              <w:bottom w:type="dxa" w:w="60"/>
              <w:right w:type="dxa" w:w="90"/>
            </w:tcMar>
          </w:tcPr>
          <w:p>
            <w:r>
              <w:rPr>
                <w:sz w:val="18"/>
                <w:szCs w:val="18"/>
              </w:rPr>
              <w:t xml:space="preserve">Enrollment records</w:t>
            </w:r>
          </w:p>
        </w:tc>
        <w:tc>
          <w:tcPr>
            <w:tcW w:type="dxa" w:w="2410"/>
            <w:tcMar>
              <w:top w:type="dxa" w:w="60"/>
              <w:left w:type="dxa" w:w="90"/>
              <w:bottom w:type="dxa" w:w="60"/>
              <w:right w:type="dxa" w:w="90"/>
            </w:tcMar>
          </w:tcPr>
          <w:p>
            <w:r>
              <w:rPr>
                <w:sz w:val="18"/>
                <w:szCs w:val="18"/>
              </w:rPr>
              <w:t xml:space="preserve">Diploma</w:t>
            </w:r>
          </w:p>
        </w:tc>
      </w:tr>
      <w:tr>
        <w:trPr>
          <w:tblHeader w:val="off"/>
        </w:trPr>
        <w:tc>
          <w:tcPr>
            <w:tcW w:type="dxa" w:w="2410"/>
            <w:tcMar>
              <w:top w:type="dxa" w:w="60"/>
              <w:left w:type="dxa" w:w="90"/>
              <w:bottom w:type="dxa" w:w="60"/>
              <w:right w:type="dxa" w:w="90"/>
            </w:tcMar>
          </w:tcPr>
          <w:p>
            <w:r>
              <w:rPr>
                <w:sz w:val="18"/>
                <w:szCs w:val="18"/>
              </w:rPr>
              <w:t xml:space="preserve">MBA in Risk Management (University of Wales / London School of Business and Finance)</w:t>
            </w:r>
          </w:p>
        </w:tc>
        <w:tc>
          <w:tcPr>
            <w:tcW w:type="dxa" w:w="2410"/>
            <w:tcMar>
              <w:top w:type="dxa" w:w="60"/>
              <w:left w:type="dxa" w:w="90"/>
              <w:bottom w:type="dxa" w:w="60"/>
              <w:right w:type="dxa" w:w="90"/>
            </w:tcMar>
          </w:tcPr>
          <w:p>
            <w:r>
              <w:rPr>
                <w:sz w:val="18"/>
                <w:szCs w:val="18"/>
              </w:rPr>
              <w:t xml:space="preserve">Advanced degree for EB-2</w:t>
            </w:r>
          </w:p>
        </w:tc>
        <w:tc>
          <w:tcPr>
            <w:tcW w:type="dxa" w:w="2410"/>
            <w:tcMar>
              <w:top w:type="dxa" w:w="60"/>
              <w:left w:type="dxa" w:w="90"/>
              <w:bottom w:type="dxa" w:w="60"/>
              <w:right w:type="dxa" w:w="90"/>
            </w:tcMar>
          </w:tcPr>
          <w:p>
            <w:r>
              <w:rPr>
                <w:sz w:val="18"/>
                <w:szCs w:val="18"/>
              </w:rPr>
              <w:t xml:space="preserve">Diploma</w:t>
            </w:r>
          </w:p>
        </w:tc>
        <w:tc>
          <w:tcPr>
            <w:tcW w:type="dxa" w:w="2410"/>
            <w:tcMar>
              <w:top w:type="dxa" w:w="60"/>
              <w:left w:type="dxa" w:w="90"/>
              <w:bottom w:type="dxa" w:w="60"/>
              <w:right w:type="dxa" w:w="90"/>
            </w:tcMar>
          </w:tcPr>
          <w:p>
            <w:r>
              <w:rPr>
                <w:sz w:val="18"/>
                <w:szCs w:val="18"/>
              </w:rPr>
              <w:t xml:space="preserve">Credential evaluation</w:t>
            </w:r>
          </w:p>
        </w:tc>
      </w:tr>
    </w:tbl>
    <w:p/>
    <w:p>
      <w:pPr>
        <w:pStyle w:val="Heading3"/>
      </w:pPr>
      <w:r>
        <w:t xml:space="preserve">4.2 Plan and progress indicators to present</w:t>
      </w:r>
    </w:p>
    <w:p>
      <w:pPr>
        <w:pStyle w:val="ListParagraph"/>
        <w:numPr>
          <w:ilvl w:val="0"/>
          <w:numId w:val="2"/>
        </w:numPr>
      </w:pPr>
      <w:r>
        <w:t xml:space="preserve">Complete curriculum and learner manuals (Spanish and English) and an operator manual with assessment rubrics and a measurement plan.</w:t>
      </w:r>
    </w:p>
    <w:p>
      <w:pPr>
        <w:pStyle w:val="ListParagraph"/>
        <w:numPr>
          <w:ilvl w:val="0"/>
          <w:numId w:val="2"/>
        </w:numPr>
      </w:pPr>
      <w:r>
        <w:t xml:space="preserve">Working platform and app MVP.</w:t>
      </w:r>
    </w:p>
    <w:p>
      <w:pPr>
        <w:pStyle w:val="ListParagraph"/>
        <w:numPr>
          <w:ilvl w:val="0"/>
          <w:numId w:val="2"/>
        </w:numPr>
      </w:pPr>
      <w:r>
        <w:t xml:space="preserve">Letters of intent from distribution partners in California and at least one expansion state.</w:t>
      </w:r>
    </w:p>
    <w:p>
      <w:pPr>
        <w:pStyle w:val="ListParagraph"/>
        <w:numPr>
          <w:ilvl w:val="0"/>
          <w:numId w:val="2"/>
        </w:numPr>
      </w:pPr>
      <w:r>
        <w:t xml:space="preserve">Advisory board with tax, legal, consumer-protection, evaluation and community expertise.</w:t>
      </w:r>
    </w:p>
    <w:p>
      <w:pPr>
        <w:pStyle w:val="ListParagraph"/>
        <w:numPr>
          <w:ilvl w:val="0"/>
          <w:numId w:val="2"/>
        </w:numPr>
      </w:pPr>
      <w:r>
        <w:t xml:space="preserve">Pilot results: enrollment, completion, knowledge gains and behavior indicators at 30, 90 and 180 days.</w:t>
      </w:r>
    </w:p>
    <w:p>
      <w:pPr>
        <w:pStyle w:val="ListParagraph"/>
        <w:numPr>
          <w:ilvl w:val="0"/>
          <w:numId w:val="2"/>
        </w:numPr>
      </w:pPr>
      <w:r>
        <w:t xml:space="preserve">A funding plan and initial grant applications.</w:t>
      </w:r>
    </w:p>
    <w:p>
      <w:pPr>
        <w:pStyle w:val="Heading2"/>
      </w:pPr>
      <w:r>
        <w:t xml:space="preserve">5. Balance of factors (Prong 3)</w:t>
      </w:r>
    </w:p>
    <w:p>
      <w:pPr>
        <w:pStyle w:val="ListParagraph"/>
        <w:numPr>
          <w:ilvl w:val="0"/>
          <w:numId w:val="2"/>
        </w:numPr>
      </w:pPr>
      <w:r>
        <w:t xml:space="preserve">The endeavor serves the public interest and is free to participants. It does not depend on a single employer, and a labor certification process would not fit a founder-led public-benefit initiative.</w:t>
      </w:r>
    </w:p>
    <w:p>
      <w:pPr>
        <w:pStyle w:val="ListParagraph"/>
        <w:numPr>
          <w:ilvl w:val="0"/>
          <w:numId w:val="2"/>
        </w:numPr>
      </w:pPr>
      <w:r>
        <w:t xml:space="preserve">The need is urgent and ongoing: fraud targeting immigrants, recent federal tax changes affecting remittances, and changes to benefits and credits.</w:t>
      </w:r>
    </w:p>
    <w:p>
      <w:pPr>
        <w:pStyle w:val="ListParagraph"/>
        <w:numPr>
          <w:ilvl w:val="0"/>
          <w:numId w:val="2"/>
        </w:numPr>
      </w:pPr>
      <w:r>
        <w:t xml:space="preserve">The petitioner's combination of bilingual expertise, public-policy experience, remittance and cooperative-finance experience, and instructional design is uncommon.</w:t>
      </w:r>
    </w:p>
    <w:p>
      <w:pPr>
        <w:pStyle w:val="Heading2"/>
      </w:pPr>
      <w:r>
        <w:t xml:space="preserve">6. Measurement plan (summary)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Level</w:t>
            </w:r>
          </w:p>
        </w:tc>
        <w:tc>
          <w:tcPr>
            <w:tcW w:type="dxa" w:w="2410"/>
            <w:shd w:fill="1F5C4A" w:color="auto" w:val="clear"/>
            <w:tcMar>
              <w:top w:type="dxa" w:w="60"/>
              <w:left w:type="dxa" w:w="90"/>
              <w:bottom w:type="dxa" w:w="60"/>
              <w:right w:type="dxa" w:w="90"/>
            </w:tcMar>
          </w:tcPr>
          <w:p>
            <w:r>
              <w:rPr>
                <w:b/>
                <w:bCs/>
                <w:color w:val="FFFFFF"/>
                <w:sz w:val="18"/>
                <w:szCs w:val="18"/>
              </w:rPr>
              <w:t xml:space="preserve">Indicator</w:t>
            </w:r>
          </w:p>
        </w:tc>
        <w:tc>
          <w:tcPr>
            <w:tcW w:type="dxa" w:w="2410"/>
            <w:shd w:fill="1F5C4A" w:color="auto" w:val="clear"/>
            <w:tcMar>
              <w:top w:type="dxa" w:w="60"/>
              <w:left w:type="dxa" w:w="90"/>
              <w:bottom w:type="dxa" w:w="60"/>
              <w:right w:type="dxa" w:w="90"/>
            </w:tcMar>
          </w:tcPr>
          <w:p>
            <w:r>
              <w:rPr>
                <w:b/>
                <w:bCs/>
                <w:color w:val="FFFFFF"/>
                <w:sz w:val="18"/>
                <w:szCs w:val="18"/>
              </w:rPr>
              <w:t xml:space="preserve">Instrument</w:t>
            </w:r>
          </w:p>
        </w:tc>
        <w:tc>
          <w:tcPr>
            <w:tcW w:type="dxa" w:w="2410"/>
            <w:shd w:fill="1F5C4A" w:color="auto" w:val="clear"/>
            <w:tcMar>
              <w:top w:type="dxa" w:w="60"/>
              <w:left w:type="dxa" w:w="90"/>
              <w:bottom w:type="dxa" w:w="60"/>
              <w:right w:type="dxa" w:w="90"/>
            </w:tcMar>
          </w:tcPr>
          <w:p>
            <w:r>
              <w:rPr>
                <w:b/>
                <w:bCs/>
                <w:color w:val="FFFFFF"/>
                <w:sz w:val="18"/>
                <w:szCs w:val="18"/>
              </w:rPr>
              <w:t xml:space="preserve">Timing</w:t>
            </w:r>
          </w:p>
        </w:tc>
      </w:tr>
      <w:tr>
        <w:trPr>
          <w:tblHeader w:val="off"/>
        </w:trPr>
        <w:tc>
          <w:tcPr>
            <w:tcW w:type="dxa" w:w="2410"/>
            <w:tcMar>
              <w:top w:type="dxa" w:w="60"/>
              <w:left w:type="dxa" w:w="90"/>
              <w:bottom w:type="dxa" w:w="60"/>
              <w:right w:type="dxa" w:w="90"/>
            </w:tcMar>
          </w:tcPr>
          <w:p>
            <w:r>
              <w:rPr>
                <w:sz w:val="18"/>
                <w:szCs w:val="18"/>
              </w:rPr>
              <w:t xml:space="preserve">Reach</w:t>
            </w:r>
          </w:p>
        </w:tc>
        <w:tc>
          <w:tcPr>
            <w:tcW w:type="dxa" w:w="2410"/>
            <w:tcMar>
              <w:top w:type="dxa" w:w="60"/>
              <w:left w:type="dxa" w:w="90"/>
              <w:bottom w:type="dxa" w:w="60"/>
              <w:right w:type="dxa" w:w="90"/>
            </w:tcMar>
          </w:tcPr>
          <w:p>
            <w:r>
              <w:rPr>
                <w:sz w:val="18"/>
                <w:szCs w:val="18"/>
              </w:rPr>
              <w:t xml:space="preserve">Unique participants started, assessed, completed</w:t>
            </w:r>
          </w:p>
        </w:tc>
        <w:tc>
          <w:tcPr>
            <w:tcW w:type="dxa" w:w="2410"/>
            <w:tcMar>
              <w:top w:type="dxa" w:w="60"/>
              <w:left w:type="dxa" w:w="90"/>
              <w:bottom w:type="dxa" w:w="60"/>
              <w:right w:type="dxa" w:w="90"/>
            </w:tcMar>
          </w:tcPr>
          <w:p>
            <w:r>
              <w:rPr>
                <w:sz w:val="18"/>
                <w:szCs w:val="18"/>
              </w:rPr>
              <w:t xml:space="preserve">Platform records</w:t>
            </w:r>
          </w:p>
        </w:tc>
        <w:tc>
          <w:tcPr>
            <w:tcW w:type="dxa" w:w="2410"/>
            <w:tcMar>
              <w:top w:type="dxa" w:w="60"/>
              <w:left w:type="dxa" w:w="90"/>
              <w:bottom w:type="dxa" w:w="60"/>
              <w:right w:type="dxa" w:w="90"/>
            </w:tcMar>
          </w:tcPr>
          <w:p>
            <w:r>
              <w:rPr>
                <w:sz w:val="18"/>
                <w:szCs w:val="18"/>
              </w:rPr>
              <w:t xml:space="preserve">Continuous</w:t>
            </w:r>
          </w:p>
        </w:tc>
      </w:tr>
      <w:tr>
        <w:trPr>
          <w:tblHeader w:val="off"/>
        </w:trPr>
        <w:tc>
          <w:tcPr>
            <w:tcW w:type="dxa" w:w="2410"/>
            <w:tcMar>
              <w:top w:type="dxa" w:w="60"/>
              <w:left w:type="dxa" w:w="90"/>
              <w:bottom w:type="dxa" w:w="60"/>
              <w:right w:type="dxa" w:w="90"/>
            </w:tcMar>
          </w:tcPr>
          <w:p>
            <w:r>
              <w:rPr>
                <w:sz w:val="18"/>
                <w:szCs w:val="18"/>
              </w:rPr>
              <w:t xml:space="preserve">Learning</w:t>
            </w:r>
          </w:p>
        </w:tc>
        <w:tc>
          <w:tcPr>
            <w:tcW w:type="dxa" w:w="2410"/>
            <w:tcMar>
              <w:top w:type="dxa" w:w="60"/>
              <w:left w:type="dxa" w:w="90"/>
              <w:bottom w:type="dxa" w:w="60"/>
              <w:right w:type="dxa" w:w="90"/>
            </w:tcMar>
          </w:tcPr>
          <w:p>
            <w:r>
              <w:rPr>
                <w:sz w:val="18"/>
                <w:szCs w:val="18"/>
              </w:rPr>
              <w:t xml:space="preserve">Knowledge gain (paired pre/post)</w:t>
            </w:r>
          </w:p>
        </w:tc>
        <w:tc>
          <w:tcPr>
            <w:tcW w:type="dxa" w:w="2410"/>
            <w:tcMar>
              <w:top w:type="dxa" w:w="60"/>
              <w:left w:type="dxa" w:w="90"/>
              <w:bottom w:type="dxa" w:w="60"/>
              <w:right w:type="dxa" w:w="90"/>
            </w:tcMar>
          </w:tcPr>
          <w:p>
            <w:r>
              <w:rPr>
                <w:sz w:val="18"/>
                <w:szCs w:val="18"/>
              </w:rPr>
              <w:t xml:space="preserve">Program item bank</w:t>
            </w:r>
          </w:p>
        </w:tc>
        <w:tc>
          <w:tcPr>
            <w:tcW w:type="dxa" w:w="2410"/>
            <w:tcMar>
              <w:top w:type="dxa" w:w="60"/>
              <w:left w:type="dxa" w:w="90"/>
              <w:bottom w:type="dxa" w:w="60"/>
              <w:right w:type="dxa" w:w="90"/>
            </w:tcMar>
          </w:tcPr>
          <w:p>
            <w:r>
              <w:rPr>
                <w:sz w:val="18"/>
                <w:szCs w:val="18"/>
              </w:rPr>
              <w:t xml:space="preserve">Baseline and module close</w:t>
            </w:r>
          </w:p>
        </w:tc>
      </w:tr>
      <w:tr>
        <w:trPr>
          <w:tblHeader w:val="off"/>
        </w:trPr>
        <w:tc>
          <w:tcPr>
            <w:tcW w:type="dxa" w:w="2410"/>
            <w:tcMar>
              <w:top w:type="dxa" w:w="60"/>
              <w:left w:type="dxa" w:w="90"/>
              <w:bottom w:type="dxa" w:w="60"/>
              <w:right w:type="dxa" w:w="90"/>
            </w:tcMar>
          </w:tcPr>
          <w:p>
            <w:r>
              <w:rPr>
                <w:sz w:val="18"/>
                <w:szCs w:val="18"/>
              </w:rPr>
              <w:t xml:space="preserve">Application</w:t>
            </w:r>
          </w:p>
        </w:tc>
        <w:tc>
          <w:tcPr>
            <w:tcW w:type="dxa" w:w="2410"/>
            <w:tcMar>
              <w:top w:type="dxa" w:w="60"/>
              <w:left w:type="dxa" w:w="90"/>
              <w:bottom w:type="dxa" w:w="60"/>
              <w:right w:type="dxa" w:w="90"/>
            </w:tcMar>
          </w:tcPr>
          <w:p>
            <w:r>
              <w:rPr>
                <w:sz w:val="18"/>
                <w:szCs w:val="18"/>
              </w:rPr>
              <w:t xml:space="preserve">Documented comparison before a financial decision; remittance plan applied; credit action taken</w:t>
            </w:r>
          </w:p>
        </w:tc>
        <w:tc>
          <w:tcPr>
            <w:tcW w:type="dxa" w:w="2410"/>
            <w:tcMar>
              <w:top w:type="dxa" w:w="60"/>
              <w:left w:type="dxa" w:w="90"/>
              <w:bottom w:type="dxa" w:w="60"/>
              <w:right w:type="dxa" w:w="90"/>
            </w:tcMar>
          </w:tcPr>
          <w:p>
            <w:r>
              <w:rPr>
                <w:sz w:val="18"/>
                <w:szCs w:val="18"/>
              </w:rPr>
              <w:t xml:space="preserve">Voluntary follow-up with evidence levels</w:t>
            </w:r>
          </w:p>
        </w:tc>
        <w:tc>
          <w:tcPr>
            <w:tcW w:type="dxa" w:w="2410"/>
            <w:tcMar>
              <w:top w:type="dxa" w:w="60"/>
              <w:left w:type="dxa" w:w="90"/>
              <w:bottom w:type="dxa" w:w="60"/>
              <w:right w:type="dxa" w:w="90"/>
            </w:tcMar>
          </w:tcPr>
          <w:p>
            <w:r>
              <w:rPr>
                <w:sz w:val="18"/>
                <w:szCs w:val="18"/>
              </w:rPr>
              <w:t xml:space="preserve">Days 30 and 90</w:t>
            </w:r>
          </w:p>
        </w:tc>
      </w:tr>
      <w:tr>
        <w:trPr>
          <w:tblHeader w:val="off"/>
        </w:trPr>
        <w:tc>
          <w:tcPr>
            <w:tcW w:type="dxa" w:w="2410"/>
            <w:tcMar>
              <w:top w:type="dxa" w:w="60"/>
              <w:left w:type="dxa" w:w="90"/>
              <w:bottom w:type="dxa" w:w="60"/>
              <w:right w:type="dxa" w:w="90"/>
            </w:tcMar>
          </w:tcPr>
          <w:p>
            <w:r>
              <w:rPr>
                <w:sz w:val="18"/>
                <w:szCs w:val="18"/>
              </w:rPr>
              <w:t xml:space="preserve">Financial situation</w:t>
            </w:r>
          </w:p>
        </w:tc>
        <w:tc>
          <w:tcPr>
            <w:tcW w:type="dxa" w:w="2410"/>
            <w:tcMar>
              <w:top w:type="dxa" w:w="60"/>
              <w:left w:type="dxa" w:w="90"/>
              <w:bottom w:type="dxa" w:w="60"/>
              <w:right w:type="dxa" w:w="90"/>
            </w:tcMar>
          </w:tcPr>
          <w:p>
            <w:r>
              <w:rPr>
                <w:sz w:val="18"/>
                <w:szCs w:val="18"/>
              </w:rPr>
              <w:t xml:space="preserve">Reserve coverage; debt and arrears change; share of financed remittances</w:t>
            </w:r>
          </w:p>
        </w:tc>
        <w:tc>
          <w:tcPr>
            <w:tcW w:type="dxa" w:w="2410"/>
            <w:tcMar>
              <w:top w:type="dxa" w:w="60"/>
              <w:left w:type="dxa" w:w="90"/>
              <w:bottom w:type="dxa" w:w="60"/>
              <w:right w:type="dxa" w:w="90"/>
            </w:tcMar>
          </w:tcPr>
          <w:p>
            <w:r>
              <w:rPr>
                <w:sz w:val="18"/>
                <w:szCs w:val="18"/>
              </w:rPr>
              <w:t xml:space="preserve">Voluntary, paired, comparable periods</w:t>
            </w:r>
          </w:p>
        </w:tc>
        <w:tc>
          <w:tcPr>
            <w:tcW w:type="dxa" w:w="2410"/>
            <w:tcMar>
              <w:top w:type="dxa" w:w="60"/>
              <w:left w:type="dxa" w:w="90"/>
              <w:bottom w:type="dxa" w:w="60"/>
              <w:right w:type="dxa" w:w="90"/>
            </w:tcMar>
          </w:tcPr>
          <w:p>
            <w:r>
              <w:rPr>
                <w:sz w:val="18"/>
                <w:szCs w:val="18"/>
              </w:rPr>
              <w:t xml:space="preserve">Days 90 and 180</w:t>
            </w:r>
          </w:p>
        </w:tc>
      </w:tr>
      <w:tr>
        <w:trPr>
          <w:tblHeader w:val="off"/>
        </w:trPr>
        <w:tc>
          <w:tcPr>
            <w:tcW w:type="dxa" w:w="2410"/>
            <w:tcMar>
              <w:top w:type="dxa" w:w="60"/>
              <w:left w:type="dxa" w:w="90"/>
              <w:bottom w:type="dxa" w:w="60"/>
              <w:right w:type="dxa" w:w="90"/>
            </w:tcMar>
          </w:tcPr>
          <w:p>
            <w:r>
              <w:rPr>
                <w:sz w:val="18"/>
                <w:szCs w:val="18"/>
              </w:rPr>
              <w:t xml:space="preserve">Well-being</w:t>
            </w:r>
          </w:p>
        </w:tc>
        <w:tc>
          <w:tcPr>
            <w:tcW w:type="dxa" w:w="2410"/>
            <w:tcMar>
              <w:top w:type="dxa" w:w="60"/>
              <w:left w:type="dxa" w:w="90"/>
              <w:bottom w:type="dxa" w:w="60"/>
              <w:right w:type="dxa" w:w="90"/>
            </w:tcMar>
          </w:tcPr>
          <w:p>
            <w:r>
              <w:rPr>
                <w:sz w:val="18"/>
                <w:szCs w:val="18"/>
              </w:rPr>
              <w:t xml:space="preserve">CFPB Financial Well-Being Scale</w:t>
            </w:r>
          </w:p>
        </w:tc>
        <w:tc>
          <w:tcPr>
            <w:tcW w:type="dxa" w:w="2410"/>
            <w:tcMar>
              <w:top w:type="dxa" w:w="60"/>
              <w:left w:type="dxa" w:w="90"/>
              <w:bottom w:type="dxa" w:w="60"/>
              <w:right w:type="dxa" w:w="90"/>
            </w:tcMar>
          </w:tcPr>
          <w:p>
            <w:r>
              <w:rPr>
                <w:sz w:val="18"/>
                <w:szCs w:val="18"/>
              </w:rPr>
              <w:t xml:space="preserve">Official instrument and scoring</w:t>
            </w:r>
          </w:p>
        </w:tc>
        <w:tc>
          <w:tcPr>
            <w:tcW w:type="dxa" w:w="2410"/>
            <w:tcMar>
              <w:top w:type="dxa" w:w="60"/>
              <w:left w:type="dxa" w:w="90"/>
              <w:bottom w:type="dxa" w:w="60"/>
              <w:right w:type="dxa" w:w="90"/>
            </w:tcMar>
          </w:tcPr>
          <w:p>
            <w:r>
              <w:rPr>
                <w:sz w:val="18"/>
                <w:szCs w:val="18"/>
              </w:rPr>
              <w:t xml:space="preserve">Baseline and day 180</w:t>
            </w:r>
          </w:p>
        </w:tc>
      </w:tr>
    </w:tbl>
    <w:p/>
    <w:p>
      <w:r>
        <w:t xml:space="preserve">An academic partner will be invited to conduct an independent evaluation. Missing responses are reported as missing. Before-and-after results are reported as associations, not causal effects.</w:t>
      </w:r>
    </w:p>
    <w:p>
      <w:pPr>
        <w:pStyle w:val="Heading2"/>
      </w:pPr>
      <w:r>
        <w:t xml:space="preserve">7. Questions for counsel</w:t>
      </w:r>
    </w:p>
    <w:p>
      <w:pPr>
        <w:pStyle w:val="ListParagraph"/>
        <w:numPr>
          <w:ilvl w:val="0"/>
          <w:numId w:val="3"/>
        </w:numPr>
      </w:pPr>
      <w:r>
        <w:t xml:space="preserve">Is the endeavor framed specifically enough, and is national importance best argued through financial inclusion, consumer protection, fraud prevention, tax compliance and formal remittance channels?</w:t>
      </w:r>
    </w:p>
    <w:p>
      <w:pPr>
        <w:pStyle w:val="ListParagraph"/>
        <w:numPr>
          <w:ilvl w:val="0"/>
          <w:numId w:val="3"/>
        </w:numPr>
      </w:pPr>
      <w:r>
        <w:t xml:space="preserve">How should the immigrant focus be presented given current adjudication trends? Should the endeavor be described as serving "immigrant and underserved households"?</w:t>
      </w:r>
    </w:p>
    <w:p>
      <w:pPr>
        <w:pStyle w:val="ListParagraph"/>
        <w:numPr>
          <w:ilvl w:val="0"/>
          <w:numId w:val="3"/>
        </w:numPr>
      </w:pPr>
      <w:r>
        <w:t xml:space="preserve">What entity structure best supports the petition and the funding model: 501(c)(3), fiscal sponsorship, public benefit corporation, cooperative, or a U.S. affiliate of Desarrolla Talento?</w:t>
      </w:r>
    </w:p>
    <w:p>
      <w:pPr>
        <w:pStyle w:val="ListParagraph"/>
        <w:numPr>
          <w:ilvl w:val="0"/>
          <w:numId w:val="3"/>
        </w:numPr>
      </w:pPr>
      <w:r>
        <w:t xml:space="preserve">How much operating evidence (pilot results, partner letters, funding) should exist before filing?</w:t>
      </w:r>
    </w:p>
    <w:p>
      <w:pPr>
        <w:pStyle w:val="ListParagraph"/>
        <w:numPr>
          <w:ilvl w:val="0"/>
          <w:numId w:val="3"/>
        </w:numPr>
      </w:pPr>
      <w:r>
        <w:t xml:space="preserve">Which recommendation letters carry the most weight: U.S.-based experts, Mexican government officials, academic evaluators or partner organizations?</w:t>
      </w:r>
    </w:p>
    <w:p>
      <w:pPr>
        <w:pStyle w:val="ListParagraph"/>
        <w:numPr>
          <w:ilvl w:val="0"/>
          <w:numId w:val="3"/>
        </w:numPr>
      </w:pPr>
      <w:r>
        <w:t xml:space="preserve">How should talks without certificates be documented: programs, videos, archived pages, organizer letters?</w:t>
      </w:r>
    </w:p>
    <w:p>
      <w:pPr>
        <w:pStyle w:val="ListParagraph"/>
        <w:numPr>
          <w:ilvl w:val="0"/>
          <w:numId w:val="3"/>
        </w:numPr>
      </w:pPr>
      <w:r>
        <w:t xml:space="preserve">Does the MBA require a credential evaluation for the advanced-degree requirement, and is exceptional ability worth arguing as an alternative?</w:t>
      </w:r>
    </w:p>
    <w:p>
      <w:pPr>
        <w:pStyle w:val="ListParagraph"/>
        <w:numPr>
          <w:ilvl w:val="0"/>
          <w:numId w:val="3"/>
        </w:numPr>
      </w:pPr>
      <w:r>
        <w:t xml:space="preserve">How do recent USCIS policy-manual updates on NIW affect the framing or the evidence?</w:t>
      </w:r>
    </w:p>
    <w:p>
      <w:pPr>
        <w:pStyle w:val="ListParagraph"/>
        <w:numPr>
          <w:ilvl w:val="0"/>
          <w:numId w:val="3"/>
        </w:numPr>
      </w:pPr>
      <w:r>
        <w:t xml:space="preserve">Timing and process: consular processing or adjustment of status, and whether the petitioner can work on the pilot remotely before approval.</w:t>
      </w:r>
    </w:p>
    <w:p>
      <w:pPr>
        <w:pStyle w:val="ListParagraph"/>
        <w:numPr>
          <w:ilvl w:val="0"/>
          <w:numId w:val="3"/>
        </w:numPr>
      </w:pPr>
      <w:r>
        <w:t xml:space="preserve">Are there activities that must be avoided to stay clear of unauthorized practice of law or immigration consulting? The curriculum does not provide immigration advice.</w:t>
      </w:r>
    </w:p>
    <w:p>
      <w:pPr>
        <w:pStyle w:val="Heading2"/>
      </w:pPr>
      <w:r>
        <w:t xml:space="preserve">8. Evidence checklist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Evidence</w:t>
            </w:r>
          </w:p>
        </w:tc>
        <w:tc>
          <w:tcPr>
            <w:tcW w:type="dxa" w:w="4820"/>
            <w:shd w:fill="1F5C4A" w:color="auto" w:val="clear"/>
            <w:tcMar>
              <w:top w:type="dxa" w:w="60"/>
              <w:left w:type="dxa" w:w="90"/>
              <w:bottom w:type="dxa" w:w="60"/>
              <w:right w:type="dxa" w:w="90"/>
            </w:tcMar>
          </w:tcPr>
          <w:p>
            <w:r>
              <w:rPr>
                <w:b/>
                <w:bCs/>
                <w:color w:val="FFFFFF"/>
                <w:sz w:val="18"/>
                <w:szCs w:val="18"/>
              </w:rPr>
              <w:t xml:space="preserve">Status</w:t>
            </w:r>
          </w:p>
        </w:tc>
      </w:tr>
      <w:tr>
        <w:trPr>
          <w:tblHeader w:val="off"/>
        </w:trPr>
        <w:tc>
          <w:tcPr>
            <w:tcW w:type="dxa" w:w="4820"/>
            <w:tcMar>
              <w:top w:type="dxa" w:w="60"/>
              <w:left w:type="dxa" w:w="90"/>
              <w:bottom w:type="dxa" w:w="60"/>
              <w:right w:type="dxa" w:w="90"/>
            </w:tcMar>
          </w:tcPr>
          <w:p>
            <w:r>
              <w:rPr>
                <w:sz w:val="18"/>
                <w:szCs w:val="18"/>
              </w:rPr>
              <w:t xml:space="preserve">CV in U.S. format (English)</w:t>
            </w:r>
          </w:p>
        </w:tc>
        <w:tc>
          <w:tcPr>
            <w:tcW w:type="dxa" w:w="4820"/>
            <w:tcMar>
              <w:top w:type="dxa" w:w="60"/>
              <w:left w:type="dxa" w:w="90"/>
              <w:bottom w:type="dxa" w:w="60"/>
              <w:right w:type="dxa" w:w="90"/>
            </w:tcMar>
          </w:tcPr>
          <w:p>
            <w:r>
              <w:rPr>
                <w:sz w:val="18"/>
                <w:szCs w:val="18"/>
              </w:rPr>
              <w:t xml:space="preserve">To prepare</w:t>
            </w:r>
          </w:p>
        </w:tc>
      </w:tr>
      <w:tr>
        <w:trPr>
          <w:tblHeader w:val="off"/>
        </w:trPr>
        <w:tc>
          <w:tcPr>
            <w:tcW w:type="dxa" w:w="4820"/>
            <w:tcMar>
              <w:top w:type="dxa" w:w="60"/>
              <w:left w:type="dxa" w:w="90"/>
              <w:bottom w:type="dxa" w:w="60"/>
              <w:right w:type="dxa" w:w="90"/>
            </w:tcMar>
          </w:tcPr>
          <w:p>
            <w:r>
              <w:rPr>
                <w:sz w:val="18"/>
                <w:szCs w:val="18"/>
              </w:rPr>
              <w:t xml:space="preserve">Credential evaluation (MBA; bachelor's)</w:t>
            </w:r>
          </w:p>
        </w:tc>
        <w:tc>
          <w:tcPr>
            <w:tcW w:type="dxa" w:w="4820"/>
            <w:tcMar>
              <w:top w:type="dxa" w:w="60"/>
              <w:left w:type="dxa" w:w="90"/>
              <w:bottom w:type="dxa" w:w="60"/>
              <w:right w:type="dxa" w:w="90"/>
            </w:tcMar>
          </w:tcPr>
          <w:p>
            <w:r>
              <w:rPr>
                <w:sz w:val="18"/>
                <w:szCs w:val="18"/>
              </w:rPr>
              <w:t xml:space="preserve">To obtain</w:t>
            </w:r>
          </w:p>
        </w:tc>
      </w:tr>
      <w:tr>
        <w:trPr>
          <w:tblHeader w:val="off"/>
        </w:trPr>
        <w:tc>
          <w:tcPr>
            <w:tcW w:type="dxa" w:w="4820"/>
            <w:tcMar>
              <w:top w:type="dxa" w:w="60"/>
              <w:left w:type="dxa" w:w="90"/>
              <w:bottom w:type="dxa" w:w="60"/>
              <w:right w:type="dxa" w:w="90"/>
            </w:tcMar>
          </w:tcPr>
          <w:p>
            <w:r>
              <w:rPr>
                <w:sz w:val="18"/>
                <w:szCs w:val="18"/>
              </w:rPr>
              <w:t xml:space="preserve">PNIF 2020 and consultation-results pages showing name</w:t>
            </w:r>
          </w:p>
        </w:tc>
        <w:tc>
          <w:tcPr>
            <w:tcW w:type="dxa" w:w="4820"/>
            <w:tcMar>
              <w:top w:type="dxa" w:w="60"/>
              <w:left w:type="dxa" w:w="90"/>
              <w:bottom w:type="dxa" w:w="60"/>
              <w:right w:type="dxa" w:w="90"/>
            </w:tcMar>
          </w:tcPr>
          <w:p>
            <w:r>
              <w:rPr>
                <w:sz w:val="18"/>
                <w:szCs w:val="18"/>
              </w:rPr>
              <w:t xml:space="preserve">To capture</w:t>
            </w:r>
          </w:p>
        </w:tc>
      </w:tr>
      <w:tr>
        <w:trPr>
          <w:tblHeader w:val="off"/>
        </w:trPr>
        <w:tc>
          <w:tcPr>
            <w:tcW w:type="dxa" w:w="4820"/>
            <w:tcMar>
              <w:top w:type="dxa" w:w="60"/>
              <w:left w:type="dxa" w:w="90"/>
              <w:bottom w:type="dxa" w:w="60"/>
              <w:right w:type="dxa" w:w="90"/>
            </w:tcMar>
          </w:tcPr>
          <w:p>
            <w:r>
              <w:rPr>
                <w:sz w:val="18"/>
                <w:szCs w:val="18"/>
              </w:rPr>
              <w:t xml:space="preserve">Forum programs, participant lists, videos and archived pages</w:t>
            </w:r>
          </w:p>
        </w:tc>
        <w:tc>
          <w:tcPr>
            <w:tcW w:type="dxa" w:w="4820"/>
            <w:tcMar>
              <w:top w:type="dxa" w:w="60"/>
              <w:left w:type="dxa" w:w="90"/>
              <w:bottom w:type="dxa" w:w="60"/>
              <w:right w:type="dxa" w:w="90"/>
            </w:tcMar>
          </w:tcPr>
          <w:p>
            <w:r>
              <w:rPr>
                <w:sz w:val="18"/>
                <w:szCs w:val="18"/>
              </w:rPr>
              <w:t xml:space="preserve">Partly available</w:t>
            </w:r>
          </w:p>
        </w:tc>
      </w:tr>
      <w:tr>
        <w:trPr>
          <w:tblHeader w:val="off"/>
        </w:trPr>
        <w:tc>
          <w:tcPr>
            <w:tcW w:type="dxa" w:w="4820"/>
            <w:tcMar>
              <w:top w:type="dxa" w:w="60"/>
              <w:left w:type="dxa" w:w="90"/>
              <w:bottom w:type="dxa" w:w="60"/>
              <w:right w:type="dxa" w:w="90"/>
            </w:tcMar>
          </w:tcPr>
          <w:p>
            <w:r>
              <w:rPr>
                <w:sz w:val="18"/>
                <w:szCs w:val="18"/>
              </w:rPr>
              <w:t xml:space="preserve">Letters: former Banco del Bienestar official, PNIF committee, PATMIR partner, forum organizers, university faculty</w:t>
            </w:r>
          </w:p>
        </w:tc>
        <w:tc>
          <w:tcPr>
            <w:tcW w:type="dxa" w:w="4820"/>
            <w:tcMar>
              <w:top w:type="dxa" w:w="60"/>
              <w:left w:type="dxa" w:w="90"/>
              <w:bottom w:type="dxa" w:w="60"/>
              <w:right w:type="dxa" w:w="90"/>
            </w:tcMar>
          </w:tcPr>
          <w:p>
            <w:r>
              <w:rPr>
                <w:sz w:val="18"/>
                <w:szCs w:val="18"/>
              </w:rPr>
              <w:t xml:space="preserve">To request</w:t>
            </w:r>
          </w:p>
        </w:tc>
      </w:tr>
      <w:tr>
        <w:trPr>
          <w:tblHeader w:val="off"/>
        </w:trPr>
        <w:tc>
          <w:tcPr>
            <w:tcW w:type="dxa" w:w="4820"/>
            <w:tcMar>
              <w:top w:type="dxa" w:w="60"/>
              <w:left w:type="dxa" w:w="90"/>
              <w:bottom w:type="dxa" w:w="60"/>
              <w:right w:type="dxa" w:w="90"/>
            </w:tcMar>
          </w:tcPr>
          <w:p>
            <w:r>
              <w:rPr>
                <w:sz w:val="18"/>
                <w:szCs w:val="18"/>
              </w:rPr>
              <w:t xml:space="preserve">Letters of intent: consulate or IME windows, credit unions, community organizations, university evaluation partner</w:t>
            </w:r>
          </w:p>
        </w:tc>
        <w:tc>
          <w:tcPr>
            <w:tcW w:type="dxa" w:w="4820"/>
            <w:tcMar>
              <w:top w:type="dxa" w:w="60"/>
              <w:left w:type="dxa" w:w="90"/>
              <w:bottom w:type="dxa" w:w="60"/>
              <w:right w:type="dxa" w:w="90"/>
            </w:tcMar>
          </w:tcPr>
          <w:p>
            <w:r>
              <w:rPr>
                <w:sz w:val="18"/>
                <w:szCs w:val="18"/>
              </w:rPr>
              <w:t xml:space="preserve">To request</w:t>
            </w:r>
          </w:p>
        </w:tc>
      </w:tr>
      <w:tr>
        <w:trPr>
          <w:tblHeader w:val="off"/>
        </w:trPr>
        <w:tc>
          <w:tcPr>
            <w:tcW w:type="dxa" w:w="4820"/>
            <w:tcMar>
              <w:top w:type="dxa" w:w="60"/>
              <w:left w:type="dxa" w:w="90"/>
              <w:bottom w:type="dxa" w:w="60"/>
              <w:right w:type="dxa" w:w="90"/>
            </w:tcMar>
          </w:tcPr>
          <w:p>
            <w:r>
              <w:rPr>
                <w:sz w:val="18"/>
                <w:szCs w:val="18"/>
              </w:rPr>
              <w:t xml:space="preserve">Curriculum, learner manuals and operator manual</w:t>
            </w:r>
          </w:p>
        </w:tc>
        <w:tc>
          <w:tcPr>
            <w:tcW w:type="dxa" w:w="4820"/>
            <w:tcMar>
              <w:top w:type="dxa" w:w="60"/>
              <w:left w:type="dxa" w:w="90"/>
              <w:bottom w:type="dxa" w:w="60"/>
              <w:right w:type="dxa" w:w="90"/>
            </w:tcMar>
          </w:tcPr>
          <w:p>
            <w:r>
              <w:rPr>
                <w:sz w:val="18"/>
                <w:szCs w:val="18"/>
              </w:rPr>
              <w:t xml:space="preserve">In progress</w:t>
            </w:r>
          </w:p>
        </w:tc>
      </w:tr>
      <w:tr>
        <w:trPr>
          <w:tblHeader w:val="off"/>
        </w:trPr>
        <w:tc>
          <w:tcPr>
            <w:tcW w:type="dxa" w:w="4820"/>
            <w:tcMar>
              <w:top w:type="dxa" w:w="60"/>
              <w:left w:type="dxa" w:w="90"/>
              <w:bottom w:type="dxa" w:w="60"/>
              <w:right w:type="dxa" w:w="90"/>
            </w:tcMar>
          </w:tcPr>
          <w:p>
            <w:r>
              <w:rPr>
                <w:sz w:val="18"/>
                <w:szCs w:val="18"/>
              </w:rPr>
              <w:t xml:space="preserve">Platform and app MVP screenshots and usage data</w:t>
            </w:r>
          </w:p>
        </w:tc>
        <w:tc>
          <w:tcPr>
            <w:tcW w:type="dxa" w:w="4820"/>
            <w:tcMar>
              <w:top w:type="dxa" w:w="60"/>
              <w:left w:type="dxa" w:w="90"/>
              <w:bottom w:type="dxa" w:w="60"/>
              <w:right w:type="dxa" w:w="90"/>
            </w:tcMar>
          </w:tcPr>
          <w:p>
            <w:r>
              <w:rPr>
                <w:sz w:val="18"/>
                <w:szCs w:val="18"/>
              </w:rPr>
              <w:t xml:space="preserve">In progress</w:t>
            </w:r>
          </w:p>
        </w:tc>
      </w:tr>
      <w:tr>
        <w:trPr>
          <w:tblHeader w:val="off"/>
        </w:trPr>
        <w:tc>
          <w:tcPr>
            <w:tcW w:type="dxa" w:w="4820"/>
            <w:tcMar>
              <w:top w:type="dxa" w:w="60"/>
              <w:left w:type="dxa" w:w="90"/>
              <w:bottom w:type="dxa" w:w="60"/>
              <w:right w:type="dxa" w:w="90"/>
            </w:tcMar>
          </w:tcPr>
          <w:p>
            <w:r>
              <w:rPr>
                <w:sz w:val="18"/>
                <w:szCs w:val="18"/>
              </w:rPr>
              <w:t xml:space="preserve">Business and funding plan</w:t>
            </w:r>
          </w:p>
        </w:tc>
        <w:tc>
          <w:tcPr>
            <w:tcW w:type="dxa" w:w="4820"/>
            <w:tcMar>
              <w:top w:type="dxa" w:w="60"/>
              <w:left w:type="dxa" w:w="90"/>
              <w:bottom w:type="dxa" w:w="60"/>
              <w:right w:type="dxa" w:w="90"/>
            </w:tcMar>
          </w:tcPr>
          <w:p>
            <w:r>
              <w:rPr>
                <w:sz w:val="18"/>
                <w:szCs w:val="18"/>
              </w:rPr>
              <w:t xml:space="preserve">To prepare</w:t>
            </w:r>
          </w:p>
        </w:tc>
      </w:tr>
      <w:tr>
        <w:trPr>
          <w:tblHeader w:val="off"/>
        </w:trPr>
        <w:tc>
          <w:tcPr>
            <w:tcW w:type="dxa" w:w="4820"/>
            <w:tcMar>
              <w:top w:type="dxa" w:w="60"/>
              <w:left w:type="dxa" w:w="90"/>
              <w:bottom w:type="dxa" w:w="60"/>
              <w:right w:type="dxa" w:w="90"/>
            </w:tcMar>
          </w:tcPr>
          <w:p>
            <w:r>
              <w:rPr>
                <w:sz w:val="18"/>
                <w:szCs w:val="18"/>
              </w:rPr>
              <w:t xml:space="preserve">Pilot results report</w:t>
            </w:r>
          </w:p>
        </w:tc>
        <w:tc>
          <w:tcPr>
            <w:tcW w:type="dxa" w:w="4820"/>
            <w:tcMar>
              <w:top w:type="dxa" w:w="60"/>
              <w:left w:type="dxa" w:w="90"/>
              <w:bottom w:type="dxa" w:w="60"/>
              <w:right w:type="dxa" w:w="90"/>
            </w:tcMar>
          </w:tcPr>
          <w:p>
            <w:r>
              <w:rPr>
                <w:sz w:val="18"/>
                <w:szCs w:val="18"/>
              </w:rPr>
              <w:t xml:space="preserve">After pilot</w:t>
            </w:r>
          </w:p>
        </w:tc>
      </w:tr>
      <w:tr>
        <w:trPr>
          <w:tblHeader w:val="off"/>
        </w:trPr>
        <w:tc>
          <w:tcPr>
            <w:tcW w:type="dxa" w:w="4820"/>
            <w:tcMar>
              <w:top w:type="dxa" w:w="60"/>
              <w:left w:type="dxa" w:w="90"/>
              <w:bottom w:type="dxa" w:w="60"/>
              <w:right w:type="dxa" w:w="90"/>
            </w:tcMar>
          </w:tcPr>
          <w:p>
            <w:r>
              <w:rPr>
                <w:sz w:val="18"/>
                <w:szCs w:val="18"/>
              </w:rPr>
              <w:t xml:space="preserve">Certificates: CONOCER (instruction), EC0366, Montessori, others</w:t>
            </w:r>
          </w:p>
        </w:tc>
        <w:tc>
          <w:tcPr>
            <w:tcW w:type="dxa" w:w="4820"/>
            <w:tcMar>
              <w:top w:type="dxa" w:w="60"/>
              <w:left w:type="dxa" w:w="90"/>
              <w:bottom w:type="dxa" w:w="60"/>
              <w:right w:type="dxa" w:w="90"/>
            </w:tcMar>
          </w:tcPr>
          <w:p>
            <w:r>
              <w:rPr>
                <w:sz w:val="18"/>
                <w:szCs w:val="18"/>
              </w:rPr>
              <w:t xml:space="preserve">Partly available</w:t>
            </w:r>
          </w:p>
        </w:tc>
      </w:tr>
    </w:tbl>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Endeavor Brief</dc:title>
  <dc:creator>Desarrolla Talento</dc:creator>
  <cp:lastModifiedBy>Un-named</cp:lastModifiedBy>
  <cp:revision>1</cp:revision>
  <dcterms:created xsi:type="dcterms:W3CDTF">2026-09-28T03:55:08.634Z</dcterms:created>
  <dcterms:modified xsi:type="dcterms:W3CDTF">2026-09-28T03:55:08.634Z</dcterms:modified>
</cp:coreProperties>
</file>

<file path=docProps/custom.xml><?xml version="1.0" encoding="utf-8"?>
<Properties xmlns="http://schemas.openxmlformats.org/officeDocument/2006/custom-properties" xmlns:vt="http://schemas.openxmlformats.org/officeDocument/2006/docPropsVTypes"/>
</file>