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4428D" w14:textId="6D6235FE" w:rsidR="38BE7CBE" w:rsidRPr="00D73494" w:rsidRDefault="38BE7CBE" w:rsidP="00813CCC">
      <w:pPr>
        <w:jc w:val="center"/>
        <w:rPr>
          <w:rFonts w:ascii="Times New Roman" w:hAnsi="Times New Roman" w:cs="Times New Roman"/>
          <w:b/>
          <w:bCs/>
          <w:sz w:val="28"/>
          <w:szCs w:val="28"/>
        </w:rPr>
      </w:pPr>
      <w:r w:rsidRPr="00D73494">
        <w:rPr>
          <w:rFonts w:ascii="Times New Roman" w:hAnsi="Times New Roman" w:cs="Times New Roman"/>
          <w:b/>
          <w:bCs/>
          <w:sz w:val="28"/>
          <w:szCs w:val="28"/>
        </w:rPr>
        <w:t>Modelos de Maching Learning aplicados a la proyección del precio WTI del petróleo.</w:t>
      </w:r>
    </w:p>
    <w:p w14:paraId="40D4721C" w14:textId="3BBEB3D8"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56A1629A" w14:textId="77777777" w:rsidR="00181DF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bookmarkStart w:id="0" w:name="_bookmark0"/>
      <w:bookmarkEnd w:id="0"/>
      <w:r w:rsidRPr="00D73494">
        <w:rPr>
          <w:rFonts w:ascii="Times New Roman" w:eastAsia="Times New Roman" w:hAnsi="Times New Roman" w:cs="Times New Roman"/>
          <w:sz w:val="22"/>
          <w:szCs w:val="22"/>
        </w:rPr>
        <w:t xml:space="preserve">Universidad de los Andes </w:t>
      </w:r>
    </w:p>
    <w:p w14:paraId="3759CAF7" w14:textId="7E67291E" w:rsidR="006871D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r w:rsidRPr="00D73494">
        <w:rPr>
          <w:rFonts w:ascii="Times New Roman" w:eastAsia="Times New Roman" w:hAnsi="Times New Roman" w:cs="Times New Roman"/>
          <w:sz w:val="22"/>
          <w:szCs w:val="22"/>
        </w:rPr>
        <w:t>Maestría en Economía Aplicada</w:t>
      </w:r>
    </w:p>
    <w:p w14:paraId="0ACC32C3" w14:textId="2452A9F6" w:rsidR="006871D7" w:rsidRPr="00D73494" w:rsidRDefault="77065BE6" w:rsidP="00813CCC">
      <w:pPr>
        <w:pStyle w:val="Ttulo"/>
        <w:spacing w:before="0" w:line="240" w:lineRule="auto"/>
        <w:ind w:left="0" w:right="2211"/>
        <w:jc w:val="both"/>
        <w:rPr>
          <w:rFonts w:ascii="Times New Roman" w:eastAsia="Times New Roman" w:hAnsi="Times New Roman" w:cs="Times New Roman"/>
          <w:sz w:val="22"/>
          <w:szCs w:val="22"/>
        </w:rPr>
      </w:pPr>
      <w:r w:rsidRPr="00D73494">
        <w:rPr>
          <w:rFonts w:ascii="Times New Roman" w:eastAsia="Times New Roman" w:hAnsi="Times New Roman" w:cs="Times New Roman"/>
          <w:sz w:val="22"/>
          <w:szCs w:val="22"/>
        </w:rPr>
        <w:t>Andres Felipe Martinez, Angela Paola Morales Guio y Oscar Cortes</w:t>
      </w:r>
    </w:p>
    <w:p w14:paraId="37D75CED" w14:textId="52B774F9"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5EC082D3" w14:textId="05952EB4" w:rsidR="38BE7CBE" w:rsidRPr="00D73494" w:rsidRDefault="38BE7CBE" w:rsidP="00813CCC">
      <w:pPr>
        <w:jc w:val="both"/>
        <w:rPr>
          <w:rFonts w:ascii="Times New Roman" w:eastAsia="Times New Roman" w:hAnsi="Times New Roman" w:cs="Times New Roman"/>
          <w:sz w:val="20"/>
          <w:szCs w:val="20"/>
        </w:rPr>
      </w:pPr>
      <w:r w:rsidRPr="00D73494">
        <w:rPr>
          <w:rFonts w:ascii="Times New Roman" w:eastAsia="Times New Roman" w:hAnsi="Times New Roman" w:cs="Times New Roman"/>
          <w:sz w:val="20"/>
          <w:szCs w:val="20"/>
        </w:rPr>
        <w:t>Repositorio: https://github.com/paolamguio/Proyecto_Final</w:t>
      </w:r>
    </w:p>
    <w:p w14:paraId="28F276B3" w14:textId="46384780" w:rsidR="38BE7CBE" w:rsidRPr="00D73494" w:rsidRDefault="38BE7CBE" w:rsidP="00813CCC">
      <w:pPr>
        <w:pStyle w:val="Ttulo"/>
        <w:spacing w:before="0" w:line="240" w:lineRule="auto"/>
        <w:ind w:left="0" w:right="2211"/>
        <w:jc w:val="both"/>
        <w:rPr>
          <w:rFonts w:ascii="Times New Roman" w:eastAsia="Times New Roman" w:hAnsi="Times New Roman" w:cs="Times New Roman"/>
          <w:sz w:val="22"/>
          <w:szCs w:val="22"/>
        </w:rPr>
      </w:pPr>
    </w:p>
    <w:p w14:paraId="370431CE" w14:textId="5928D0B8"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t>Resumen</w:t>
      </w:r>
    </w:p>
    <w:p w14:paraId="37CF3749" w14:textId="36C234BB" w:rsidR="38BE7CBE" w:rsidRPr="00D73494" w:rsidRDefault="38BE7CBE" w:rsidP="00813CCC">
      <w:pPr>
        <w:jc w:val="both"/>
        <w:rPr>
          <w:rFonts w:ascii="Times New Roman" w:eastAsia="Times New Roman" w:hAnsi="Times New Roman" w:cs="Times New Roman"/>
          <w:b/>
          <w:bCs/>
        </w:rPr>
      </w:pPr>
    </w:p>
    <w:p w14:paraId="68ACE053" w14:textId="497B49DA" w:rsidR="38BE7CBE" w:rsidRDefault="003C2826" w:rsidP="00813CCC">
      <w:pPr>
        <w:jc w:val="both"/>
        <w:rPr>
          <w:rFonts w:ascii="Times New Roman" w:eastAsia="Times New Roman" w:hAnsi="Times New Roman" w:cs="Times New Roman"/>
        </w:rPr>
      </w:pPr>
      <w:r>
        <w:rPr>
          <w:rFonts w:ascii="Times New Roman" w:eastAsia="Times New Roman" w:hAnsi="Times New Roman" w:cs="Times New Roman"/>
        </w:rPr>
        <w:t xml:space="preserve">Considerando la importancia del petróleo </w:t>
      </w:r>
      <w:r w:rsidR="005F3F75">
        <w:rPr>
          <w:rFonts w:ascii="Times New Roman" w:eastAsia="Times New Roman" w:hAnsi="Times New Roman" w:cs="Times New Roman"/>
        </w:rPr>
        <w:t xml:space="preserve">en la economía mundial, </w:t>
      </w:r>
      <w:r w:rsidR="00063C05">
        <w:rPr>
          <w:rFonts w:ascii="Times New Roman" w:eastAsia="Times New Roman" w:hAnsi="Times New Roman" w:cs="Times New Roman"/>
        </w:rPr>
        <w:t>así como la volatilidad de su precio de referencia</w:t>
      </w:r>
      <w:r w:rsidR="00AF21A7">
        <w:rPr>
          <w:rFonts w:ascii="Times New Roman" w:eastAsia="Times New Roman" w:hAnsi="Times New Roman" w:cs="Times New Roman"/>
        </w:rPr>
        <w:t>, e</w:t>
      </w:r>
      <w:r w:rsidR="38BE7CBE" w:rsidRPr="00D73494">
        <w:rPr>
          <w:rFonts w:ascii="Times New Roman" w:eastAsia="Times New Roman" w:hAnsi="Times New Roman" w:cs="Times New Roman"/>
        </w:rPr>
        <w:t xml:space="preserve">ste trabajo </w:t>
      </w:r>
      <w:r w:rsidR="38BE7CBE" w:rsidRPr="625BF242">
        <w:rPr>
          <w:rFonts w:ascii="Times New Roman" w:eastAsia="Times New Roman" w:hAnsi="Times New Roman" w:cs="Times New Roman"/>
        </w:rPr>
        <w:t xml:space="preserve">analiza la </w:t>
      </w:r>
      <w:r w:rsidR="38BE7CBE" w:rsidRPr="36D2644C">
        <w:rPr>
          <w:rFonts w:ascii="Times New Roman" w:eastAsia="Times New Roman" w:hAnsi="Times New Roman" w:cs="Times New Roman"/>
        </w:rPr>
        <w:t xml:space="preserve">predicción </w:t>
      </w:r>
      <w:r w:rsidR="38BE7CBE" w:rsidRPr="07CCD61D">
        <w:rPr>
          <w:rFonts w:ascii="Times New Roman" w:eastAsia="Times New Roman" w:hAnsi="Times New Roman" w:cs="Times New Roman"/>
        </w:rPr>
        <w:t>el precio internacional del petróleo WTI (West Texas Intermediate</w:t>
      </w:r>
      <w:r w:rsidR="38BE7CBE" w:rsidRPr="0ABEE878">
        <w:rPr>
          <w:rFonts w:ascii="Times New Roman" w:eastAsia="Times New Roman" w:hAnsi="Times New Roman" w:cs="Times New Roman"/>
        </w:rPr>
        <w:t>),</w:t>
      </w:r>
      <w:r w:rsidR="38BE7CBE" w:rsidRPr="26F1C207">
        <w:rPr>
          <w:rFonts w:ascii="Times New Roman" w:eastAsia="Times New Roman" w:hAnsi="Times New Roman" w:cs="Times New Roman"/>
        </w:rPr>
        <w:t xml:space="preserve"> </w:t>
      </w:r>
      <w:r w:rsidR="38BE7CBE" w:rsidRPr="184C3784">
        <w:rPr>
          <w:rFonts w:ascii="Times New Roman" w:eastAsia="Times New Roman" w:hAnsi="Times New Roman" w:cs="Times New Roman"/>
        </w:rPr>
        <w:t xml:space="preserve">con el </w:t>
      </w:r>
      <w:r w:rsidR="38BE7CBE" w:rsidRPr="3B9E4D8B">
        <w:rPr>
          <w:rFonts w:ascii="Times New Roman" w:eastAsia="Times New Roman" w:hAnsi="Times New Roman" w:cs="Times New Roman"/>
        </w:rPr>
        <w:t xml:space="preserve">fin </w:t>
      </w:r>
      <w:r w:rsidR="38BE7CBE" w:rsidRPr="10A30D2E">
        <w:rPr>
          <w:rFonts w:ascii="Times New Roman" w:eastAsia="Times New Roman" w:hAnsi="Times New Roman" w:cs="Times New Roman"/>
        </w:rPr>
        <w:t xml:space="preserve">de </w:t>
      </w:r>
      <w:r w:rsidR="38BE7CBE" w:rsidRPr="33F52335">
        <w:rPr>
          <w:rFonts w:ascii="Times New Roman" w:eastAsia="Times New Roman" w:hAnsi="Times New Roman" w:cs="Times New Roman"/>
        </w:rPr>
        <w:t xml:space="preserve">orientar la </w:t>
      </w:r>
      <w:r w:rsidR="38BE7CBE" w:rsidRPr="3E4B68F7">
        <w:rPr>
          <w:rFonts w:ascii="Times New Roman" w:eastAsia="Times New Roman" w:hAnsi="Times New Roman" w:cs="Times New Roman"/>
        </w:rPr>
        <w:t xml:space="preserve">toma de decisiones de </w:t>
      </w:r>
      <w:r w:rsidR="38BE7CBE" w:rsidRPr="619D7EFE">
        <w:rPr>
          <w:rFonts w:ascii="Times New Roman" w:eastAsia="Times New Roman" w:hAnsi="Times New Roman" w:cs="Times New Roman"/>
        </w:rPr>
        <w:t xml:space="preserve">gobiernos e </w:t>
      </w:r>
      <w:r w:rsidR="38BE7CBE" w:rsidRPr="1DEB654B">
        <w:rPr>
          <w:rFonts w:ascii="Times New Roman" w:eastAsia="Times New Roman" w:hAnsi="Times New Roman" w:cs="Times New Roman"/>
        </w:rPr>
        <w:t>inversionistas</w:t>
      </w:r>
      <w:r w:rsidR="38BE7CBE" w:rsidRPr="4B93C114">
        <w:rPr>
          <w:rFonts w:ascii="Times New Roman" w:eastAsia="Times New Roman" w:hAnsi="Times New Roman" w:cs="Times New Roman"/>
        </w:rPr>
        <w:t>. Se</w:t>
      </w:r>
      <w:r w:rsidR="38BE7CBE" w:rsidRPr="6CF72EF3">
        <w:rPr>
          <w:rFonts w:ascii="Times New Roman" w:eastAsia="Times New Roman" w:hAnsi="Times New Roman" w:cs="Times New Roman"/>
        </w:rPr>
        <w:t xml:space="preserve"> </w:t>
      </w:r>
      <w:r w:rsidR="38BE7CBE" w:rsidRPr="00D73494">
        <w:rPr>
          <w:rFonts w:ascii="Times New Roman" w:eastAsia="Times New Roman" w:hAnsi="Times New Roman" w:cs="Times New Roman"/>
        </w:rPr>
        <w:t>propone un modelo que incluye variables de google trends para el pronóstico</w:t>
      </w:r>
      <w:r w:rsidR="00A53C29">
        <w:rPr>
          <w:rFonts w:ascii="Times New Roman" w:eastAsia="Times New Roman" w:hAnsi="Times New Roman" w:cs="Times New Roman"/>
        </w:rPr>
        <w:t xml:space="preserve"> un paso adelante</w:t>
      </w:r>
      <w:r w:rsidR="00A53C29" w:rsidRPr="358A032A">
        <w:rPr>
          <w:rFonts w:ascii="Times New Roman" w:eastAsia="Times New Roman" w:hAnsi="Times New Roman" w:cs="Times New Roman"/>
        </w:rPr>
        <w:t xml:space="preserve">, </w:t>
      </w:r>
      <w:r w:rsidR="00A53C29" w:rsidRPr="06C96BEA">
        <w:rPr>
          <w:rFonts w:ascii="Times New Roman" w:eastAsia="Times New Roman" w:hAnsi="Times New Roman" w:cs="Times New Roman"/>
        </w:rPr>
        <w:t>p</w:t>
      </w:r>
      <w:r w:rsidR="38BE7CBE" w:rsidRPr="06C96BEA">
        <w:rPr>
          <w:rFonts w:ascii="Times New Roman" w:eastAsia="Times New Roman" w:hAnsi="Times New Roman" w:cs="Times New Roman"/>
        </w:rPr>
        <w:t>ara</w:t>
      </w:r>
      <w:r w:rsidR="38BE7CBE" w:rsidRPr="00D73494">
        <w:rPr>
          <w:rFonts w:ascii="Times New Roman" w:eastAsia="Times New Roman" w:hAnsi="Times New Roman" w:cs="Times New Roman"/>
        </w:rPr>
        <w:t xml:space="preserve"> el desarrollo del modelo se usan datos de producción y precios del petróleo, datos de producción y precios del gas natural. Se utilizan modelos univariados ARIMA, GARCH y T-GARCH para estimar la media y la varianza de las series; y se utilizan modelos multivariados Elastic Net, destilación por componentes principales y NNET autorregresivo para la regularización. Se prueban diferentes configuraciones de los modelos univariados y multivariados para la predicción del precio WTI, utilizando el MSE para la comparación y selección de la combinación más precisa. Se analiza también el efecto de incluir variables de google trend para el mejoramiento de las predicciones. Los resultados</w:t>
      </w:r>
      <w:r w:rsidR="00AD55EE">
        <w:rPr>
          <w:rFonts w:ascii="Times New Roman" w:eastAsia="Times New Roman" w:hAnsi="Times New Roman" w:cs="Times New Roman"/>
        </w:rPr>
        <w:t xml:space="preserve"> empíricos</w:t>
      </w:r>
      <w:r w:rsidR="38BE7CBE" w:rsidRPr="00D73494">
        <w:rPr>
          <w:rFonts w:ascii="Times New Roman" w:eastAsia="Times New Roman" w:hAnsi="Times New Roman" w:cs="Times New Roman"/>
        </w:rPr>
        <w:t xml:space="preserve"> muestran un buen comportamiento del modelo seleccionado con bajos </w:t>
      </w:r>
      <w:r w:rsidR="00B05C3D">
        <w:rPr>
          <w:rFonts w:ascii="Times New Roman" w:eastAsia="Times New Roman" w:hAnsi="Times New Roman" w:cs="Times New Roman"/>
        </w:rPr>
        <w:t>R</w:t>
      </w:r>
      <w:r w:rsidR="38BE7CBE" w:rsidRPr="00D73494">
        <w:rPr>
          <w:rFonts w:ascii="Times New Roman" w:eastAsia="Times New Roman" w:hAnsi="Times New Roman" w:cs="Times New Roman"/>
        </w:rPr>
        <w:t>MSE para la predicción.</w:t>
      </w:r>
    </w:p>
    <w:p w14:paraId="53650C90" w14:textId="77777777" w:rsidR="00442E53" w:rsidRDefault="00442E53" w:rsidP="00813CCC">
      <w:pPr>
        <w:jc w:val="both"/>
        <w:rPr>
          <w:rFonts w:ascii="Times New Roman" w:eastAsia="Times New Roman" w:hAnsi="Times New Roman" w:cs="Times New Roman"/>
        </w:rPr>
      </w:pPr>
    </w:p>
    <w:p w14:paraId="1C5A1D7D" w14:textId="19CD0099" w:rsidR="00442E53" w:rsidRPr="00D0653B" w:rsidRDefault="00442E53" w:rsidP="00813CCC">
      <w:pPr>
        <w:jc w:val="both"/>
        <w:rPr>
          <w:rFonts w:ascii="Times New Roman" w:eastAsia="Times New Roman" w:hAnsi="Times New Roman" w:cs="Times New Roman"/>
        </w:rPr>
      </w:pPr>
      <w:r w:rsidRPr="00D0653B">
        <w:rPr>
          <w:b/>
          <w:bCs/>
        </w:rPr>
        <w:t>Palabras claves</w:t>
      </w:r>
      <w:r w:rsidRPr="00D0653B">
        <w:t xml:space="preserve">: </w:t>
      </w:r>
      <w:r w:rsidR="00431BC2" w:rsidRPr="00D0653B">
        <w:t>predicción precio petróleo</w:t>
      </w:r>
      <w:r w:rsidRPr="00D0653B">
        <w:t>;</w:t>
      </w:r>
      <w:r w:rsidR="00D0653B" w:rsidRPr="00D0653B">
        <w:t xml:space="preserve"> volatilida</w:t>
      </w:r>
      <w:r w:rsidR="00D0653B">
        <w:t>d; modelos univariados; modelos multivariados</w:t>
      </w:r>
      <w:r w:rsidR="009A3ABF">
        <w:t xml:space="preserve">; </w:t>
      </w:r>
      <w:r w:rsidR="00B05C3D">
        <w:t>R</w:t>
      </w:r>
      <w:r w:rsidR="009A3ABF">
        <w:t>MSE.</w:t>
      </w:r>
    </w:p>
    <w:p w14:paraId="17950F83" w14:textId="0BF9614E" w:rsidR="38BE7CBE" w:rsidRDefault="38BE7CBE" w:rsidP="00813CCC">
      <w:pPr>
        <w:jc w:val="both"/>
        <w:rPr>
          <w:rFonts w:ascii="Times New Roman" w:eastAsia="Times New Roman" w:hAnsi="Times New Roman" w:cs="Times New Roman"/>
          <w:b/>
          <w:bCs/>
        </w:rPr>
      </w:pPr>
    </w:p>
    <w:p w14:paraId="50BDB8AB" w14:textId="55C02DDA"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INTRODUCCIÓN</w:t>
      </w:r>
    </w:p>
    <w:p w14:paraId="56476CC9" w14:textId="6203483E" w:rsidR="38BE7CBE" w:rsidRPr="00D73494" w:rsidRDefault="38BE7CBE" w:rsidP="00813CCC">
      <w:pPr>
        <w:jc w:val="both"/>
        <w:rPr>
          <w:rFonts w:ascii="Times New Roman" w:eastAsia="Times New Roman" w:hAnsi="Times New Roman" w:cs="Times New Roman"/>
          <w:b/>
          <w:bCs/>
        </w:rPr>
      </w:pPr>
    </w:p>
    <w:p w14:paraId="1D92DACD" w14:textId="663817C4"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El incremento en el precio del petróleo ha acentuado el problema inflacionario que afecta a muchas de las economías del mundo, aumento que sólo beneficia a unos pocos países cuyas economías se concentran en la producción y exportación y, perjudica a muchos otros importadores de este recurso natural, de igual forma, la variación de los precios del petróleo ha convulsionado la economía a nivel internacional en años pasados. Es por esto, que el objetivo de este trabajo es encontrar el mejor modelo para pronosticar una eventual subida o caída del precio del petróleo, que permitiera tomar medidas para mitigar o aprovechar dicha situación, debido a la alta dependencia de la economía del país para la generación de regalías y así la financiación de programas sociales. Por otra parte, el país aprobó la política de transición energética (DNP, 2022), donde se identifica el gran potencial que tiene el país en energías renovables como la eólica, solar, y geotérmica, así como en hidrógeno, por lo cual, la predicción de los precios del petróleo apoyaría las decisiones en el cambio que se ha planteado el Gobierno Nacional en los próximos 8 años. </w:t>
      </w:r>
    </w:p>
    <w:p w14:paraId="774C4F35" w14:textId="352A09E7" w:rsidR="38BE7CBE" w:rsidRPr="00D73494" w:rsidRDefault="38BE7CBE" w:rsidP="00813CCC">
      <w:pPr>
        <w:jc w:val="both"/>
        <w:rPr>
          <w:rFonts w:ascii="Times New Roman" w:eastAsia="Times New Roman" w:hAnsi="Times New Roman" w:cs="Times New Roman"/>
        </w:rPr>
      </w:pPr>
    </w:p>
    <w:p w14:paraId="434CE2C7" w14:textId="407BE98C"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Algunos estudios han utilizado métodos de Big Data aplicados a series de tiempo para predecir el precio del petróleo, Yu et al (2019) y Choi y Shin (2022) utilizan como predictores búsquedas relacionadas con petróleo en Google Trends, encontrando que los modelos que incluyen estas variables producen mejores pronósticos para el petróleo. En Colombia, investigadores de la Uni</w:t>
      </w:r>
      <w:r w:rsidR="38BE7CBE" w:rsidRPr="00D73494">
        <w:rPr>
          <w:rFonts w:ascii="Times New Roman" w:eastAsia="Times New Roman" w:hAnsi="Times New Roman" w:cs="Times New Roman"/>
        </w:rPr>
        <w:t>versidad de Antioquia y la Universidad de Eafit propusieron un modelo basado en redes neuronales para el pronóstico del precio internacional del petróleo utilizando estructuras de redes con datos de series de precios diarios de petróleo WTI (West Texas Intermediate), el índice S&amp;P500 y índice del dólar estadounidense DXY.</w:t>
      </w:r>
    </w:p>
    <w:p w14:paraId="2C8B67B3" w14:textId="1D8D7D2A" w:rsidR="38BE7CBE" w:rsidRPr="00D73494" w:rsidRDefault="38BE7CBE" w:rsidP="00813CCC">
      <w:pPr>
        <w:jc w:val="both"/>
        <w:rPr>
          <w:rFonts w:ascii="Times New Roman" w:eastAsia="Times New Roman" w:hAnsi="Times New Roman" w:cs="Times New Roman"/>
        </w:rPr>
      </w:pPr>
    </w:p>
    <w:p w14:paraId="6BF9D016" w14:textId="6174FA62"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este trabajo se presenta un modelo de predicción del precio del petróleo WTI a partir de series entre los </w:t>
      </w:r>
      <w:r w:rsidRPr="00D73494">
        <w:rPr>
          <w:rFonts w:ascii="Times New Roman" w:eastAsia="Times New Roman" w:hAnsi="Times New Roman" w:cs="Times New Roman"/>
        </w:rPr>
        <w:lastRenderedPageBreak/>
        <w:t>años 1989 a 2020 de los precios y producción del petróleo WTI y el precio y producción del gas natural. Adicionalmente, como novedad, el modelo cuenta con series variables de google trend</w:t>
      </w:r>
      <w:r w:rsidR="001D3FC6">
        <w:rPr>
          <w:rFonts w:ascii="Times New Roman" w:eastAsia="Times New Roman" w:hAnsi="Times New Roman" w:cs="Times New Roman"/>
        </w:rPr>
        <w:t>s</w:t>
      </w:r>
      <w:r w:rsidRPr="00D73494">
        <w:rPr>
          <w:rFonts w:ascii="Times New Roman" w:eastAsia="Times New Roman" w:hAnsi="Times New Roman" w:cs="Times New Roman"/>
        </w:rPr>
        <w:t xml:space="preserve"> entre los años 2004 y 2020 para su calibración, lo que repercute en una mayor precisión en los resultados de predicción. </w:t>
      </w:r>
    </w:p>
    <w:p w14:paraId="3645BB69" w14:textId="37C4C940" w:rsidR="38BE7CBE" w:rsidRPr="00D73494" w:rsidRDefault="38BE7CBE" w:rsidP="00813CCC">
      <w:pPr>
        <w:jc w:val="both"/>
        <w:rPr>
          <w:rFonts w:ascii="Times New Roman" w:eastAsia="Times New Roman" w:hAnsi="Times New Roman" w:cs="Times New Roman"/>
        </w:rPr>
      </w:pPr>
    </w:p>
    <w:p w14:paraId="352E9AB0" w14:textId="570C49ED"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Este documento se compone de cinco secciones incluida esta introducción. La segunda sección enumera y detalla las variables utilizadas para el entrenamiento del modelo y como se limpiaron para este fin. La tercera sección describe las metodologías utilizadas para la elaboración del modelo, mientras que en la cuarta sección se presentan los resultados arrojados por el modelo. Finalmente, en la última sección se resaltan las principales conclusiones y recomendaciones con base al trabajo realizado.  </w:t>
      </w:r>
    </w:p>
    <w:p w14:paraId="4C8FB8AD" w14:textId="2E4D7B78" w:rsidR="38BE7CBE" w:rsidRPr="00D73494" w:rsidRDefault="38BE7CBE" w:rsidP="00813CCC">
      <w:pPr>
        <w:jc w:val="both"/>
        <w:rPr>
          <w:rFonts w:ascii="Times New Roman" w:eastAsia="Times New Roman" w:hAnsi="Times New Roman" w:cs="Times New Roman"/>
          <w:color w:val="FF0000"/>
        </w:rPr>
      </w:pPr>
    </w:p>
    <w:p w14:paraId="3A34EDAE" w14:textId="01F16FBB"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DATOS</w:t>
      </w:r>
    </w:p>
    <w:p w14:paraId="6CC0F88D" w14:textId="7CA0C41C" w:rsidR="38BE7CBE" w:rsidRPr="00D73494" w:rsidRDefault="38BE7CBE" w:rsidP="00813CCC">
      <w:pPr>
        <w:jc w:val="both"/>
        <w:rPr>
          <w:rFonts w:ascii="Times New Roman" w:eastAsia="Times New Roman" w:hAnsi="Times New Roman" w:cs="Times New Roman"/>
          <w:b/>
          <w:bCs/>
        </w:rPr>
      </w:pPr>
    </w:p>
    <w:p w14:paraId="1C9A30CB" w14:textId="7B4AC83B"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línea con el objetivo de este documento, para proyectar precios del petróleo por barril es necesario contar con series de tiempo de las variables que se consideran relevantes e influyentes en la definición del WTI, por lo que se obtuvieron los datos mensuales del precio del petróleo promedio como la variable explicativa principal, junto con otras variables de importancia como lo son: la producción de petróleo en miles de barriles debido a la relación entre la oferta y demanda del crudo como factor fundamental en la formación de precios de este, el precio de importación del Gas Natural y la producción de millones de pies cúbicos de Gas Natural, ya que existe una correlación positiva entre estos dos recursos naturales en particular, porque el gas natural es un derivado del proceso de extracción del petróleo (Lioudis, 2022) </w:t>
      </w:r>
      <w:r w:rsidRPr="00D73494">
        <w:rPr>
          <w:rStyle w:val="Refdenotaalpie"/>
          <w:rFonts w:ascii="Times New Roman" w:eastAsia="Times New Roman" w:hAnsi="Times New Roman" w:cs="Times New Roman"/>
        </w:rPr>
        <w:footnoteReference w:id="2"/>
      </w:r>
      <w:r w:rsidRPr="00D73494">
        <w:rPr>
          <w:rFonts w:ascii="Times New Roman" w:eastAsia="Times New Roman" w:hAnsi="Times New Roman" w:cs="Times New Roman"/>
        </w:rPr>
        <w:t>. Las anteriores variables se obtuvieron en periodos mensuales de</w:t>
      </w:r>
      <w:r w:rsidR="38BE7CBE" w:rsidRPr="00D73494">
        <w:rPr>
          <w:rFonts w:ascii="Times New Roman" w:eastAsia="Times New Roman" w:hAnsi="Times New Roman" w:cs="Times New Roman"/>
        </w:rPr>
        <w:t xml:space="preserve"> </w:t>
      </w:r>
      <w:r w:rsidRPr="00D73494">
        <w:rPr>
          <w:rFonts w:ascii="Times New Roman" w:eastAsia="Times New Roman" w:hAnsi="Times New Roman" w:cs="Times New Roman"/>
        </w:rPr>
        <w:t>enero 1990 a mayo 2022</w:t>
      </w:r>
      <w:r w:rsidRPr="00D73494">
        <w:rPr>
          <w:rStyle w:val="Refdenotaalpie"/>
          <w:rFonts w:ascii="Times New Roman" w:eastAsia="Times New Roman" w:hAnsi="Times New Roman" w:cs="Times New Roman"/>
        </w:rPr>
        <w:footnoteReference w:id="3"/>
      </w:r>
      <w:r w:rsidRPr="00D73494">
        <w:rPr>
          <w:rFonts w:ascii="Times New Roman" w:eastAsia="Times New Roman" w:hAnsi="Times New Roman" w:cs="Times New Roman"/>
        </w:rPr>
        <w:t xml:space="preserve"> , lo que permite contar con un total de 401 observaciones por variable.</w:t>
      </w:r>
    </w:p>
    <w:p w14:paraId="61F7ED6E" w14:textId="3366FA5C" w:rsidR="38BE7CBE" w:rsidRPr="00D73494" w:rsidRDefault="38BE7CBE" w:rsidP="00813CCC">
      <w:pPr>
        <w:jc w:val="both"/>
        <w:rPr>
          <w:rFonts w:ascii="Times New Roman" w:eastAsia="Times New Roman" w:hAnsi="Times New Roman" w:cs="Times New Roman"/>
        </w:rPr>
      </w:pPr>
    </w:p>
    <w:p w14:paraId="0ADA2516" w14:textId="35271576"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la tabla 1 del Anexo, se observa que el precio del barril del petróleo (WTI) es una variable con alta volatilidad que ha llegado a presentar un mínimo de 11,35 USD/Barril hasta 133,88 D/Barril en el periodo en análisis, lo que refleja una serie de tiempo no estacionaria, que lleva a suponer que hay diversos factores que influyen en el precio del crudo y la influencia de cada uno de estos no es consistente o linean a lo largo del tiempo, Cen et al, 2018 (ver gráfica 1.a). La volatilidad también se ve reflejada en la producción de petróleo mensual, así como en el precio y producción de Gas Natural. </w:t>
      </w:r>
    </w:p>
    <w:p w14:paraId="1C9A0F76" w14:textId="0B0542AC"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Debido a la volatilidad de la serie WTI, es necesario transformar la serie a estacionaria por medio de los retornos logarítmicos de esta (ver gráfica 1.b), sin embargo, al observarse outliers en esta última serie, se ajusta la misma por outliers considerando un análisis cuantílico e imputando los outliers identificados (ver gráfica 1.c).</w:t>
      </w:r>
    </w:p>
    <w:p w14:paraId="297CBC25" w14:textId="66D265BC" w:rsidR="38BE7CBE" w:rsidRPr="00D73494" w:rsidRDefault="38BE7CBE" w:rsidP="00813CCC">
      <w:pPr>
        <w:jc w:val="both"/>
        <w:rPr>
          <w:rFonts w:ascii="Times New Roman" w:eastAsia="Times New Roman" w:hAnsi="Times New Roman" w:cs="Times New Roman"/>
        </w:rPr>
      </w:pPr>
    </w:p>
    <w:p w14:paraId="68564E5F" w14:textId="6E9BE0DE"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Gráfica 1. Precios Históricos WTI</w:t>
      </w:r>
    </w:p>
    <w:p w14:paraId="0B1BC7FB" w14:textId="1CE93D2E" w:rsidR="38BE7CBE" w:rsidRPr="00D73494" w:rsidRDefault="38BE7CBE" w:rsidP="00686CAC">
      <w:pPr>
        <w:jc w:val="both"/>
        <w:rPr>
          <w:rFonts w:ascii="Times New Roman" w:eastAsia="Times New Roman" w:hAnsi="Times New Roman" w:cs="Times New Roman"/>
          <w:b/>
          <w:bCs/>
        </w:rPr>
      </w:pPr>
      <w:r w:rsidRPr="00D73494">
        <w:rPr>
          <w:rFonts w:ascii="Times New Roman" w:eastAsia="Times New Roman" w:hAnsi="Times New Roman" w:cs="Times New Roman"/>
          <w:b/>
          <w:bCs/>
        </w:rPr>
        <w:t xml:space="preserve">1.a. Históricos precios WTI (serie original)   </w:t>
      </w:r>
      <w:r w:rsidR="00813CCC">
        <w:rPr>
          <w:rFonts w:ascii="Times New Roman" w:eastAsia="Times New Roman" w:hAnsi="Times New Roman" w:cs="Times New Roman"/>
          <w:b/>
          <w:bCs/>
        </w:rPr>
        <w:t xml:space="preserve">        </w:t>
      </w:r>
      <w:r w:rsidRPr="00D73494">
        <w:rPr>
          <w:rFonts w:ascii="Times New Roman" w:eastAsia="Times New Roman" w:hAnsi="Times New Roman" w:cs="Times New Roman"/>
          <w:b/>
          <w:bCs/>
        </w:rPr>
        <w:t>1.b. Históricos precios WTI (retornos logarítmicos)</w:t>
      </w:r>
    </w:p>
    <w:p w14:paraId="5CC3F9BA" w14:textId="0E50186E" w:rsidR="38BE7CBE" w:rsidRPr="00D73494" w:rsidRDefault="38BE7CBE" w:rsidP="00686CAC">
      <w:pPr>
        <w:jc w:val="both"/>
        <w:rPr>
          <w:rFonts w:ascii="Times New Roman" w:eastAsia="Times New Roman" w:hAnsi="Times New Roman" w:cs="Times New Roman"/>
        </w:rPr>
      </w:pPr>
      <w:r>
        <w:rPr>
          <w:noProof/>
        </w:rPr>
        <w:drawing>
          <wp:inline distT="0" distB="0" distL="0" distR="0" wp14:anchorId="74C90534" wp14:editId="44B5DEC2">
            <wp:extent cx="2855548" cy="1743075"/>
            <wp:effectExtent l="0" t="0" r="2540" b="0"/>
            <wp:docPr id="624714760" name="Picture 62471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5548" cy="1743075"/>
                    </a:xfrm>
                    <a:prstGeom prst="rect">
                      <a:avLst/>
                    </a:prstGeom>
                  </pic:spPr>
                </pic:pic>
              </a:graphicData>
            </a:graphic>
          </wp:inline>
        </w:drawing>
      </w:r>
      <w:r w:rsidR="00813CCC">
        <w:rPr>
          <w:noProof/>
        </w:rPr>
        <w:t xml:space="preserve">      </w:t>
      </w:r>
      <w:r w:rsidR="00686CAC">
        <w:rPr>
          <w:noProof/>
        </w:rPr>
        <w:t xml:space="preserve">   </w:t>
      </w:r>
      <w:r>
        <w:rPr>
          <w:noProof/>
        </w:rPr>
        <w:drawing>
          <wp:inline distT="0" distB="0" distL="0" distR="0" wp14:anchorId="009AD66A" wp14:editId="155A1539">
            <wp:extent cx="2690495" cy="1642322"/>
            <wp:effectExtent l="0" t="0" r="0" b="0"/>
            <wp:docPr id="1194278053" name="Picture 119427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722015" cy="1661562"/>
                    </a:xfrm>
                    <a:prstGeom prst="rect">
                      <a:avLst/>
                    </a:prstGeom>
                  </pic:spPr>
                </pic:pic>
              </a:graphicData>
            </a:graphic>
          </wp:inline>
        </w:drawing>
      </w:r>
    </w:p>
    <w:p w14:paraId="62C70155" w14:textId="4CB4781D"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lastRenderedPageBreak/>
        <w:t>1.c Históricos precios WTI (imputación ourliers)</w:t>
      </w:r>
    </w:p>
    <w:p w14:paraId="70CD4B7B" w14:textId="0D2049DF" w:rsidR="38BE7CBE" w:rsidRPr="00D73494" w:rsidRDefault="38BE7CBE" w:rsidP="00813CCC">
      <w:pPr>
        <w:jc w:val="center"/>
        <w:rPr>
          <w:rFonts w:ascii="Times New Roman" w:eastAsia="Times New Roman" w:hAnsi="Times New Roman" w:cs="Times New Roman"/>
        </w:rPr>
      </w:pPr>
      <w:r>
        <w:rPr>
          <w:noProof/>
        </w:rPr>
        <w:drawing>
          <wp:inline distT="0" distB="0" distL="0" distR="0" wp14:anchorId="10F08BAA" wp14:editId="776E399D">
            <wp:extent cx="3183236" cy="1943100"/>
            <wp:effectExtent l="0" t="0" r="0" b="0"/>
            <wp:docPr id="395365549" name="Picture 39536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88498" cy="1946312"/>
                    </a:xfrm>
                    <a:prstGeom prst="rect">
                      <a:avLst/>
                    </a:prstGeom>
                  </pic:spPr>
                </pic:pic>
              </a:graphicData>
            </a:graphic>
          </wp:inline>
        </w:drawing>
      </w:r>
    </w:p>
    <w:p w14:paraId="19238905" w14:textId="4C928B41" w:rsidR="38BE7CBE" w:rsidRPr="00D73494" w:rsidRDefault="38BE7CBE" w:rsidP="00813CCC">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14987A04" w14:textId="36930FEE" w:rsidR="38BE7CBE" w:rsidRPr="00D73494" w:rsidRDefault="38BE7CBE" w:rsidP="00813CCC">
      <w:pPr>
        <w:jc w:val="both"/>
        <w:rPr>
          <w:rFonts w:ascii="Times New Roman" w:eastAsia="Times New Roman" w:hAnsi="Times New Roman" w:cs="Times New Roman"/>
        </w:rPr>
      </w:pPr>
    </w:p>
    <w:p w14:paraId="01194210" w14:textId="00174D1F"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Adicionalmente, se tuvo en cuenta datos de Google Trends</w:t>
      </w:r>
      <w:r w:rsidRPr="00D73494">
        <w:rPr>
          <w:rStyle w:val="Refdenotaalpie"/>
          <w:rFonts w:ascii="Times New Roman" w:eastAsia="Times New Roman" w:hAnsi="Times New Roman" w:cs="Times New Roman"/>
        </w:rPr>
        <w:footnoteReference w:id="4"/>
      </w:r>
      <w:r w:rsidRPr="00D73494">
        <w:rPr>
          <w:rFonts w:ascii="Times New Roman" w:eastAsia="Times New Roman" w:hAnsi="Times New Roman" w:cs="Times New Roman"/>
        </w:rPr>
        <w:t xml:space="preserve"> </w:t>
      </w:r>
      <w:r w:rsidR="00DD3EA3">
        <w:rPr>
          <w:rFonts w:ascii="Times New Roman" w:eastAsia="Times New Roman" w:hAnsi="Times New Roman" w:cs="Times New Roman"/>
        </w:rPr>
        <w:t>para el periodo de</w:t>
      </w:r>
      <w:r w:rsidR="00DD3EA3" w:rsidRPr="00D73494">
        <w:rPr>
          <w:rFonts w:ascii="Times New Roman" w:eastAsia="Times New Roman" w:hAnsi="Times New Roman" w:cs="Times New Roman"/>
        </w:rPr>
        <w:t xml:space="preserve"> enero de 2004 a mayo de 2022 (generando 221 observaciones por variable de interés, ver Tabla 2 del Anexo) </w:t>
      </w:r>
      <w:r w:rsidRPr="00D73494">
        <w:rPr>
          <w:rFonts w:ascii="Times New Roman" w:eastAsia="Times New Roman" w:hAnsi="Times New Roman" w:cs="Times New Roman"/>
        </w:rPr>
        <w:t xml:space="preserve">que representan las siguientes búsquedas en Estados Unidos relacionadas con petróleo: </w:t>
      </w:r>
      <w:r w:rsidR="38BE7CBE" w:rsidRPr="00D73494">
        <w:rPr>
          <w:rFonts w:ascii="Times New Roman" w:hAnsi="Times New Roman" w:cs="Times New Roman"/>
          <w:color w:val="000000" w:themeColor="text1"/>
        </w:rPr>
        <w:t>crude oil price,</w:t>
      </w:r>
      <w:r w:rsidRPr="00D73494">
        <w:rPr>
          <w:rFonts w:ascii="Times New Roman" w:eastAsia="Times New Roman" w:hAnsi="Times New Roman" w:cs="Times New Roman"/>
        </w:rPr>
        <w:t xml:space="preserve"> precio del petróleo, price of crude oil, oil price today, today crude oil price, oil consumption, world oil consumption, oil production, us oil, oil, cost oil, entre otras; </w:t>
      </w:r>
      <w:r w:rsidR="00E11019">
        <w:rPr>
          <w:rFonts w:ascii="Times New Roman" w:eastAsia="Times New Roman" w:hAnsi="Times New Roman" w:cs="Times New Roman"/>
        </w:rPr>
        <w:t xml:space="preserve">evidenciando que </w:t>
      </w:r>
      <w:r w:rsidRPr="00D73494">
        <w:rPr>
          <w:rFonts w:ascii="Times New Roman" w:eastAsia="Times New Roman" w:hAnsi="Times New Roman" w:cs="Times New Roman"/>
        </w:rPr>
        <w:t xml:space="preserve">los términos que lograron un indicador 100 en su búsqueda en algún mes del periodo en análisis, fueron </w:t>
      </w:r>
      <w:r w:rsidR="38BE7CBE" w:rsidRPr="00D73494">
        <w:rPr>
          <w:rFonts w:ascii="Times New Roman" w:eastAsia="Times New Roman" w:hAnsi="Times New Roman" w:cs="Times New Roman"/>
        </w:rPr>
        <w:t>crude oil price, us oil, oil, cost oil y biodiesel, reflejadas en la gráfica 2, variables explicativas de los modelos relacionados en el numeral III del presente documento.</w:t>
      </w:r>
    </w:p>
    <w:p w14:paraId="269244C2" w14:textId="43C7E522" w:rsidR="38BE7CBE" w:rsidRPr="00D73494" w:rsidRDefault="38BE7CBE" w:rsidP="00813CCC">
      <w:pPr>
        <w:jc w:val="both"/>
        <w:rPr>
          <w:rFonts w:ascii="Times New Roman" w:eastAsia="Times New Roman" w:hAnsi="Times New Roman" w:cs="Times New Roman"/>
        </w:rPr>
      </w:pPr>
    </w:p>
    <w:p w14:paraId="7C1ED482" w14:textId="42E40761" w:rsidR="38BE7CBE" w:rsidRPr="00D73494" w:rsidRDefault="38BE7CBE" w:rsidP="00813CCC">
      <w:pPr>
        <w:jc w:val="center"/>
        <w:rPr>
          <w:rFonts w:ascii="Times New Roman" w:eastAsia="Times New Roman" w:hAnsi="Times New Roman" w:cs="Times New Roman"/>
          <w:b/>
          <w:bCs/>
        </w:rPr>
      </w:pPr>
      <w:r w:rsidRPr="00D73494">
        <w:rPr>
          <w:rFonts w:ascii="Times New Roman" w:eastAsia="Times New Roman" w:hAnsi="Times New Roman" w:cs="Times New Roman"/>
          <w:b/>
          <w:bCs/>
        </w:rPr>
        <w:t xml:space="preserve">Gráfica 2. </w:t>
      </w:r>
      <w:r w:rsidR="00813CCC" w:rsidRPr="00D73494">
        <w:rPr>
          <w:rFonts w:ascii="Times New Roman" w:eastAsia="Times New Roman" w:hAnsi="Times New Roman" w:cs="Times New Roman"/>
          <w:b/>
          <w:bCs/>
        </w:rPr>
        <w:t>Indicador</w:t>
      </w:r>
      <w:r w:rsidRPr="00D73494">
        <w:rPr>
          <w:rFonts w:ascii="Times New Roman" w:eastAsia="Times New Roman" w:hAnsi="Times New Roman" w:cs="Times New Roman"/>
          <w:b/>
          <w:bCs/>
        </w:rPr>
        <w:t xml:space="preserve"> Google Trends</w:t>
      </w:r>
    </w:p>
    <w:p w14:paraId="394990B4" w14:textId="47EA14AE" w:rsidR="38BE7CBE" w:rsidRDefault="38BE7CBE" w:rsidP="00813CCC">
      <w:pPr>
        <w:jc w:val="center"/>
        <w:rPr>
          <w:rFonts w:ascii="Times New Roman" w:hAnsi="Times New Roman" w:cs="Times New Roman"/>
        </w:rPr>
      </w:pPr>
      <w:r>
        <w:rPr>
          <w:noProof/>
        </w:rPr>
        <w:drawing>
          <wp:inline distT="0" distB="0" distL="0" distR="0" wp14:anchorId="068096F3" wp14:editId="1D3FBF35">
            <wp:extent cx="4409664" cy="2314575"/>
            <wp:effectExtent l="0" t="0" r="0" b="0"/>
            <wp:docPr id="94376059" name="Picture 9437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76059"/>
                    <pic:cNvPicPr/>
                  </pic:nvPicPr>
                  <pic:blipFill rotWithShape="1">
                    <a:blip r:embed="rId11">
                      <a:extLst>
                        <a:ext uri="{28A0092B-C50C-407E-A947-70E740481C1C}">
                          <a14:useLocalDpi xmlns:a14="http://schemas.microsoft.com/office/drawing/2010/main" val="0"/>
                        </a:ext>
                      </a:extLst>
                    </a:blip>
                    <a:srcRect l="1041" t="12500" r="2500" b="3408"/>
                    <a:stretch/>
                  </pic:blipFill>
                  <pic:spPr bwMode="auto">
                    <a:xfrm>
                      <a:off x="0" y="0"/>
                      <a:ext cx="4410106" cy="2314807"/>
                    </a:xfrm>
                    <a:prstGeom prst="rect">
                      <a:avLst/>
                    </a:prstGeom>
                    <a:ln>
                      <a:noFill/>
                    </a:ln>
                    <a:extLst>
                      <a:ext uri="{53640926-AAD7-44D8-BBD7-CCE9431645EC}">
                        <a14:shadowObscured xmlns:a14="http://schemas.microsoft.com/office/drawing/2010/main"/>
                      </a:ext>
                    </a:extLst>
                  </pic:spPr>
                </pic:pic>
              </a:graphicData>
            </a:graphic>
          </wp:inline>
        </w:drawing>
      </w:r>
    </w:p>
    <w:p w14:paraId="4A7630DF" w14:textId="77777777" w:rsidR="00813CCC" w:rsidRPr="00D73494" w:rsidRDefault="00813CCC" w:rsidP="00813CCC">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62AF9D40" w14:textId="77777777" w:rsidR="00813CCC" w:rsidRPr="00D73494" w:rsidRDefault="00813CCC" w:rsidP="00813CCC">
      <w:pPr>
        <w:jc w:val="center"/>
        <w:rPr>
          <w:rFonts w:ascii="Times New Roman" w:hAnsi="Times New Roman" w:cs="Times New Roman"/>
        </w:rPr>
      </w:pPr>
    </w:p>
    <w:p w14:paraId="36AE288D" w14:textId="7293E793"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En las gráficas 1.b y 2, se observa que los outliers coinciden con el incremento en </w:t>
      </w:r>
      <w:r w:rsidR="001D3FC6" w:rsidRPr="00D73494">
        <w:rPr>
          <w:rFonts w:ascii="Times New Roman" w:eastAsia="Times New Roman" w:hAnsi="Times New Roman" w:cs="Times New Roman"/>
        </w:rPr>
        <w:t>búsquedas</w:t>
      </w:r>
      <w:r w:rsidRPr="00D73494">
        <w:rPr>
          <w:rFonts w:ascii="Times New Roman" w:eastAsia="Times New Roman" w:hAnsi="Times New Roman" w:cs="Times New Roman"/>
        </w:rPr>
        <w:t xml:space="preserve"> en google trends de los términos relacionados con el petróleo, periodos que a su vez van en armonía con la crisis económica de 2008, la emergencia sanitaria mundial por la COVID-19 a inicios del año 2020 y con la Guerra entre Rusia y Ucránia en 2021. Lo anterior hace relevante la inclusión de estos variables a los modelos de predicción pues estas búsquedas pueden estar relacionadas con periodos en los cuales se presentaron impactos en el precio del petróleo.</w:t>
      </w:r>
    </w:p>
    <w:p w14:paraId="668CA592" w14:textId="039A932C"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lastRenderedPageBreak/>
        <w:t>MODELO</w:t>
      </w:r>
    </w:p>
    <w:p w14:paraId="38056ED1" w14:textId="46A67D9E" w:rsidR="38BE7CBE" w:rsidRPr="00D73494" w:rsidRDefault="38BE7CBE" w:rsidP="00813CCC">
      <w:pPr>
        <w:jc w:val="both"/>
        <w:rPr>
          <w:rFonts w:ascii="Times New Roman" w:eastAsia="Times New Roman" w:hAnsi="Times New Roman" w:cs="Times New Roman"/>
          <w:b/>
          <w:bCs/>
        </w:rPr>
      </w:pPr>
    </w:p>
    <w:p w14:paraId="3CF0C71A" w14:textId="0C44E382"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Considerando que los datos corresponden a series de tiempo, se realizaron particiones a la base de datos correspondiente al periodo de entrenamiento y de prueba, considerando un periodo de entrenamiento de agosto 1989 a diciembre 2020 para los modelos que no incluyen variables de google trends y julio 2004 a diciembre 2020 para los modelos que incluyen variables de google trends. </w:t>
      </w:r>
    </w:p>
    <w:p w14:paraId="76ADBFC6" w14:textId="7A9B66E3" w:rsidR="38BE7CBE" w:rsidRPr="00D73494" w:rsidRDefault="38BE7CBE" w:rsidP="00813CCC">
      <w:pPr>
        <w:jc w:val="both"/>
        <w:rPr>
          <w:rFonts w:ascii="Times New Roman" w:eastAsia="Times New Roman" w:hAnsi="Times New Roman" w:cs="Times New Roman"/>
        </w:rPr>
      </w:pPr>
    </w:p>
    <w:p w14:paraId="3588E85F" w14:textId="55293EB1" w:rsidR="359A34FC" w:rsidRPr="00D73494" w:rsidRDefault="359A34FC"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Por otro lado, para realizar validación cruzada con datos de series de tiempo se considera un proceso de rolling window para pronosticar un paso adelante la serie de los retornos del precio del petróleo, lo que quiere decir que se realizarán los pronósticos un paso adelante incluyendo el dato adicional para realizar el siguiente paso, por lo tanto, se tiene en cuenta una ventana </w:t>
      </w:r>
      <w:r w:rsidR="00FB1911" w:rsidRPr="00D73494">
        <w:rPr>
          <w:rFonts w:ascii="Times New Roman" w:eastAsia="Times New Roman" w:hAnsi="Times New Roman" w:cs="Times New Roman"/>
        </w:rPr>
        <w:t>móvil</w:t>
      </w:r>
      <w:r w:rsidRPr="00D73494">
        <w:rPr>
          <w:rFonts w:ascii="Times New Roman" w:eastAsia="Times New Roman" w:hAnsi="Times New Roman" w:cs="Times New Roman"/>
        </w:rPr>
        <w:t xml:space="preserve"> inicial de agosto 1989 a octubre 2014 para modelos sin google trends y julio 2004 a agosto 2017 para modelos con google trends, incrementando un mes adicional la ventana hasta llegar a diciembre 2020, de esta manera se obtienen pronósticos un mes adelante para los periodos noviembre 2014 a diciembre 2020 y septiembre 2017 a diciembre 2020, calculando con esta información los siguientes estándares relativos, MSE, RMSE, MAE y U-Theil, para seleccionar el mejor modelo.</w:t>
      </w:r>
    </w:p>
    <w:p w14:paraId="6DAEAAF6" w14:textId="31926ECF" w:rsidR="38BE7CBE" w:rsidRPr="00D73494" w:rsidRDefault="38BE7CBE" w:rsidP="00813CCC">
      <w:pPr>
        <w:jc w:val="both"/>
        <w:rPr>
          <w:rFonts w:ascii="Times New Roman" w:eastAsia="Times New Roman" w:hAnsi="Times New Roman" w:cs="Times New Roman"/>
        </w:rPr>
      </w:pPr>
    </w:p>
    <w:p w14:paraId="65D561FE" w14:textId="61D22139"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Teniendo en cuenta la serie de los retornos logarítmicos del precio del petróleo ajustada por outliers se consideraron dos tipos de modelos, inicialmente se tienen modelos univariados en los cuales se modela la media y la varianza de la serie como ARIMA, GARCH y T-GARCH y por otro lado, se tienen modelos multivariados que consideran regularización con Elastic Net, destilación por componentes principales y NNET autorregresivo. Para los modelos multivariados se estiman dos modelos por cada metodología, un modelo 1 que no incluye las variables de google trends y un modelo 2 que incluye las variables de google trends, adicionalmente, para estos modelos se incluyen los 6 primeros rezagos de cada variable, esto considerando importante incluir periodos anteriores de todas las variables ya que estas series de tiempo presentan autocorrelación. La Tabla 3 presenta el accuracy de los modelos estimados</w:t>
      </w:r>
    </w:p>
    <w:p w14:paraId="0AC7FDD1" w14:textId="4C4A5B11" w:rsidR="38BE7CBE" w:rsidRPr="00D73494" w:rsidRDefault="38BE7CBE" w:rsidP="00813CCC">
      <w:pPr>
        <w:jc w:val="both"/>
        <w:rPr>
          <w:rFonts w:ascii="Times New Roman" w:eastAsia="Times New Roman" w:hAnsi="Times New Roman" w:cs="Times New Roman"/>
        </w:rPr>
      </w:pPr>
    </w:p>
    <w:p w14:paraId="73C94EB9" w14:textId="1822D642" w:rsidR="38BE7CBE" w:rsidRPr="00D73494" w:rsidRDefault="38BE7CBE" w:rsidP="00FB1911">
      <w:pPr>
        <w:jc w:val="center"/>
        <w:rPr>
          <w:rFonts w:ascii="Times New Roman" w:eastAsia="Times New Roman" w:hAnsi="Times New Roman" w:cs="Times New Roman"/>
          <w:b/>
          <w:bCs/>
        </w:rPr>
      </w:pPr>
      <w:r w:rsidRPr="00D73494">
        <w:rPr>
          <w:rFonts w:ascii="Times New Roman" w:eastAsia="Times New Roman" w:hAnsi="Times New Roman" w:cs="Times New Roman"/>
          <w:b/>
          <w:bCs/>
        </w:rPr>
        <w:t>Tabla 3. Precisión (Accuracy) de los modelos estimados</w:t>
      </w:r>
    </w:p>
    <w:tbl>
      <w:tblPr>
        <w:tblStyle w:val="Tablaconcuadrcula"/>
        <w:tblW w:w="0" w:type="auto"/>
        <w:jc w:val="center"/>
        <w:tblLayout w:type="fixed"/>
        <w:tblLook w:val="06A0" w:firstRow="1" w:lastRow="0" w:firstColumn="1" w:lastColumn="0" w:noHBand="1" w:noVBand="1"/>
      </w:tblPr>
      <w:tblGrid>
        <w:gridCol w:w="4275"/>
        <w:gridCol w:w="765"/>
        <w:gridCol w:w="705"/>
        <w:gridCol w:w="705"/>
        <w:gridCol w:w="915"/>
      </w:tblGrid>
      <w:tr w:rsidR="38BE7CBE" w:rsidRPr="00D73494" w14:paraId="5C5268BB" w14:textId="77777777" w:rsidTr="38BE7CBE">
        <w:trPr>
          <w:trHeight w:val="300"/>
          <w:jc w:val="center"/>
        </w:trPr>
        <w:tc>
          <w:tcPr>
            <w:tcW w:w="4275" w:type="dxa"/>
            <w:tcBorders>
              <w:top w:val="nil"/>
              <w:left w:val="nil"/>
              <w:bottom w:val="single" w:sz="4" w:space="0" w:color="auto"/>
              <w:right w:val="nil"/>
            </w:tcBorders>
            <w:vAlign w:val="bottom"/>
          </w:tcPr>
          <w:p w14:paraId="5B40571F" w14:textId="56494BE0"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Model</w:t>
            </w:r>
          </w:p>
        </w:tc>
        <w:tc>
          <w:tcPr>
            <w:tcW w:w="765" w:type="dxa"/>
            <w:tcBorders>
              <w:top w:val="nil"/>
              <w:left w:val="nil"/>
              <w:bottom w:val="single" w:sz="4" w:space="0" w:color="auto"/>
              <w:right w:val="nil"/>
            </w:tcBorders>
            <w:vAlign w:val="bottom"/>
          </w:tcPr>
          <w:p w14:paraId="0083863D" w14:textId="1AD84062"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ME</w:t>
            </w:r>
          </w:p>
        </w:tc>
        <w:tc>
          <w:tcPr>
            <w:tcW w:w="705" w:type="dxa"/>
            <w:tcBorders>
              <w:top w:val="nil"/>
              <w:left w:val="nil"/>
              <w:bottom w:val="single" w:sz="4" w:space="0" w:color="auto"/>
              <w:right w:val="nil"/>
            </w:tcBorders>
            <w:vAlign w:val="bottom"/>
          </w:tcPr>
          <w:p w14:paraId="21B1E3B8" w14:textId="4B373597"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RMSE</w:t>
            </w:r>
          </w:p>
        </w:tc>
        <w:tc>
          <w:tcPr>
            <w:tcW w:w="705" w:type="dxa"/>
            <w:tcBorders>
              <w:top w:val="nil"/>
              <w:left w:val="nil"/>
              <w:bottom w:val="single" w:sz="4" w:space="0" w:color="auto"/>
              <w:right w:val="nil"/>
            </w:tcBorders>
            <w:vAlign w:val="bottom"/>
          </w:tcPr>
          <w:p w14:paraId="15B6BCDF" w14:textId="2BDDB97E"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MAE</w:t>
            </w:r>
          </w:p>
        </w:tc>
        <w:tc>
          <w:tcPr>
            <w:tcW w:w="915" w:type="dxa"/>
            <w:tcBorders>
              <w:top w:val="nil"/>
              <w:left w:val="nil"/>
              <w:bottom w:val="single" w:sz="4" w:space="0" w:color="auto"/>
              <w:right w:val="nil"/>
            </w:tcBorders>
            <w:vAlign w:val="bottom"/>
          </w:tcPr>
          <w:p w14:paraId="237AFBEB" w14:textId="211F5C5E"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Theil's U</w:t>
            </w:r>
          </w:p>
        </w:tc>
      </w:tr>
      <w:tr w:rsidR="38BE7CBE" w:rsidRPr="00D73494" w14:paraId="0757B4CE" w14:textId="77777777" w:rsidTr="38BE7CBE">
        <w:trPr>
          <w:trHeight w:val="300"/>
          <w:jc w:val="center"/>
        </w:trPr>
        <w:tc>
          <w:tcPr>
            <w:tcW w:w="4275" w:type="dxa"/>
            <w:tcBorders>
              <w:top w:val="single" w:sz="4" w:space="0" w:color="auto"/>
              <w:left w:val="nil"/>
              <w:bottom w:val="nil"/>
              <w:right w:val="nil"/>
            </w:tcBorders>
            <w:vAlign w:val="bottom"/>
          </w:tcPr>
          <w:p w14:paraId="2246A1AA" w14:textId="195C07A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ARIMA Model</w:t>
            </w:r>
          </w:p>
        </w:tc>
        <w:tc>
          <w:tcPr>
            <w:tcW w:w="765" w:type="dxa"/>
            <w:tcBorders>
              <w:top w:val="single" w:sz="4" w:space="0" w:color="auto"/>
              <w:left w:val="nil"/>
              <w:bottom w:val="nil"/>
              <w:right w:val="nil"/>
            </w:tcBorders>
            <w:vAlign w:val="bottom"/>
          </w:tcPr>
          <w:p w14:paraId="1A9EF606" w14:textId="04EA493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-0,0108</w:t>
            </w:r>
          </w:p>
        </w:tc>
        <w:tc>
          <w:tcPr>
            <w:tcW w:w="705" w:type="dxa"/>
            <w:tcBorders>
              <w:top w:val="single" w:sz="4" w:space="0" w:color="auto"/>
              <w:left w:val="nil"/>
              <w:bottom w:val="nil"/>
              <w:right w:val="nil"/>
            </w:tcBorders>
            <w:vAlign w:val="bottom"/>
          </w:tcPr>
          <w:p w14:paraId="54FC76D1" w14:textId="29BD99E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0,0863</w:t>
            </w:r>
          </w:p>
        </w:tc>
        <w:tc>
          <w:tcPr>
            <w:tcW w:w="705" w:type="dxa"/>
            <w:tcBorders>
              <w:top w:val="single" w:sz="4" w:space="0" w:color="auto"/>
              <w:left w:val="nil"/>
              <w:bottom w:val="nil"/>
              <w:right w:val="nil"/>
            </w:tcBorders>
            <w:vAlign w:val="bottom"/>
          </w:tcPr>
          <w:p w14:paraId="1003905E" w14:textId="7DB4549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0,0666</w:t>
            </w:r>
          </w:p>
        </w:tc>
        <w:tc>
          <w:tcPr>
            <w:tcW w:w="915" w:type="dxa"/>
            <w:tcBorders>
              <w:top w:val="single" w:sz="4" w:space="0" w:color="auto"/>
              <w:left w:val="nil"/>
              <w:bottom w:val="nil"/>
              <w:right w:val="nil"/>
            </w:tcBorders>
            <w:vAlign w:val="bottom"/>
          </w:tcPr>
          <w:p w14:paraId="4DF9A16A" w14:textId="55C20FA7"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1,8499</w:t>
            </w:r>
          </w:p>
        </w:tc>
      </w:tr>
      <w:tr w:rsidR="38BE7CBE" w:rsidRPr="00D73494" w14:paraId="74137E5E" w14:textId="77777777" w:rsidTr="38BE7CBE">
        <w:trPr>
          <w:trHeight w:val="300"/>
          <w:jc w:val="center"/>
        </w:trPr>
        <w:tc>
          <w:tcPr>
            <w:tcW w:w="4275" w:type="dxa"/>
            <w:tcBorders>
              <w:top w:val="nil"/>
              <w:left w:val="nil"/>
              <w:bottom w:val="nil"/>
              <w:right w:val="nil"/>
            </w:tcBorders>
            <w:vAlign w:val="bottom"/>
          </w:tcPr>
          <w:p w14:paraId="39742D77" w14:textId="0834BC5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GARCH Model</w:t>
            </w:r>
          </w:p>
        </w:tc>
        <w:tc>
          <w:tcPr>
            <w:tcW w:w="765" w:type="dxa"/>
            <w:tcBorders>
              <w:top w:val="nil"/>
              <w:left w:val="nil"/>
              <w:bottom w:val="nil"/>
              <w:right w:val="nil"/>
            </w:tcBorders>
            <w:vAlign w:val="bottom"/>
          </w:tcPr>
          <w:p w14:paraId="7B4E32E7" w14:textId="2138B3B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0,0066</w:t>
            </w:r>
          </w:p>
        </w:tc>
        <w:tc>
          <w:tcPr>
            <w:tcW w:w="705" w:type="dxa"/>
            <w:tcBorders>
              <w:top w:val="nil"/>
              <w:left w:val="nil"/>
              <w:bottom w:val="nil"/>
              <w:right w:val="nil"/>
            </w:tcBorders>
            <w:vAlign w:val="bottom"/>
          </w:tcPr>
          <w:p w14:paraId="76988CD6" w14:textId="4906374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0,0704</w:t>
            </w:r>
          </w:p>
        </w:tc>
        <w:tc>
          <w:tcPr>
            <w:tcW w:w="705" w:type="dxa"/>
            <w:tcBorders>
              <w:top w:val="nil"/>
              <w:left w:val="nil"/>
              <w:bottom w:val="nil"/>
              <w:right w:val="nil"/>
            </w:tcBorders>
            <w:vAlign w:val="bottom"/>
          </w:tcPr>
          <w:p w14:paraId="6252CF14" w14:textId="300F311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0,0560</w:t>
            </w:r>
          </w:p>
        </w:tc>
        <w:tc>
          <w:tcPr>
            <w:tcW w:w="915" w:type="dxa"/>
            <w:tcBorders>
              <w:top w:val="nil"/>
              <w:left w:val="nil"/>
              <w:bottom w:val="nil"/>
              <w:right w:val="nil"/>
            </w:tcBorders>
            <w:vAlign w:val="bottom"/>
          </w:tcPr>
          <w:p w14:paraId="17285049" w14:textId="5A4D64B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1,0533</w:t>
            </w:r>
          </w:p>
        </w:tc>
      </w:tr>
      <w:tr w:rsidR="38BE7CBE" w:rsidRPr="00D73494" w14:paraId="5A708752" w14:textId="77777777" w:rsidTr="38BE7CBE">
        <w:trPr>
          <w:trHeight w:val="300"/>
          <w:jc w:val="center"/>
        </w:trPr>
        <w:tc>
          <w:tcPr>
            <w:tcW w:w="4275" w:type="dxa"/>
            <w:tcBorders>
              <w:top w:val="nil"/>
              <w:left w:val="nil"/>
              <w:bottom w:val="nil"/>
              <w:right w:val="nil"/>
            </w:tcBorders>
            <w:vAlign w:val="bottom"/>
          </w:tcPr>
          <w:p w14:paraId="3BB6432E" w14:textId="6121A3D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TGARCH Model</w:t>
            </w:r>
          </w:p>
        </w:tc>
        <w:tc>
          <w:tcPr>
            <w:tcW w:w="765" w:type="dxa"/>
            <w:tcBorders>
              <w:top w:val="nil"/>
              <w:left w:val="nil"/>
              <w:bottom w:val="nil"/>
              <w:right w:val="nil"/>
            </w:tcBorders>
            <w:vAlign w:val="bottom"/>
          </w:tcPr>
          <w:p w14:paraId="125FC295" w14:textId="1F34B2A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0,0066</w:t>
            </w:r>
          </w:p>
        </w:tc>
        <w:tc>
          <w:tcPr>
            <w:tcW w:w="705" w:type="dxa"/>
            <w:tcBorders>
              <w:top w:val="nil"/>
              <w:left w:val="nil"/>
              <w:bottom w:val="nil"/>
              <w:right w:val="nil"/>
            </w:tcBorders>
            <w:vAlign w:val="bottom"/>
          </w:tcPr>
          <w:p w14:paraId="481C2B04" w14:textId="3FC6819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0,0707</w:t>
            </w:r>
          </w:p>
        </w:tc>
        <w:tc>
          <w:tcPr>
            <w:tcW w:w="705" w:type="dxa"/>
            <w:tcBorders>
              <w:top w:val="nil"/>
              <w:left w:val="nil"/>
              <w:bottom w:val="nil"/>
              <w:right w:val="nil"/>
            </w:tcBorders>
            <w:vAlign w:val="bottom"/>
          </w:tcPr>
          <w:p w14:paraId="0880F8A4" w14:textId="270CE36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0,0561</w:t>
            </w:r>
          </w:p>
        </w:tc>
        <w:tc>
          <w:tcPr>
            <w:tcW w:w="915" w:type="dxa"/>
            <w:tcBorders>
              <w:top w:val="nil"/>
              <w:left w:val="nil"/>
              <w:bottom w:val="nil"/>
              <w:right w:val="nil"/>
            </w:tcBorders>
            <w:vAlign w:val="bottom"/>
          </w:tcPr>
          <w:p w14:paraId="4CFB77C0" w14:textId="1DEF9DA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1,0604</w:t>
            </w:r>
          </w:p>
        </w:tc>
      </w:tr>
      <w:tr w:rsidR="38BE7CBE" w:rsidRPr="00D73494" w14:paraId="0EAD178F" w14:textId="77777777" w:rsidTr="38BE7CBE">
        <w:trPr>
          <w:trHeight w:val="300"/>
          <w:jc w:val="center"/>
        </w:trPr>
        <w:tc>
          <w:tcPr>
            <w:tcW w:w="4275" w:type="dxa"/>
            <w:tcBorders>
              <w:top w:val="nil"/>
              <w:left w:val="nil"/>
              <w:bottom w:val="nil"/>
              <w:right w:val="nil"/>
            </w:tcBorders>
            <w:vAlign w:val="bottom"/>
          </w:tcPr>
          <w:p w14:paraId="4DFB5D0E" w14:textId="2F8D116B"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Elastic Net Model 1</w:t>
            </w:r>
          </w:p>
        </w:tc>
        <w:tc>
          <w:tcPr>
            <w:tcW w:w="765" w:type="dxa"/>
            <w:tcBorders>
              <w:top w:val="nil"/>
              <w:left w:val="nil"/>
              <w:bottom w:val="nil"/>
              <w:right w:val="nil"/>
            </w:tcBorders>
            <w:vAlign w:val="bottom"/>
          </w:tcPr>
          <w:p w14:paraId="043015BE" w14:textId="12B141A6"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0,0033</w:t>
            </w:r>
          </w:p>
        </w:tc>
        <w:tc>
          <w:tcPr>
            <w:tcW w:w="705" w:type="dxa"/>
            <w:tcBorders>
              <w:top w:val="nil"/>
              <w:left w:val="nil"/>
              <w:bottom w:val="nil"/>
              <w:right w:val="nil"/>
            </w:tcBorders>
            <w:vAlign w:val="bottom"/>
          </w:tcPr>
          <w:p w14:paraId="346B2DBB" w14:textId="4BD83FD6"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0,0686</w:t>
            </w:r>
          </w:p>
        </w:tc>
        <w:tc>
          <w:tcPr>
            <w:tcW w:w="705" w:type="dxa"/>
            <w:tcBorders>
              <w:top w:val="nil"/>
              <w:left w:val="nil"/>
              <w:bottom w:val="nil"/>
              <w:right w:val="nil"/>
            </w:tcBorders>
            <w:vAlign w:val="bottom"/>
          </w:tcPr>
          <w:p w14:paraId="7A85CCF6" w14:textId="5EF39A83"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0,0553</w:t>
            </w:r>
          </w:p>
        </w:tc>
        <w:tc>
          <w:tcPr>
            <w:tcW w:w="915" w:type="dxa"/>
            <w:tcBorders>
              <w:top w:val="nil"/>
              <w:left w:val="nil"/>
              <w:bottom w:val="nil"/>
              <w:right w:val="nil"/>
            </w:tcBorders>
            <w:vAlign w:val="bottom"/>
          </w:tcPr>
          <w:p w14:paraId="748702D3" w14:textId="161B015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0,9013</w:t>
            </w:r>
          </w:p>
        </w:tc>
      </w:tr>
      <w:tr w:rsidR="38BE7CBE" w:rsidRPr="00D73494" w14:paraId="7F8DEF2E" w14:textId="77777777" w:rsidTr="38BE7CBE">
        <w:trPr>
          <w:trHeight w:val="300"/>
          <w:jc w:val="center"/>
        </w:trPr>
        <w:tc>
          <w:tcPr>
            <w:tcW w:w="4275" w:type="dxa"/>
            <w:tcBorders>
              <w:top w:val="nil"/>
              <w:left w:val="nil"/>
              <w:bottom w:val="nil"/>
              <w:right w:val="nil"/>
            </w:tcBorders>
            <w:vAlign w:val="bottom"/>
          </w:tcPr>
          <w:p w14:paraId="23C8BD8A" w14:textId="42310B41" w:rsidR="38BE7CBE" w:rsidRPr="00D73494" w:rsidRDefault="38BE7CBE" w:rsidP="00813CCC">
            <w:pPr>
              <w:jc w:val="both"/>
              <w:rPr>
                <w:rFonts w:ascii="Times New Roman" w:eastAsia="Times New Roman" w:hAnsi="Times New Roman" w:cs="Times New Roman"/>
                <w:color w:val="000000" w:themeColor="text1"/>
                <w:sz w:val="14"/>
                <w:szCs w:val="14"/>
                <w:lang w:val="en-US"/>
              </w:rPr>
            </w:pPr>
            <w:r w:rsidRPr="00D73494">
              <w:rPr>
                <w:rFonts w:ascii="Times New Roman" w:eastAsia="Times New Roman" w:hAnsi="Times New Roman" w:cs="Times New Roman"/>
                <w:color w:val="000000" w:themeColor="text1"/>
                <w:sz w:val="16"/>
                <w:szCs w:val="16"/>
                <w:lang w:val="en-US"/>
              </w:rPr>
              <w:t>Elastic Net Model 2 Google trends</w:t>
            </w:r>
          </w:p>
        </w:tc>
        <w:tc>
          <w:tcPr>
            <w:tcW w:w="765" w:type="dxa"/>
            <w:tcBorders>
              <w:top w:val="nil"/>
              <w:left w:val="nil"/>
              <w:bottom w:val="nil"/>
              <w:right w:val="nil"/>
            </w:tcBorders>
            <w:vAlign w:val="bottom"/>
          </w:tcPr>
          <w:p w14:paraId="5DD060E2" w14:textId="0AE3F4A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0,0082</w:t>
            </w:r>
          </w:p>
        </w:tc>
        <w:tc>
          <w:tcPr>
            <w:tcW w:w="705" w:type="dxa"/>
            <w:tcBorders>
              <w:top w:val="nil"/>
              <w:left w:val="nil"/>
              <w:bottom w:val="nil"/>
              <w:right w:val="nil"/>
            </w:tcBorders>
            <w:shd w:val="clear" w:color="auto" w:fill="8DB4E2"/>
            <w:vAlign w:val="bottom"/>
          </w:tcPr>
          <w:p w14:paraId="60A1179C" w14:textId="75C7FAD0"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0,0541</w:t>
            </w:r>
          </w:p>
        </w:tc>
        <w:tc>
          <w:tcPr>
            <w:tcW w:w="705" w:type="dxa"/>
            <w:tcBorders>
              <w:top w:val="nil"/>
              <w:left w:val="nil"/>
              <w:bottom w:val="nil"/>
              <w:right w:val="nil"/>
            </w:tcBorders>
            <w:vAlign w:val="bottom"/>
          </w:tcPr>
          <w:p w14:paraId="70794136" w14:textId="268F0BF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0,0428</w:t>
            </w:r>
          </w:p>
        </w:tc>
        <w:tc>
          <w:tcPr>
            <w:tcW w:w="915" w:type="dxa"/>
            <w:tcBorders>
              <w:top w:val="nil"/>
              <w:left w:val="nil"/>
              <w:bottom w:val="nil"/>
              <w:right w:val="nil"/>
            </w:tcBorders>
            <w:vAlign w:val="bottom"/>
          </w:tcPr>
          <w:p w14:paraId="554E57AB" w14:textId="5280415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0,9414</w:t>
            </w:r>
          </w:p>
        </w:tc>
      </w:tr>
      <w:tr w:rsidR="38BE7CBE" w:rsidRPr="00D73494" w14:paraId="5B461755" w14:textId="77777777" w:rsidTr="38BE7CBE">
        <w:trPr>
          <w:trHeight w:val="300"/>
          <w:jc w:val="center"/>
        </w:trPr>
        <w:tc>
          <w:tcPr>
            <w:tcW w:w="4275" w:type="dxa"/>
            <w:tcBorders>
              <w:top w:val="nil"/>
              <w:left w:val="nil"/>
              <w:bottom w:val="nil"/>
              <w:right w:val="nil"/>
            </w:tcBorders>
            <w:vAlign w:val="bottom"/>
          </w:tcPr>
          <w:p w14:paraId="22FBBD6D" w14:textId="1F6E060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Principal Component Model 1</w:t>
            </w:r>
          </w:p>
        </w:tc>
        <w:tc>
          <w:tcPr>
            <w:tcW w:w="765" w:type="dxa"/>
            <w:tcBorders>
              <w:top w:val="nil"/>
              <w:left w:val="nil"/>
              <w:bottom w:val="nil"/>
              <w:right w:val="nil"/>
            </w:tcBorders>
            <w:vAlign w:val="bottom"/>
          </w:tcPr>
          <w:p w14:paraId="32E014B7" w14:textId="2CAE2C2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0,0025</w:t>
            </w:r>
          </w:p>
        </w:tc>
        <w:tc>
          <w:tcPr>
            <w:tcW w:w="705" w:type="dxa"/>
            <w:tcBorders>
              <w:top w:val="nil"/>
              <w:left w:val="nil"/>
              <w:bottom w:val="nil"/>
              <w:right w:val="nil"/>
            </w:tcBorders>
            <w:vAlign w:val="bottom"/>
          </w:tcPr>
          <w:p w14:paraId="72B00CC7" w14:textId="5068ACF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0,0720</w:t>
            </w:r>
          </w:p>
        </w:tc>
        <w:tc>
          <w:tcPr>
            <w:tcW w:w="705" w:type="dxa"/>
            <w:tcBorders>
              <w:top w:val="nil"/>
              <w:left w:val="nil"/>
              <w:bottom w:val="nil"/>
              <w:right w:val="nil"/>
            </w:tcBorders>
            <w:vAlign w:val="bottom"/>
          </w:tcPr>
          <w:p w14:paraId="32DE8A39" w14:textId="2A1F6C6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0,0577</w:t>
            </w:r>
          </w:p>
        </w:tc>
        <w:tc>
          <w:tcPr>
            <w:tcW w:w="915" w:type="dxa"/>
            <w:tcBorders>
              <w:top w:val="nil"/>
              <w:left w:val="nil"/>
              <w:bottom w:val="nil"/>
              <w:right w:val="nil"/>
            </w:tcBorders>
            <w:vAlign w:val="bottom"/>
          </w:tcPr>
          <w:p w14:paraId="53B3F850" w14:textId="452FCB9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0,9945</w:t>
            </w:r>
          </w:p>
        </w:tc>
      </w:tr>
      <w:tr w:rsidR="38BE7CBE" w:rsidRPr="00D73494" w14:paraId="08881759" w14:textId="77777777" w:rsidTr="38BE7CBE">
        <w:trPr>
          <w:trHeight w:val="300"/>
          <w:jc w:val="center"/>
        </w:trPr>
        <w:tc>
          <w:tcPr>
            <w:tcW w:w="4275" w:type="dxa"/>
            <w:tcBorders>
              <w:top w:val="nil"/>
              <w:left w:val="nil"/>
              <w:bottom w:val="nil"/>
              <w:right w:val="nil"/>
            </w:tcBorders>
            <w:vAlign w:val="bottom"/>
          </w:tcPr>
          <w:p w14:paraId="633AA92F" w14:textId="6D54E5A1"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Principal Component Model 2 Google trends</w:t>
            </w:r>
          </w:p>
        </w:tc>
        <w:tc>
          <w:tcPr>
            <w:tcW w:w="765" w:type="dxa"/>
            <w:tcBorders>
              <w:top w:val="nil"/>
              <w:left w:val="nil"/>
              <w:bottom w:val="nil"/>
              <w:right w:val="nil"/>
            </w:tcBorders>
            <w:vAlign w:val="bottom"/>
          </w:tcPr>
          <w:p w14:paraId="714928A9" w14:textId="0286977F"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0,0049</w:t>
            </w:r>
          </w:p>
        </w:tc>
        <w:tc>
          <w:tcPr>
            <w:tcW w:w="705" w:type="dxa"/>
            <w:tcBorders>
              <w:top w:val="nil"/>
              <w:left w:val="nil"/>
              <w:bottom w:val="nil"/>
              <w:right w:val="nil"/>
            </w:tcBorders>
            <w:shd w:val="clear" w:color="auto" w:fill="8DB4E2"/>
            <w:vAlign w:val="bottom"/>
          </w:tcPr>
          <w:p w14:paraId="458052AF" w14:textId="0CA4B9CB" w:rsidR="38BE7CBE" w:rsidRPr="00D73494" w:rsidRDefault="38BE7CBE" w:rsidP="00813CCC">
            <w:pPr>
              <w:jc w:val="both"/>
              <w:rPr>
                <w:rFonts w:ascii="Times New Roman" w:eastAsia="Times New Roman" w:hAnsi="Times New Roman" w:cs="Times New Roman"/>
                <w:b/>
                <w:bCs/>
                <w:color w:val="000000" w:themeColor="text1"/>
                <w:sz w:val="14"/>
                <w:szCs w:val="14"/>
              </w:rPr>
            </w:pPr>
            <w:r w:rsidRPr="00D73494">
              <w:rPr>
                <w:rFonts w:ascii="Times New Roman" w:eastAsia="Times New Roman" w:hAnsi="Times New Roman" w:cs="Times New Roman"/>
                <w:b/>
                <w:bCs/>
                <w:color w:val="000000" w:themeColor="text1"/>
                <w:sz w:val="16"/>
                <w:szCs w:val="16"/>
              </w:rPr>
              <w:t>0,0596</w:t>
            </w:r>
          </w:p>
        </w:tc>
        <w:tc>
          <w:tcPr>
            <w:tcW w:w="705" w:type="dxa"/>
            <w:tcBorders>
              <w:top w:val="nil"/>
              <w:left w:val="nil"/>
              <w:bottom w:val="nil"/>
              <w:right w:val="nil"/>
            </w:tcBorders>
            <w:vAlign w:val="bottom"/>
          </w:tcPr>
          <w:p w14:paraId="0FD28DAC" w14:textId="121E979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0,0468</w:t>
            </w:r>
          </w:p>
        </w:tc>
        <w:tc>
          <w:tcPr>
            <w:tcW w:w="915" w:type="dxa"/>
            <w:tcBorders>
              <w:top w:val="nil"/>
              <w:left w:val="nil"/>
              <w:bottom w:val="nil"/>
              <w:right w:val="nil"/>
            </w:tcBorders>
            <w:vAlign w:val="bottom"/>
          </w:tcPr>
          <w:p w14:paraId="7645FA4F" w14:textId="5445395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1,0080</w:t>
            </w:r>
          </w:p>
        </w:tc>
      </w:tr>
      <w:tr w:rsidR="38BE7CBE" w:rsidRPr="00D73494" w14:paraId="68501B77" w14:textId="77777777" w:rsidTr="38BE7CBE">
        <w:trPr>
          <w:trHeight w:val="300"/>
          <w:jc w:val="center"/>
        </w:trPr>
        <w:tc>
          <w:tcPr>
            <w:tcW w:w="4275" w:type="dxa"/>
            <w:tcBorders>
              <w:top w:val="nil"/>
              <w:left w:val="nil"/>
              <w:bottom w:val="nil"/>
              <w:right w:val="nil"/>
            </w:tcBorders>
            <w:vAlign w:val="bottom"/>
          </w:tcPr>
          <w:p w14:paraId="0584447E" w14:textId="246392A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w:t>
            </w:r>
          </w:p>
        </w:tc>
        <w:tc>
          <w:tcPr>
            <w:tcW w:w="765" w:type="dxa"/>
            <w:tcBorders>
              <w:top w:val="nil"/>
              <w:left w:val="nil"/>
              <w:bottom w:val="nil"/>
              <w:right w:val="nil"/>
            </w:tcBorders>
            <w:vAlign w:val="bottom"/>
          </w:tcPr>
          <w:p w14:paraId="479463CA" w14:textId="447AB3BC"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-0,0039</w:t>
            </w:r>
          </w:p>
        </w:tc>
        <w:tc>
          <w:tcPr>
            <w:tcW w:w="705" w:type="dxa"/>
            <w:tcBorders>
              <w:top w:val="nil"/>
              <w:left w:val="nil"/>
              <w:bottom w:val="nil"/>
              <w:right w:val="nil"/>
            </w:tcBorders>
            <w:vAlign w:val="bottom"/>
          </w:tcPr>
          <w:p w14:paraId="2F89F223" w14:textId="2B7FD35D"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0,0739</w:t>
            </w:r>
          </w:p>
        </w:tc>
        <w:tc>
          <w:tcPr>
            <w:tcW w:w="705" w:type="dxa"/>
            <w:tcBorders>
              <w:top w:val="nil"/>
              <w:left w:val="nil"/>
              <w:bottom w:val="nil"/>
              <w:right w:val="nil"/>
            </w:tcBorders>
            <w:vAlign w:val="bottom"/>
          </w:tcPr>
          <w:p w14:paraId="4F03B879" w14:textId="31C6C61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0,0579</w:t>
            </w:r>
          </w:p>
        </w:tc>
        <w:tc>
          <w:tcPr>
            <w:tcW w:w="915" w:type="dxa"/>
            <w:tcBorders>
              <w:top w:val="nil"/>
              <w:left w:val="nil"/>
              <w:bottom w:val="nil"/>
              <w:right w:val="nil"/>
            </w:tcBorders>
            <w:vAlign w:val="bottom"/>
          </w:tcPr>
          <w:p w14:paraId="233301D9" w14:textId="3D86CFC5"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1,0451</w:t>
            </w:r>
          </w:p>
        </w:tc>
      </w:tr>
      <w:tr w:rsidR="38BE7CBE" w:rsidRPr="00D73494" w14:paraId="2ADA4694" w14:textId="77777777" w:rsidTr="38BE7CBE">
        <w:trPr>
          <w:trHeight w:val="300"/>
          <w:jc w:val="center"/>
        </w:trPr>
        <w:tc>
          <w:tcPr>
            <w:tcW w:w="4275" w:type="dxa"/>
            <w:tcBorders>
              <w:top w:val="nil"/>
              <w:left w:val="nil"/>
              <w:bottom w:val="nil"/>
              <w:right w:val="nil"/>
            </w:tcBorders>
            <w:vAlign w:val="bottom"/>
          </w:tcPr>
          <w:p w14:paraId="33DD357A" w14:textId="5D62829A"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 1</w:t>
            </w:r>
          </w:p>
        </w:tc>
        <w:tc>
          <w:tcPr>
            <w:tcW w:w="765" w:type="dxa"/>
            <w:tcBorders>
              <w:top w:val="nil"/>
              <w:left w:val="nil"/>
              <w:bottom w:val="nil"/>
              <w:right w:val="nil"/>
            </w:tcBorders>
            <w:vAlign w:val="bottom"/>
          </w:tcPr>
          <w:p w14:paraId="02F1605A" w14:textId="64B82E0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0,0325</w:t>
            </w:r>
          </w:p>
        </w:tc>
        <w:tc>
          <w:tcPr>
            <w:tcW w:w="705" w:type="dxa"/>
            <w:tcBorders>
              <w:top w:val="nil"/>
              <w:left w:val="nil"/>
              <w:bottom w:val="nil"/>
              <w:right w:val="nil"/>
            </w:tcBorders>
            <w:vAlign w:val="bottom"/>
          </w:tcPr>
          <w:p w14:paraId="3EFBE2DB" w14:textId="00258633"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0,0783</w:t>
            </w:r>
          </w:p>
        </w:tc>
        <w:tc>
          <w:tcPr>
            <w:tcW w:w="705" w:type="dxa"/>
            <w:tcBorders>
              <w:top w:val="nil"/>
              <w:left w:val="nil"/>
              <w:bottom w:val="nil"/>
              <w:right w:val="nil"/>
            </w:tcBorders>
            <w:vAlign w:val="bottom"/>
          </w:tcPr>
          <w:p w14:paraId="1097676D" w14:textId="3AB51E02"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0,0669</w:t>
            </w:r>
          </w:p>
        </w:tc>
        <w:tc>
          <w:tcPr>
            <w:tcW w:w="915" w:type="dxa"/>
            <w:tcBorders>
              <w:top w:val="nil"/>
              <w:left w:val="nil"/>
              <w:bottom w:val="nil"/>
              <w:right w:val="nil"/>
            </w:tcBorders>
            <w:vAlign w:val="bottom"/>
          </w:tcPr>
          <w:p w14:paraId="21BF622D" w14:textId="283FC12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1,1787</w:t>
            </w:r>
          </w:p>
        </w:tc>
      </w:tr>
      <w:tr w:rsidR="38BE7CBE" w:rsidRPr="00D73494" w14:paraId="42623702" w14:textId="77777777" w:rsidTr="38BE7CBE">
        <w:trPr>
          <w:trHeight w:val="300"/>
          <w:jc w:val="center"/>
        </w:trPr>
        <w:tc>
          <w:tcPr>
            <w:tcW w:w="4275" w:type="dxa"/>
            <w:tcBorders>
              <w:top w:val="nil"/>
              <w:left w:val="nil"/>
              <w:bottom w:val="single" w:sz="4" w:space="0" w:color="auto"/>
              <w:right w:val="nil"/>
            </w:tcBorders>
            <w:vAlign w:val="bottom"/>
          </w:tcPr>
          <w:p w14:paraId="04621444" w14:textId="799DFFCE"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NNETAR Model 2 Google trends</w:t>
            </w:r>
          </w:p>
        </w:tc>
        <w:tc>
          <w:tcPr>
            <w:tcW w:w="765" w:type="dxa"/>
            <w:tcBorders>
              <w:top w:val="nil"/>
              <w:left w:val="nil"/>
              <w:bottom w:val="single" w:sz="4" w:space="0" w:color="auto"/>
              <w:right w:val="nil"/>
            </w:tcBorders>
            <w:vAlign w:val="bottom"/>
          </w:tcPr>
          <w:p w14:paraId="30F4F6F4" w14:textId="184E5C18"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0,0458</w:t>
            </w:r>
          </w:p>
        </w:tc>
        <w:tc>
          <w:tcPr>
            <w:tcW w:w="705" w:type="dxa"/>
            <w:tcBorders>
              <w:top w:val="nil"/>
              <w:left w:val="nil"/>
              <w:bottom w:val="single" w:sz="4" w:space="0" w:color="auto"/>
              <w:right w:val="nil"/>
            </w:tcBorders>
            <w:vAlign w:val="bottom"/>
          </w:tcPr>
          <w:p w14:paraId="338893C5" w14:textId="759C8051"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0,0761</w:t>
            </w:r>
          </w:p>
        </w:tc>
        <w:tc>
          <w:tcPr>
            <w:tcW w:w="705" w:type="dxa"/>
            <w:tcBorders>
              <w:top w:val="nil"/>
              <w:left w:val="nil"/>
              <w:bottom w:val="single" w:sz="4" w:space="0" w:color="auto"/>
              <w:right w:val="nil"/>
            </w:tcBorders>
            <w:vAlign w:val="bottom"/>
          </w:tcPr>
          <w:p w14:paraId="237A1CE4" w14:textId="62D95C84"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0,0644</w:t>
            </w:r>
          </w:p>
        </w:tc>
        <w:tc>
          <w:tcPr>
            <w:tcW w:w="915" w:type="dxa"/>
            <w:tcBorders>
              <w:top w:val="nil"/>
              <w:left w:val="nil"/>
              <w:bottom w:val="single" w:sz="4" w:space="0" w:color="auto"/>
              <w:right w:val="nil"/>
            </w:tcBorders>
            <w:vAlign w:val="bottom"/>
          </w:tcPr>
          <w:p w14:paraId="55334320" w14:textId="2B2DB659" w:rsidR="38BE7CBE" w:rsidRPr="00D73494" w:rsidRDefault="38BE7CBE" w:rsidP="00813CCC">
            <w:pPr>
              <w:jc w:val="both"/>
              <w:rPr>
                <w:rFonts w:ascii="Times New Roman" w:eastAsia="Times New Roman" w:hAnsi="Times New Roman" w:cs="Times New Roman"/>
                <w:color w:val="000000" w:themeColor="text1"/>
                <w:sz w:val="14"/>
                <w:szCs w:val="14"/>
              </w:rPr>
            </w:pPr>
            <w:r w:rsidRPr="00D73494">
              <w:rPr>
                <w:rFonts w:ascii="Times New Roman" w:eastAsia="Times New Roman" w:hAnsi="Times New Roman" w:cs="Times New Roman"/>
                <w:color w:val="000000" w:themeColor="text1"/>
                <w:sz w:val="16"/>
                <w:szCs w:val="16"/>
              </w:rPr>
              <w:t>1,0602</w:t>
            </w:r>
          </w:p>
        </w:tc>
      </w:tr>
    </w:tbl>
    <w:p w14:paraId="15B11EF5" w14:textId="48EFEDCA" w:rsidR="38BE7CBE" w:rsidRPr="00D73494" w:rsidRDefault="38BE7CBE" w:rsidP="00FB1911">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282A7816" w14:textId="7A9B1BC7" w:rsidR="38BE7CBE" w:rsidRPr="00D73494" w:rsidRDefault="38BE7CBE" w:rsidP="00813CCC">
      <w:pPr>
        <w:jc w:val="both"/>
        <w:rPr>
          <w:rFonts w:ascii="Times New Roman" w:eastAsia="Times New Roman" w:hAnsi="Times New Roman" w:cs="Times New Roman"/>
        </w:rPr>
      </w:pPr>
    </w:p>
    <w:p w14:paraId="2EF15BD7" w14:textId="7DC52515"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Esta tabla presenta los estandares relativos de los modelos entrenados, se puede evidenciar que el modelo estimado por Elastic Net que incluye los predictores de Google trend presenta el menor RMSE, por lo tanto, teniendo en cuenta este criterio, este es el modelo seleccionado, adicionalmente este modelo presenta un estandar relativo de U-Theil el cual muestra que el modelo explica un 94% adicional comparado con un modelo de caminata aleatoria. Las variables que se utilizaron para entrenar este modelo fueron principalmente la Producción de Petróleo, el precio del gas natural, la producción de gas natural, las variables de Google trend y todos los rezagos hasta 6 meses de estas variables. Este modelo de Elastic Net reduce los coeficientes de las variables considerando la importancia de cada variable para predecir los retornos del </w:t>
      </w:r>
      <w:r w:rsidRPr="00D73494">
        <w:rPr>
          <w:rFonts w:ascii="Times New Roman" w:eastAsia="Times New Roman" w:hAnsi="Times New Roman" w:cs="Times New Roman"/>
        </w:rPr>
        <w:lastRenderedPageBreak/>
        <w:t>precio del petróleo.</w:t>
      </w:r>
    </w:p>
    <w:p w14:paraId="2905991F" w14:textId="6506D90F" w:rsidR="38BE7CBE" w:rsidRPr="00D73494" w:rsidRDefault="38BE7CBE" w:rsidP="00813CCC">
      <w:pPr>
        <w:jc w:val="both"/>
        <w:rPr>
          <w:rFonts w:ascii="Times New Roman" w:eastAsia="Times New Roman" w:hAnsi="Times New Roman" w:cs="Times New Roman"/>
        </w:rPr>
      </w:pPr>
    </w:p>
    <w:p w14:paraId="5283E7F4" w14:textId="0E4E5FC7"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RESULTADOS</w:t>
      </w:r>
    </w:p>
    <w:p w14:paraId="53630F40" w14:textId="5AE04918" w:rsidR="38BE7CBE" w:rsidRPr="00D73494" w:rsidRDefault="38BE7CBE" w:rsidP="00813CCC">
      <w:pPr>
        <w:jc w:val="both"/>
        <w:rPr>
          <w:rFonts w:ascii="Times New Roman" w:eastAsia="Times New Roman" w:hAnsi="Times New Roman" w:cs="Times New Roman"/>
          <w:b/>
          <w:bCs/>
        </w:rPr>
      </w:pPr>
    </w:p>
    <w:p w14:paraId="5B01F713" w14:textId="1CBAF5DD"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Considerando los modelos estimados, se realiza la predicción de los retornos del precio del petróleo para el periodo enero 2021 a mayo 2022</w:t>
      </w:r>
    </w:p>
    <w:p w14:paraId="1A4B0589" w14:textId="41D7AD14" w:rsidR="38BE7CBE" w:rsidRPr="00D73494" w:rsidRDefault="38BE7CBE" w:rsidP="00813CCC">
      <w:pPr>
        <w:jc w:val="both"/>
        <w:rPr>
          <w:rFonts w:ascii="Times New Roman" w:eastAsia="Times New Roman" w:hAnsi="Times New Roman" w:cs="Times New Roman"/>
        </w:rPr>
      </w:pPr>
    </w:p>
    <w:p w14:paraId="51B998EB" w14:textId="32158291" w:rsidR="38BE7CBE" w:rsidRPr="00D73494" w:rsidRDefault="38BE7CBE" w:rsidP="00FB1911">
      <w:pPr>
        <w:jc w:val="center"/>
        <w:rPr>
          <w:rFonts w:ascii="Times New Roman" w:eastAsia="Times New Roman" w:hAnsi="Times New Roman" w:cs="Times New Roman"/>
          <w:b/>
          <w:bCs/>
        </w:rPr>
      </w:pPr>
      <w:r w:rsidRPr="00D73494">
        <w:rPr>
          <w:rFonts w:ascii="Times New Roman" w:eastAsia="Times New Roman" w:hAnsi="Times New Roman" w:cs="Times New Roman"/>
          <w:b/>
          <w:bCs/>
        </w:rPr>
        <w:t>Gráfica 3. Comparación de predicciones de los modelos seleccionados</w:t>
      </w:r>
    </w:p>
    <w:p w14:paraId="2E0BD11C" w14:textId="22ED6D82" w:rsidR="38BE7CBE" w:rsidRPr="00D73494" w:rsidRDefault="38BE7CBE" w:rsidP="00FB1911">
      <w:pPr>
        <w:jc w:val="center"/>
        <w:rPr>
          <w:rFonts w:ascii="Times New Roman" w:eastAsia="Times New Roman" w:hAnsi="Times New Roman" w:cs="Times New Roman"/>
        </w:rPr>
      </w:pPr>
      <w:r>
        <w:rPr>
          <w:noProof/>
        </w:rPr>
        <w:drawing>
          <wp:inline distT="0" distB="0" distL="0" distR="0" wp14:anchorId="4BB0BE99" wp14:editId="3D072669">
            <wp:extent cx="4571970" cy="2695575"/>
            <wp:effectExtent l="0" t="0" r="635" b="0"/>
            <wp:docPr id="391383271" name="Picture 391383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383271"/>
                    <pic:cNvPicPr/>
                  </pic:nvPicPr>
                  <pic:blipFill rotWithShape="1">
                    <a:blip r:embed="rId12">
                      <a:extLst>
                        <a:ext uri="{28A0092B-C50C-407E-A947-70E740481C1C}">
                          <a14:useLocalDpi xmlns:a14="http://schemas.microsoft.com/office/drawing/2010/main" val="0"/>
                        </a:ext>
                      </a:extLst>
                    </a:blip>
                    <a:srcRect t="4392"/>
                    <a:stretch/>
                  </pic:blipFill>
                  <pic:spPr bwMode="auto">
                    <a:xfrm>
                      <a:off x="0" y="0"/>
                      <a:ext cx="4572000" cy="2695592"/>
                    </a:xfrm>
                    <a:prstGeom prst="rect">
                      <a:avLst/>
                    </a:prstGeom>
                    <a:ln>
                      <a:noFill/>
                    </a:ln>
                    <a:extLst>
                      <a:ext uri="{53640926-AAD7-44D8-BBD7-CCE9431645EC}">
                        <a14:shadowObscured xmlns:a14="http://schemas.microsoft.com/office/drawing/2010/main"/>
                      </a:ext>
                    </a:extLst>
                  </pic:spPr>
                </pic:pic>
              </a:graphicData>
            </a:graphic>
          </wp:inline>
        </w:drawing>
      </w:r>
    </w:p>
    <w:p w14:paraId="2B469224" w14:textId="65368193" w:rsidR="38BE7CBE" w:rsidRPr="00D73494" w:rsidRDefault="38BE7CBE" w:rsidP="00FB1911">
      <w:pPr>
        <w:jc w:val="center"/>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7B30E379" w14:textId="130F85AA" w:rsidR="38BE7CBE" w:rsidRPr="00D73494" w:rsidRDefault="38BE7CBE" w:rsidP="00813CCC">
      <w:pPr>
        <w:jc w:val="both"/>
        <w:rPr>
          <w:rFonts w:ascii="Times New Roman" w:eastAsia="Times New Roman" w:hAnsi="Times New Roman" w:cs="Times New Roman"/>
        </w:rPr>
      </w:pPr>
    </w:p>
    <w:p w14:paraId="172C67CC" w14:textId="114EEB08"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La gráfica 3 muestra una comparación del modelo seleccionado con la serie original y con otros modelos que también presentaron menores RMSE, se evidencia que la predicción del modelo de reducción Elastic Net se acerca más a la serie original de los retornos, por lo cual se considera el mejor modelo para predecir el precio del petróleo.</w:t>
      </w:r>
    </w:p>
    <w:p w14:paraId="37460FD3" w14:textId="7A516E13" w:rsidR="38BE7CBE" w:rsidRPr="00D73494" w:rsidRDefault="38BE7CBE" w:rsidP="00813CCC">
      <w:pPr>
        <w:jc w:val="both"/>
        <w:rPr>
          <w:rFonts w:ascii="Times New Roman" w:eastAsia="Times New Roman" w:hAnsi="Times New Roman" w:cs="Times New Roman"/>
        </w:rPr>
      </w:pPr>
    </w:p>
    <w:p w14:paraId="4F42B591" w14:textId="643CD449"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Por otro lado, la tabla anterior muestra que los modelos multivariados son mejores que los modelos univariados de media y varianza, y también presenta que incluir como predictores las variables obtenidas de google trend</w:t>
      </w:r>
      <w:r w:rsidR="002A63CC">
        <w:rPr>
          <w:rFonts w:ascii="Times New Roman" w:eastAsia="Times New Roman" w:hAnsi="Times New Roman" w:cs="Times New Roman"/>
        </w:rPr>
        <w:t>s</w:t>
      </w:r>
      <w:r w:rsidRPr="00D73494">
        <w:rPr>
          <w:rFonts w:ascii="Times New Roman" w:eastAsia="Times New Roman" w:hAnsi="Times New Roman" w:cs="Times New Roman"/>
        </w:rPr>
        <w:t xml:space="preserve"> mejora la predicción de los modelos pues para los modelos de Elastic Net, Componentes Principales y NNET presentan menores RMSE comparados con los modelos que no incluyen estas variables para predecir el precio del petróleo.</w:t>
      </w:r>
    </w:p>
    <w:p w14:paraId="40B0C678" w14:textId="29600AA7" w:rsidR="38BE7CBE" w:rsidRPr="00D73494" w:rsidRDefault="38BE7CBE" w:rsidP="00813CCC">
      <w:pPr>
        <w:jc w:val="both"/>
        <w:rPr>
          <w:rFonts w:ascii="Times New Roman" w:eastAsia="Times New Roman" w:hAnsi="Times New Roman" w:cs="Times New Roman"/>
        </w:rPr>
      </w:pPr>
    </w:p>
    <w:p w14:paraId="110CBD49" w14:textId="54132BA3" w:rsidR="38BE7CBE" w:rsidRPr="00D73494" w:rsidRDefault="38BE7CBE" w:rsidP="00813CCC">
      <w:pPr>
        <w:pStyle w:val="Prrafodelista"/>
        <w:numPr>
          <w:ilvl w:val="0"/>
          <w:numId w:val="1"/>
        </w:numPr>
        <w:rPr>
          <w:rFonts w:ascii="Times New Roman" w:eastAsia="Times New Roman" w:hAnsi="Times New Roman" w:cs="Times New Roman"/>
          <w:b/>
          <w:bCs/>
        </w:rPr>
      </w:pPr>
      <w:r w:rsidRPr="00D73494">
        <w:rPr>
          <w:rFonts w:ascii="Times New Roman" w:eastAsia="Times New Roman" w:hAnsi="Times New Roman" w:cs="Times New Roman"/>
          <w:b/>
          <w:bCs/>
        </w:rPr>
        <w:t>CONCLUSIONES Y RECOMENDACIONES</w:t>
      </w:r>
    </w:p>
    <w:p w14:paraId="1E2D5D57" w14:textId="2B87EE5C" w:rsidR="38BE7CBE" w:rsidRPr="00D73494" w:rsidRDefault="38BE7CBE" w:rsidP="00813CCC">
      <w:pPr>
        <w:jc w:val="both"/>
        <w:rPr>
          <w:rFonts w:ascii="Times New Roman" w:eastAsia="Times New Roman" w:hAnsi="Times New Roman" w:cs="Times New Roman"/>
          <w:b/>
          <w:bCs/>
        </w:rPr>
      </w:pPr>
    </w:p>
    <w:p w14:paraId="53BBA6F1" w14:textId="44331638"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 xml:space="preserve">Para la calibración del modelo se requiere que las series </w:t>
      </w:r>
      <w:r w:rsidR="000364A8">
        <w:rPr>
          <w:rFonts w:ascii="Times New Roman" w:eastAsia="Times New Roman" w:hAnsi="Times New Roman" w:cs="Times New Roman"/>
        </w:rPr>
        <w:t>de tiempo de</w:t>
      </w:r>
      <w:r w:rsidR="00FA2E4B">
        <w:rPr>
          <w:rFonts w:ascii="Times New Roman" w:eastAsia="Times New Roman" w:hAnsi="Times New Roman" w:cs="Times New Roman"/>
        </w:rPr>
        <w:t xml:space="preserve">l precio del petróleo WTI </w:t>
      </w:r>
      <w:r w:rsidRPr="00D73494">
        <w:rPr>
          <w:rFonts w:ascii="Times New Roman" w:eastAsia="Times New Roman" w:hAnsi="Times New Roman" w:cs="Times New Roman"/>
        </w:rPr>
        <w:t xml:space="preserve">sean estacionarios, por lo tanto, se transformaron las series mediante la resta de los logaritmos de los datos de periodo consecutivos, hallando los crecimientos porcentuales de las series. Posteriormente de manera cuantitativa se ubicaron los outliers en las series estacionarias y se reemplazaron por la media del cuartil donde se encontraban. </w:t>
      </w:r>
    </w:p>
    <w:p w14:paraId="0211C33A" w14:textId="7DA2D2BA" w:rsidR="38BE7CBE" w:rsidRDefault="38BE7CBE" w:rsidP="00813CCC">
      <w:pPr>
        <w:jc w:val="both"/>
        <w:rPr>
          <w:rFonts w:ascii="Times New Roman" w:eastAsia="Times New Roman" w:hAnsi="Times New Roman" w:cs="Times New Roman"/>
        </w:rPr>
      </w:pPr>
    </w:p>
    <w:p w14:paraId="68368291" w14:textId="0CA8EE35" w:rsidR="38BE7CBE" w:rsidRDefault="005778C2" w:rsidP="00813CCC">
      <w:pPr>
        <w:jc w:val="both"/>
        <w:rPr>
          <w:rFonts w:ascii="Times New Roman" w:eastAsia="Times New Roman" w:hAnsi="Times New Roman" w:cs="Times New Roman"/>
        </w:rPr>
      </w:pPr>
      <w:r>
        <w:rPr>
          <w:rFonts w:ascii="Times New Roman" w:eastAsia="Times New Roman" w:hAnsi="Times New Roman" w:cs="Times New Roman"/>
        </w:rPr>
        <w:t xml:space="preserve">Considerando el impacto no lineal que tienen diferentes factores sobre el precio del petróleo WTI, </w:t>
      </w:r>
      <w:r w:rsidR="00C21B4D">
        <w:rPr>
          <w:rFonts w:ascii="Times New Roman" w:eastAsia="Times New Roman" w:hAnsi="Times New Roman" w:cs="Times New Roman"/>
        </w:rPr>
        <w:t>se deci</w:t>
      </w:r>
      <w:r w:rsidR="00B141C0">
        <w:rPr>
          <w:rFonts w:ascii="Times New Roman" w:eastAsia="Times New Roman" w:hAnsi="Times New Roman" w:cs="Times New Roman"/>
        </w:rPr>
        <w:t>dió incluir en los modelos multivariados</w:t>
      </w:r>
      <w:r w:rsidR="38BE7CBE" w:rsidRPr="00D73494">
        <w:rPr>
          <w:rFonts w:ascii="Times New Roman" w:eastAsia="Times New Roman" w:hAnsi="Times New Roman" w:cs="Times New Roman"/>
        </w:rPr>
        <w:t xml:space="preserve"> variables de google trend</w:t>
      </w:r>
      <w:r w:rsidR="002A63CC">
        <w:rPr>
          <w:rFonts w:ascii="Times New Roman" w:eastAsia="Times New Roman" w:hAnsi="Times New Roman" w:cs="Times New Roman"/>
        </w:rPr>
        <w:t>s</w:t>
      </w:r>
      <w:r w:rsidR="38BE7CBE" w:rsidRPr="00D73494">
        <w:rPr>
          <w:rFonts w:ascii="Times New Roman" w:eastAsia="Times New Roman" w:hAnsi="Times New Roman" w:cs="Times New Roman"/>
        </w:rPr>
        <w:t xml:space="preserve"> </w:t>
      </w:r>
      <w:r w:rsidR="00B141C0">
        <w:rPr>
          <w:rFonts w:ascii="Times New Roman" w:eastAsia="Times New Roman" w:hAnsi="Times New Roman" w:cs="Times New Roman"/>
        </w:rPr>
        <w:t>que</w:t>
      </w:r>
      <w:r w:rsidR="38BE7CBE" w:rsidRPr="00D73494">
        <w:rPr>
          <w:rFonts w:ascii="Times New Roman" w:eastAsia="Times New Roman" w:hAnsi="Times New Roman" w:cs="Times New Roman"/>
        </w:rPr>
        <w:t xml:space="preserve"> permite</w:t>
      </w:r>
      <w:r w:rsidR="00B141C0">
        <w:rPr>
          <w:rFonts w:ascii="Times New Roman" w:eastAsia="Times New Roman" w:hAnsi="Times New Roman" w:cs="Times New Roman"/>
        </w:rPr>
        <w:t>n</w:t>
      </w:r>
      <w:r w:rsidR="38BE7CBE" w:rsidRPr="00D73494">
        <w:rPr>
          <w:rFonts w:ascii="Times New Roman" w:eastAsia="Times New Roman" w:hAnsi="Times New Roman" w:cs="Times New Roman"/>
        </w:rPr>
        <w:t xml:space="preserve"> pronosticar incrementos y caídas fuertes del precio del petróleo correspondiente a eventos externos coyunturales y no estructurales que afectan el predio del petróleo. </w:t>
      </w:r>
    </w:p>
    <w:p w14:paraId="663CA67C" w14:textId="77777777" w:rsidR="00546BC7" w:rsidRDefault="00546BC7" w:rsidP="00813CCC">
      <w:pPr>
        <w:jc w:val="both"/>
        <w:rPr>
          <w:rFonts w:ascii="Times New Roman" w:eastAsia="Times New Roman" w:hAnsi="Times New Roman" w:cs="Times New Roman"/>
        </w:rPr>
      </w:pPr>
    </w:p>
    <w:p w14:paraId="1B68BF19" w14:textId="7BB157A1" w:rsidR="38BE7CBE" w:rsidRPr="002A63CC" w:rsidRDefault="00546BC7" w:rsidP="00813CCC">
      <w:pPr>
        <w:jc w:val="both"/>
        <w:rPr>
          <w:rFonts w:ascii="Times New Roman" w:eastAsia="Times New Roman" w:hAnsi="Times New Roman" w:cs="Times New Roman"/>
        </w:rPr>
      </w:pPr>
      <w:r>
        <w:rPr>
          <w:rFonts w:ascii="Times New Roman" w:eastAsia="Times New Roman" w:hAnsi="Times New Roman" w:cs="Times New Roman"/>
        </w:rPr>
        <w:lastRenderedPageBreak/>
        <w:t>Acorde con la comparación de RM</w:t>
      </w:r>
      <w:r w:rsidR="00915689">
        <w:rPr>
          <w:rFonts w:ascii="Times New Roman" w:eastAsia="Times New Roman" w:hAnsi="Times New Roman" w:cs="Times New Roman"/>
        </w:rPr>
        <w:t>S</w:t>
      </w:r>
      <w:r>
        <w:rPr>
          <w:rFonts w:ascii="Times New Roman" w:eastAsia="Times New Roman" w:hAnsi="Times New Roman" w:cs="Times New Roman"/>
        </w:rPr>
        <w:t xml:space="preserve">E entre los modelos, </w:t>
      </w:r>
      <w:r w:rsidR="00D0347F">
        <w:rPr>
          <w:rFonts w:ascii="Times New Roman" w:eastAsia="Times New Roman" w:hAnsi="Times New Roman" w:cs="Times New Roman"/>
        </w:rPr>
        <w:t xml:space="preserve">la evidencia empírica </w:t>
      </w:r>
      <w:r w:rsidR="00AA5762">
        <w:rPr>
          <w:rFonts w:ascii="Times New Roman" w:eastAsia="Times New Roman" w:hAnsi="Times New Roman" w:cs="Times New Roman"/>
        </w:rPr>
        <w:t>identifica al modelo de reducción Elastic Net como el modelo que más se acerca a la ser</w:t>
      </w:r>
      <w:r w:rsidR="000D7D59">
        <w:rPr>
          <w:rFonts w:ascii="Times New Roman" w:eastAsia="Times New Roman" w:hAnsi="Times New Roman" w:cs="Times New Roman"/>
        </w:rPr>
        <w:t>ie</w:t>
      </w:r>
      <w:r w:rsidR="00AA5762">
        <w:rPr>
          <w:rFonts w:ascii="Times New Roman" w:eastAsia="Times New Roman" w:hAnsi="Times New Roman" w:cs="Times New Roman"/>
        </w:rPr>
        <w:t xml:space="preserve"> original de los retornos del WT</w:t>
      </w:r>
      <w:r w:rsidR="00D56B3C">
        <w:rPr>
          <w:rFonts w:ascii="Times New Roman" w:eastAsia="Times New Roman" w:hAnsi="Times New Roman" w:cs="Times New Roman"/>
        </w:rPr>
        <w:t xml:space="preserve">I, </w:t>
      </w:r>
      <w:r w:rsidR="00936EA5">
        <w:rPr>
          <w:rFonts w:ascii="Times New Roman" w:eastAsia="Times New Roman" w:hAnsi="Times New Roman" w:cs="Times New Roman"/>
        </w:rPr>
        <w:t>siendo este el mejor modelo de predicción que además, incluye las variables obtenidas de Google tre</w:t>
      </w:r>
      <w:r w:rsidR="003B4D61">
        <w:rPr>
          <w:rFonts w:ascii="Times New Roman" w:eastAsia="Times New Roman" w:hAnsi="Times New Roman" w:cs="Times New Roman"/>
        </w:rPr>
        <w:t>n</w:t>
      </w:r>
      <w:r w:rsidR="00936EA5">
        <w:rPr>
          <w:rFonts w:ascii="Times New Roman" w:eastAsia="Times New Roman" w:hAnsi="Times New Roman" w:cs="Times New Roman"/>
        </w:rPr>
        <w:t>ds, reflejando que el modelo multivariado genera mejores predicciones que los modelos univaria</w:t>
      </w:r>
      <w:r w:rsidR="004D4139">
        <w:rPr>
          <w:rFonts w:ascii="Times New Roman" w:eastAsia="Times New Roman" w:hAnsi="Times New Roman" w:cs="Times New Roman"/>
        </w:rPr>
        <w:t>dos</w:t>
      </w:r>
      <w:r w:rsidR="00B85BE1">
        <w:rPr>
          <w:rFonts w:ascii="Times New Roman" w:eastAsia="Times New Roman" w:hAnsi="Times New Roman" w:cs="Times New Roman"/>
        </w:rPr>
        <w:t xml:space="preserve">, sin embargo, dicho modelo </w:t>
      </w:r>
      <w:r w:rsidR="00D66384">
        <w:rPr>
          <w:rFonts w:ascii="Times New Roman" w:eastAsia="Times New Roman" w:hAnsi="Times New Roman" w:cs="Times New Roman"/>
        </w:rPr>
        <w:t>e</w:t>
      </w:r>
      <w:r w:rsidR="009370C8">
        <w:rPr>
          <w:rFonts w:ascii="Times New Roman" w:eastAsia="Times New Roman" w:hAnsi="Times New Roman" w:cs="Times New Roman"/>
        </w:rPr>
        <w:t xml:space="preserve">n investigaciones futuras podría complementarse con variables macroeconómicas de Estados Unidos y de los principales países productores de petróleo con el fin de obtener modelos </w:t>
      </w:r>
      <w:r w:rsidR="004750EE">
        <w:rPr>
          <w:rFonts w:ascii="Times New Roman" w:eastAsia="Times New Roman" w:hAnsi="Times New Roman" w:cs="Times New Roman"/>
        </w:rPr>
        <w:t>de predicción más precisos</w:t>
      </w:r>
      <w:r w:rsidR="009370C8">
        <w:rPr>
          <w:rFonts w:ascii="Times New Roman" w:eastAsia="Times New Roman" w:hAnsi="Times New Roman" w:cs="Times New Roman"/>
        </w:rPr>
        <w:t>.</w:t>
      </w:r>
    </w:p>
    <w:p w14:paraId="2BB76905" w14:textId="1D1A27BB" w:rsidR="38BE7CBE" w:rsidRPr="00B141C0" w:rsidRDefault="38BE7CBE" w:rsidP="00813CCC">
      <w:pPr>
        <w:jc w:val="both"/>
        <w:rPr>
          <w:rFonts w:ascii="Times New Roman" w:eastAsia="Times New Roman" w:hAnsi="Times New Roman" w:cs="Times New Roman"/>
          <w:color w:val="FF0000"/>
        </w:rPr>
      </w:pPr>
    </w:p>
    <w:p w14:paraId="57A604DE" w14:textId="5984D204" w:rsidR="3392B1C0" w:rsidRPr="00B141C0" w:rsidRDefault="29A49552" w:rsidP="00813CCC">
      <w:pPr>
        <w:jc w:val="both"/>
        <w:rPr>
          <w:rFonts w:ascii="Times New Roman" w:eastAsia="Times New Roman" w:hAnsi="Times New Roman" w:cs="Times New Roman"/>
        </w:rPr>
      </w:pPr>
      <w:r w:rsidRPr="29A49552">
        <w:rPr>
          <w:rFonts w:ascii="Times New Roman" w:eastAsia="Times New Roman" w:hAnsi="Times New Roman" w:cs="Times New Roman"/>
        </w:rPr>
        <w:t xml:space="preserve">Finalmente, con las predicciones del modelo se </w:t>
      </w:r>
      <w:r w:rsidR="682DA299" w:rsidRPr="5F6C3CCC">
        <w:rPr>
          <w:rFonts w:ascii="Times New Roman" w:eastAsia="Times New Roman" w:hAnsi="Times New Roman" w:cs="Times New Roman"/>
        </w:rPr>
        <w:t>pueden</w:t>
      </w:r>
      <w:r w:rsidRPr="29A49552">
        <w:rPr>
          <w:rFonts w:ascii="Times New Roman" w:eastAsia="Times New Roman" w:hAnsi="Times New Roman" w:cs="Times New Roman"/>
        </w:rPr>
        <w:t xml:space="preserve"> tomar las medidas respectivas para mitigar o potenciar los </w:t>
      </w:r>
      <w:r w:rsidR="03BA3523" w:rsidRPr="03BA3523">
        <w:rPr>
          <w:rFonts w:ascii="Times New Roman" w:eastAsia="Times New Roman" w:hAnsi="Times New Roman" w:cs="Times New Roman"/>
        </w:rPr>
        <w:t xml:space="preserve">efectos de fuertes subidas o caídas del </w:t>
      </w:r>
      <w:r w:rsidR="4C88AB93" w:rsidRPr="5F6C3CCC">
        <w:rPr>
          <w:rFonts w:ascii="Times New Roman" w:eastAsia="Times New Roman" w:hAnsi="Times New Roman" w:cs="Times New Roman"/>
        </w:rPr>
        <w:t xml:space="preserve">precio del </w:t>
      </w:r>
      <w:r w:rsidR="6286ECEE" w:rsidRPr="72376988">
        <w:rPr>
          <w:rFonts w:ascii="Times New Roman" w:eastAsia="Times New Roman" w:hAnsi="Times New Roman" w:cs="Times New Roman"/>
        </w:rPr>
        <w:t>petróleo</w:t>
      </w:r>
      <w:r w:rsidR="61FCFF10" w:rsidRPr="61FCFF10">
        <w:rPr>
          <w:rFonts w:ascii="Times New Roman" w:eastAsia="Times New Roman" w:hAnsi="Times New Roman" w:cs="Times New Roman"/>
        </w:rPr>
        <w:t xml:space="preserve"> de manera que las </w:t>
      </w:r>
      <w:r w:rsidR="72376988" w:rsidRPr="72376988">
        <w:rPr>
          <w:rFonts w:ascii="Times New Roman" w:eastAsia="Times New Roman" w:hAnsi="Times New Roman" w:cs="Times New Roman"/>
        </w:rPr>
        <w:t>empresas</w:t>
      </w:r>
      <w:r w:rsidR="61FCFF10" w:rsidRPr="61FCFF10">
        <w:rPr>
          <w:rFonts w:ascii="Times New Roman" w:eastAsia="Times New Roman" w:hAnsi="Times New Roman" w:cs="Times New Roman"/>
        </w:rPr>
        <w:t xml:space="preserve"> puedan cubrirse a través de </w:t>
      </w:r>
      <w:r w:rsidR="72376988" w:rsidRPr="72376988">
        <w:rPr>
          <w:rFonts w:ascii="Times New Roman" w:eastAsia="Times New Roman" w:hAnsi="Times New Roman" w:cs="Times New Roman"/>
        </w:rPr>
        <w:t>futuros en posiciones cortas o largas</w:t>
      </w:r>
      <w:r w:rsidR="13189C6B" w:rsidRPr="5F6C3CCC">
        <w:rPr>
          <w:rFonts w:ascii="Times New Roman" w:eastAsia="Times New Roman" w:hAnsi="Times New Roman" w:cs="Times New Roman"/>
        </w:rPr>
        <w:t xml:space="preserve">. </w:t>
      </w:r>
      <w:r w:rsidR="71CAE3EA" w:rsidRPr="122D00A8">
        <w:rPr>
          <w:rFonts w:ascii="Times New Roman" w:eastAsia="Times New Roman" w:hAnsi="Times New Roman" w:cs="Times New Roman"/>
        </w:rPr>
        <w:t xml:space="preserve">Igualmente, en el camino de transición energética se puede sustituir el consumo de </w:t>
      </w:r>
      <w:r w:rsidR="122D00A8" w:rsidRPr="122D00A8">
        <w:rPr>
          <w:rFonts w:ascii="Times New Roman" w:eastAsia="Times New Roman" w:hAnsi="Times New Roman" w:cs="Times New Roman"/>
        </w:rPr>
        <w:t>energía de fuentes fósiles en épocas de alza con energías renovables como energías eólicas o solares.</w:t>
      </w:r>
    </w:p>
    <w:p w14:paraId="5DD5CB17" w14:textId="6A86ED12" w:rsidR="38BE7CBE" w:rsidRPr="00B141C0" w:rsidRDefault="38BE7CBE" w:rsidP="00813CCC">
      <w:pPr>
        <w:jc w:val="both"/>
        <w:rPr>
          <w:rFonts w:ascii="Times New Roman" w:eastAsia="Times New Roman" w:hAnsi="Times New Roman" w:cs="Times New Roman"/>
        </w:rPr>
      </w:pPr>
    </w:p>
    <w:p w14:paraId="4F983B91" w14:textId="07525EBA" w:rsidR="38BE7CBE" w:rsidRPr="00B141C0" w:rsidRDefault="38BE7CBE" w:rsidP="00813CCC">
      <w:pPr>
        <w:jc w:val="both"/>
        <w:rPr>
          <w:rFonts w:ascii="Times New Roman" w:eastAsia="Times New Roman" w:hAnsi="Times New Roman" w:cs="Times New Roman"/>
        </w:rPr>
      </w:pPr>
    </w:p>
    <w:p w14:paraId="5C02BACD" w14:textId="0FD67B85"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Referencias</w:t>
      </w:r>
    </w:p>
    <w:p w14:paraId="5A59A1EE" w14:textId="09B6AD00" w:rsidR="3392B1C0" w:rsidRPr="00D73494" w:rsidRDefault="3392B1C0" w:rsidP="00813CCC">
      <w:pPr>
        <w:jc w:val="both"/>
        <w:rPr>
          <w:rFonts w:ascii="Times New Roman" w:eastAsia="Times New Roman" w:hAnsi="Times New Roman" w:cs="Times New Roman"/>
        </w:rPr>
      </w:pPr>
    </w:p>
    <w:p w14:paraId="7B4D80B3" w14:textId="40562D69" w:rsidR="38BE7CBE" w:rsidRPr="00D73494" w:rsidRDefault="38BE7CBE"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rPr>
        <w:t xml:space="preserve">Cen, Zhongpei &amp; Wang, Jun. (2018). </w:t>
      </w:r>
      <w:r w:rsidRPr="00D73494">
        <w:rPr>
          <w:rFonts w:ascii="Times New Roman" w:eastAsia="Times New Roman" w:hAnsi="Times New Roman" w:cs="Times New Roman"/>
          <w:lang w:val="en-US"/>
        </w:rPr>
        <w:t>Crude oil price prediction model with long short term memory deep learning based on prior knowledge data transfer. Energy. 169. 10.1016/j.energy.2018.12.016.</w:t>
      </w:r>
    </w:p>
    <w:p w14:paraId="5AD61A6E" w14:textId="0D36788A" w:rsidR="38BE7CBE" w:rsidRPr="00D73494" w:rsidRDefault="38BE7CBE" w:rsidP="00813CCC">
      <w:pPr>
        <w:jc w:val="both"/>
        <w:rPr>
          <w:rFonts w:ascii="Times New Roman" w:eastAsia="Times New Roman" w:hAnsi="Times New Roman" w:cs="Times New Roman"/>
          <w:lang w:val="en-US"/>
        </w:rPr>
      </w:pPr>
    </w:p>
    <w:p w14:paraId="05997143" w14:textId="7CBD5F10" w:rsidR="3392B1C0" w:rsidRPr="00D73494" w:rsidRDefault="359A34FC"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lang w:val="en-US"/>
        </w:rPr>
        <w:t xml:space="preserve">Choi, J.-E., &amp; Shin, D. W. (2022, January 31). How to improve oil consumption forecast using google trends from online big data?: the structured regularization methods for large vector autoregressive model. Communications for Statistical Applications and Methods. Communications for Statistical Applications and Methods. </w:t>
      </w:r>
      <w:hyperlink r:id="rId13">
        <w:r w:rsidRPr="00D73494">
          <w:rPr>
            <w:rStyle w:val="Hipervnculo"/>
            <w:rFonts w:ascii="Times New Roman" w:eastAsia="Times New Roman" w:hAnsi="Times New Roman" w:cs="Times New Roman"/>
            <w:lang w:val="en-US"/>
          </w:rPr>
          <w:t>https://doi.org/10.29220/csam.2022.29.1.041</w:t>
        </w:r>
      </w:hyperlink>
    </w:p>
    <w:p w14:paraId="7752F1FC" w14:textId="5CB4808F" w:rsidR="38BE7CBE" w:rsidRPr="00D73494" w:rsidRDefault="38BE7CBE" w:rsidP="00813CCC">
      <w:pPr>
        <w:pStyle w:val="Ttulo1"/>
        <w:ind w:left="0" w:firstLine="0"/>
        <w:jc w:val="both"/>
        <w:rPr>
          <w:rFonts w:ascii="Times New Roman" w:eastAsia="Times New Roman" w:hAnsi="Times New Roman" w:cs="Times New Roman"/>
          <w:b w:val="0"/>
          <w:bCs w:val="0"/>
          <w:sz w:val="22"/>
          <w:szCs w:val="22"/>
          <w:lang w:val="en-US"/>
        </w:rPr>
      </w:pPr>
    </w:p>
    <w:p w14:paraId="351583DF" w14:textId="26D910B9" w:rsidR="38BE7CBE" w:rsidRPr="00D73494" w:rsidRDefault="38BE7CBE" w:rsidP="00813CCC">
      <w:pPr>
        <w:pStyle w:val="Ttulo1"/>
        <w:ind w:left="0" w:firstLine="0"/>
        <w:jc w:val="both"/>
        <w:rPr>
          <w:rFonts w:ascii="Times New Roman" w:eastAsia="Times New Roman" w:hAnsi="Times New Roman" w:cs="Times New Roman"/>
          <w:b w:val="0"/>
          <w:bCs w:val="0"/>
          <w:color w:val="111111"/>
          <w:sz w:val="22"/>
          <w:szCs w:val="22"/>
          <w:lang w:val="en-US"/>
        </w:rPr>
      </w:pPr>
      <w:r w:rsidRPr="00D73494">
        <w:rPr>
          <w:rFonts w:ascii="Times New Roman" w:eastAsia="Times New Roman" w:hAnsi="Times New Roman" w:cs="Times New Roman"/>
          <w:b w:val="0"/>
          <w:bCs w:val="0"/>
          <w:sz w:val="22"/>
          <w:szCs w:val="22"/>
          <w:lang w:val="en-US"/>
        </w:rPr>
        <w:t xml:space="preserve">Lioudis, N (2022, 13 de junio). </w:t>
      </w:r>
      <w:r w:rsidRPr="00D73494">
        <w:rPr>
          <w:rFonts w:ascii="Times New Roman" w:eastAsia="Times New Roman" w:hAnsi="Times New Roman" w:cs="Times New Roman"/>
          <w:b w:val="0"/>
          <w:bCs w:val="0"/>
          <w:color w:val="111111"/>
          <w:sz w:val="22"/>
          <w:szCs w:val="22"/>
          <w:lang w:val="en-US"/>
        </w:rPr>
        <w:t xml:space="preserve">How Crude Oil Affects Natural Gas Prices. </w:t>
      </w:r>
      <w:r w:rsidRPr="00D73494">
        <w:rPr>
          <w:rFonts w:ascii="Times New Roman" w:eastAsia="Times New Roman" w:hAnsi="Times New Roman" w:cs="Times New Roman"/>
          <w:b w:val="0"/>
          <w:bCs w:val="0"/>
          <w:i/>
          <w:iCs/>
          <w:color w:val="111111"/>
          <w:sz w:val="22"/>
          <w:szCs w:val="22"/>
          <w:lang w:val="en-US"/>
        </w:rPr>
        <w:t xml:space="preserve">Ivestopedia. </w:t>
      </w:r>
      <w:hyperlink r:id="rId14">
        <w:r w:rsidRPr="00D73494">
          <w:rPr>
            <w:rStyle w:val="Hipervnculo"/>
            <w:rFonts w:ascii="Times New Roman" w:eastAsia="Times New Roman" w:hAnsi="Times New Roman" w:cs="Times New Roman"/>
            <w:b w:val="0"/>
            <w:bCs w:val="0"/>
            <w:sz w:val="22"/>
            <w:szCs w:val="22"/>
            <w:lang w:val="en-US"/>
          </w:rPr>
          <w:t>https://www.investopedia.com/articles/economics/08/crude-and-gas-prices.asp</w:t>
        </w:r>
      </w:hyperlink>
    </w:p>
    <w:p w14:paraId="137408C9" w14:textId="0A52FEFF" w:rsidR="3392B1C0" w:rsidRPr="00D73494" w:rsidRDefault="3392B1C0" w:rsidP="00813CCC">
      <w:pPr>
        <w:jc w:val="both"/>
        <w:rPr>
          <w:rFonts w:ascii="Times New Roman" w:eastAsia="Times New Roman" w:hAnsi="Times New Roman" w:cs="Times New Roman"/>
          <w:lang w:val="en-US"/>
        </w:rPr>
      </w:pPr>
    </w:p>
    <w:p w14:paraId="640B3829" w14:textId="62045A08" w:rsidR="3392B1C0" w:rsidRPr="00D73494" w:rsidRDefault="359A34FC" w:rsidP="00813CCC">
      <w:pPr>
        <w:jc w:val="both"/>
        <w:rPr>
          <w:rFonts w:ascii="Times New Roman" w:eastAsia="Times New Roman" w:hAnsi="Times New Roman" w:cs="Times New Roman"/>
          <w:lang w:val="en-US"/>
        </w:rPr>
      </w:pPr>
      <w:r w:rsidRPr="00D73494">
        <w:rPr>
          <w:rFonts w:ascii="Times New Roman" w:eastAsia="Times New Roman" w:hAnsi="Times New Roman" w:cs="Times New Roman"/>
          <w:lang w:val="en-US"/>
        </w:rPr>
        <w:t>Yu, L. (2019). Online big data-driven oil consumption forecasting with Google trends. International journal of forecasting, 35(1)</w:t>
      </w:r>
    </w:p>
    <w:p w14:paraId="7DAF2217" w14:textId="7CBB48E0" w:rsidR="38BE7CBE" w:rsidRPr="00D73494" w:rsidRDefault="38BE7CBE" w:rsidP="00813CCC">
      <w:pPr>
        <w:jc w:val="both"/>
        <w:rPr>
          <w:rFonts w:ascii="Times New Roman" w:eastAsia="Times New Roman" w:hAnsi="Times New Roman" w:cs="Times New Roman"/>
          <w:lang w:val="en-US"/>
        </w:rPr>
      </w:pPr>
    </w:p>
    <w:p w14:paraId="6250CB66" w14:textId="60443B4A"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lang w:val="en-US"/>
        </w:rPr>
        <w:t xml:space="preserve">Villada, F., Arroyave, D., &amp; Villada, M. (2014). </w:t>
      </w:r>
      <w:r w:rsidRPr="00D73494">
        <w:rPr>
          <w:rFonts w:ascii="Times New Roman" w:eastAsia="Times New Roman" w:hAnsi="Times New Roman" w:cs="Times New Roman"/>
        </w:rPr>
        <w:t>Pronóstico del Precio del Petróleo mediante Redes Neuronales Artificiales. Revista Información Tecnológica, Vol. 25.</w:t>
      </w:r>
    </w:p>
    <w:p w14:paraId="53C19DB5" w14:textId="0B77F8B1" w:rsidR="38BE7CBE" w:rsidRPr="00D73494" w:rsidRDefault="38BE7CBE" w:rsidP="00813CCC">
      <w:pPr>
        <w:jc w:val="both"/>
        <w:rPr>
          <w:rFonts w:ascii="Times New Roman" w:eastAsia="Times New Roman" w:hAnsi="Times New Roman" w:cs="Times New Roman"/>
        </w:rPr>
      </w:pPr>
    </w:p>
    <w:p w14:paraId="41E601B6" w14:textId="46E7880C" w:rsidR="38BE7CBE" w:rsidRPr="00D73494" w:rsidRDefault="38BE7CBE" w:rsidP="00813CCC">
      <w:pPr>
        <w:jc w:val="both"/>
        <w:rPr>
          <w:rFonts w:ascii="Times New Roman" w:eastAsia="Times New Roman" w:hAnsi="Times New Roman" w:cs="Times New Roman"/>
        </w:rPr>
      </w:pPr>
    </w:p>
    <w:p w14:paraId="0EF42A6F" w14:textId="77777777" w:rsidR="00FB1911" w:rsidRDefault="00FB1911" w:rsidP="00813CCC">
      <w:pPr>
        <w:jc w:val="both"/>
        <w:rPr>
          <w:rFonts w:ascii="Times New Roman" w:eastAsia="Times New Roman" w:hAnsi="Times New Roman" w:cs="Times New Roman"/>
          <w:b/>
          <w:bCs/>
        </w:rPr>
      </w:pPr>
    </w:p>
    <w:p w14:paraId="272559C4" w14:textId="77777777" w:rsidR="00FB1911" w:rsidRDefault="00FB1911" w:rsidP="00813CCC">
      <w:pPr>
        <w:jc w:val="both"/>
        <w:rPr>
          <w:rFonts w:ascii="Times New Roman" w:eastAsia="Times New Roman" w:hAnsi="Times New Roman" w:cs="Times New Roman"/>
          <w:b/>
          <w:bCs/>
        </w:rPr>
      </w:pPr>
    </w:p>
    <w:p w14:paraId="7136EC72" w14:textId="77777777" w:rsidR="00FB1911" w:rsidRDefault="00FB1911" w:rsidP="00813CCC">
      <w:pPr>
        <w:jc w:val="both"/>
        <w:rPr>
          <w:rFonts w:ascii="Times New Roman" w:eastAsia="Times New Roman" w:hAnsi="Times New Roman" w:cs="Times New Roman"/>
          <w:b/>
          <w:bCs/>
        </w:rPr>
      </w:pPr>
    </w:p>
    <w:p w14:paraId="6DFC09A1" w14:textId="77777777" w:rsidR="00FB1911" w:rsidRDefault="00FB1911" w:rsidP="00813CCC">
      <w:pPr>
        <w:jc w:val="both"/>
        <w:rPr>
          <w:rFonts w:ascii="Times New Roman" w:eastAsia="Times New Roman" w:hAnsi="Times New Roman" w:cs="Times New Roman"/>
          <w:b/>
          <w:bCs/>
        </w:rPr>
      </w:pPr>
    </w:p>
    <w:p w14:paraId="1CFABF80" w14:textId="77777777" w:rsidR="00FB1911" w:rsidRDefault="00FB1911" w:rsidP="00813CCC">
      <w:pPr>
        <w:jc w:val="both"/>
        <w:rPr>
          <w:rFonts w:ascii="Times New Roman" w:eastAsia="Times New Roman" w:hAnsi="Times New Roman" w:cs="Times New Roman"/>
          <w:b/>
          <w:bCs/>
        </w:rPr>
      </w:pPr>
    </w:p>
    <w:p w14:paraId="11B400A2" w14:textId="77777777" w:rsidR="00FB1911" w:rsidRDefault="00FB1911" w:rsidP="00813CCC">
      <w:pPr>
        <w:jc w:val="both"/>
        <w:rPr>
          <w:rFonts w:ascii="Times New Roman" w:eastAsia="Times New Roman" w:hAnsi="Times New Roman" w:cs="Times New Roman"/>
          <w:b/>
          <w:bCs/>
        </w:rPr>
      </w:pPr>
    </w:p>
    <w:p w14:paraId="416ADDFF" w14:textId="77777777" w:rsidR="00FB1911" w:rsidRDefault="00FB1911" w:rsidP="00813CCC">
      <w:pPr>
        <w:jc w:val="both"/>
        <w:rPr>
          <w:rFonts w:ascii="Times New Roman" w:eastAsia="Times New Roman" w:hAnsi="Times New Roman" w:cs="Times New Roman"/>
          <w:b/>
          <w:bCs/>
        </w:rPr>
      </w:pPr>
    </w:p>
    <w:p w14:paraId="33A40B72" w14:textId="77777777" w:rsidR="00FB1911" w:rsidRDefault="00FB1911" w:rsidP="00813CCC">
      <w:pPr>
        <w:jc w:val="both"/>
        <w:rPr>
          <w:rFonts w:ascii="Times New Roman" w:eastAsia="Times New Roman" w:hAnsi="Times New Roman" w:cs="Times New Roman"/>
          <w:b/>
          <w:bCs/>
        </w:rPr>
      </w:pPr>
    </w:p>
    <w:p w14:paraId="412E5E60" w14:textId="77777777" w:rsidR="00FB1911" w:rsidRDefault="00FB1911" w:rsidP="00813CCC">
      <w:pPr>
        <w:jc w:val="both"/>
        <w:rPr>
          <w:rFonts w:ascii="Times New Roman" w:eastAsia="Times New Roman" w:hAnsi="Times New Roman" w:cs="Times New Roman"/>
          <w:b/>
          <w:bCs/>
        </w:rPr>
      </w:pPr>
    </w:p>
    <w:p w14:paraId="08C5E389" w14:textId="77777777" w:rsidR="00FB1911" w:rsidRDefault="00FB1911" w:rsidP="00813CCC">
      <w:pPr>
        <w:jc w:val="both"/>
        <w:rPr>
          <w:rFonts w:ascii="Times New Roman" w:eastAsia="Times New Roman" w:hAnsi="Times New Roman" w:cs="Times New Roman"/>
          <w:b/>
          <w:bCs/>
        </w:rPr>
      </w:pPr>
    </w:p>
    <w:p w14:paraId="406A8F55" w14:textId="77777777" w:rsidR="00FB1911" w:rsidRDefault="00FB1911" w:rsidP="00813CCC">
      <w:pPr>
        <w:jc w:val="both"/>
        <w:rPr>
          <w:rFonts w:ascii="Times New Roman" w:eastAsia="Times New Roman" w:hAnsi="Times New Roman" w:cs="Times New Roman"/>
          <w:b/>
          <w:bCs/>
        </w:rPr>
      </w:pPr>
    </w:p>
    <w:p w14:paraId="2E4BBCA8" w14:textId="77777777" w:rsidR="00FB1911" w:rsidRDefault="00FB1911" w:rsidP="00813CCC">
      <w:pPr>
        <w:jc w:val="both"/>
        <w:rPr>
          <w:rFonts w:ascii="Times New Roman" w:eastAsia="Times New Roman" w:hAnsi="Times New Roman" w:cs="Times New Roman"/>
          <w:b/>
          <w:bCs/>
        </w:rPr>
      </w:pPr>
    </w:p>
    <w:p w14:paraId="237E4E30" w14:textId="77777777" w:rsidR="00FB1911" w:rsidRDefault="00FB1911" w:rsidP="00813CCC">
      <w:pPr>
        <w:jc w:val="both"/>
        <w:rPr>
          <w:rFonts w:ascii="Times New Roman" w:eastAsia="Times New Roman" w:hAnsi="Times New Roman" w:cs="Times New Roman"/>
          <w:b/>
          <w:bCs/>
        </w:rPr>
      </w:pPr>
    </w:p>
    <w:p w14:paraId="3644E632" w14:textId="77777777" w:rsidR="00FB1911" w:rsidRDefault="00FB1911" w:rsidP="00813CCC">
      <w:pPr>
        <w:jc w:val="both"/>
        <w:rPr>
          <w:rFonts w:ascii="Times New Roman" w:eastAsia="Times New Roman" w:hAnsi="Times New Roman" w:cs="Times New Roman"/>
          <w:b/>
          <w:bCs/>
        </w:rPr>
      </w:pPr>
    </w:p>
    <w:p w14:paraId="55619D28" w14:textId="77777777" w:rsidR="00FB1911" w:rsidRDefault="00FB1911" w:rsidP="00813CCC">
      <w:pPr>
        <w:jc w:val="both"/>
        <w:rPr>
          <w:rFonts w:ascii="Times New Roman" w:eastAsia="Times New Roman" w:hAnsi="Times New Roman" w:cs="Times New Roman"/>
          <w:b/>
          <w:bCs/>
        </w:rPr>
      </w:pPr>
    </w:p>
    <w:p w14:paraId="3C7089AC" w14:textId="3F7E5DD6" w:rsidR="3392B1C0" w:rsidRPr="00DB68FB" w:rsidRDefault="359A34FC" w:rsidP="00813CCC">
      <w:pPr>
        <w:jc w:val="both"/>
        <w:rPr>
          <w:rFonts w:ascii="Times New Roman" w:eastAsia="Times New Roman" w:hAnsi="Times New Roman" w:cs="Times New Roman"/>
          <w:b/>
          <w:bCs/>
          <w:sz w:val="28"/>
          <w:szCs w:val="28"/>
        </w:rPr>
      </w:pPr>
      <w:r w:rsidRPr="00DB68FB">
        <w:rPr>
          <w:rFonts w:ascii="Times New Roman" w:eastAsia="Times New Roman" w:hAnsi="Times New Roman" w:cs="Times New Roman"/>
          <w:b/>
          <w:bCs/>
          <w:sz w:val="28"/>
          <w:szCs w:val="28"/>
        </w:rPr>
        <w:lastRenderedPageBreak/>
        <w:t>Anexo</w:t>
      </w:r>
    </w:p>
    <w:p w14:paraId="3B69C57B" w14:textId="34688D50" w:rsidR="38BE7CBE" w:rsidRPr="00D73494" w:rsidRDefault="38BE7CBE" w:rsidP="00813CCC">
      <w:pPr>
        <w:jc w:val="both"/>
        <w:rPr>
          <w:rFonts w:ascii="Times New Roman" w:eastAsia="Times New Roman" w:hAnsi="Times New Roman" w:cs="Times New Roman"/>
        </w:rPr>
      </w:pPr>
    </w:p>
    <w:p w14:paraId="23CF1651" w14:textId="7957C3FB" w:rsidR="38BE7CBE"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Tabla 1. Estadísticas descriptivas variables series de tiempo</w:t>
      </w:r>
    </w:p>
    <w:p w14:paraId="294911AC" w14:textId="77777777" w:rsidR="00DB68FB" w:rsidRPr="00D73494" w:rsidRDefault="00DB68FB" w:rsidP="00813CCC">
      <w:pPr>
        <w:jc w:val="both"/>
        <w:rPr>
          <w:rFonts w:ascii="Times New Roman" w:eastAsia="Times New Roman" w:hAnsi="Times New Roman" w:cs="Times New Roman"/>
          <w:b/>
          <w:bCs/>
        </w:rPr>
      </w:pPr>
    </w:p>
    <w:tbl>
      <w:tblPr>
        <w:tblStyle w:val="Tablaconcuadrcula"/>
        <w:tblW w:w="0" w:type="auto"/>
        <w:jc w:val="center"/>
        <w:tblLayout w:type="fixed"/>
        <w:tblLook w:val="06A0" w:firstRow="1" w:lastRow="0" w:firstColumn="1" w:lastColumn="0" w:noHBand="1" w:noVBand="1"/>
      </w:tblPr>
      <w:tblGrid>
        <w:gridCol w:w="2385"/>
        <w:gridCol w:w="615"/>
        <w:gridCol w:w="1245"/>
        <w:gridCol w:w="1200"/>
        <w:gridCol w:w="1200"/>
        <w:gridCol w:w="1215"/>
        <w:gridCol w:w="1125"/>
      </w:tblGrid>
      <w:tr w:rsidR="38BE7CBE" w:rsidRPr="00D73494" w14:paraId="0C77F464" w14:textId="77777777" w:rsidTr="38BE7CBE">
        <w:trPr>
          <w:trHeight w:val="300"/>
          <w:jc w:val="center"/>
        </w:trPr>
        <w:tc>
          <w:tcPr>
            <w:tcW w:w="2385" w:type="dxa"/>
            <w:tcBorders>
              <w:top w:val="nil"/>
              <w:left w:val="nil"/>
              <w:bottom w:val="single" w:sz="4" w:space="0" w:color="auto"/>
              <w:right w:val="nil"/>
            </w:tcBorders>
            <w:shd w:val="clear" w:color="auto" w:fill="FFFFFF" w:themeFill="background1"/>
            <w:vAlign w:val="center"/>
          </w:tcPr>
          <w:p w14:paraId="37E9338A" w14:textId="512ACE7E"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Variable</w:t>
            </w:r>
          </w:p>
        </w:tc>
        <w:tc>
          <w:tcPr>
            <w:tcW w:w="615" w:type="dxa"/>
            <w:tcBorders>
              <w:top w:val="nil"/>
              <w:left w:val="nil"/>
              <w:bottom w:val="single" w:sz="4" w:space="0" w:color="auto"/>
              <w:right w:val="nil"/>
            </w:tcBorders>
            <w:shd w:val="clear" w:color="auto" w:fill="FFFFFF" w:themeFill="background1"/>
            <w:vAlign w:val="center"/>
          </w:tcPr>
          <w:p w14:paraId="0A29D675" w14:textId="2A43BDEF"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N</w:t>
            </w:r>
          </w:p>
        </w:tc>
        <w:tc>
          <w:tcPr>
            <w:tcW w:w="1245" w:type="dxa"/>
            <w:tcBorders>
              <w:top w:val="nil"/>
              <w:left w:val="nil"/>
              <w:bottom w:val="single" w:sz="4" w:space="0" w:color="auto"/>
              <w:right w:val="nil"/>
            </w:tcBorders>
            <w:shd w:val="clear" w:color="auto" w:fill="FFFFFF" w:themeFill="background1"/>
            <w:vAlign w:val="center"/>
          </w:tcPr>
          <w:p w14:paraId="409A3461" w14:textId="5A134688"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min</w:t>
            </w:r>
          </w:p>
        </w:tc>
        <w:tc>
          <w:tcPr>
            <w:tcW w:w="1200" w:type="dxa"/>
            <w:tcBorders>
              <w:top w:val="nil"/>
              <w:left w:val="nil"/>
              <w:bottom w:val="single" w:sz="4" w:space="0" w:color="auto"/>
              <w:right w:val="nil"/>
            </w:tcBorders>
            <w:shd w:val="clear" w:color="auto" w:fill="FFFFFF" w:themeFill="background1"/>
            <w:vAlign w:val="center"/>
          </w:tcPr>
          <w:p w14:paraId="26C757B9" w14:textId="45130CF2"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max</w:t>
            </w:r>
          </w:p>
        </w:tc>
        <w:tc>
          <w:tcPr>
            <w:tcW w:w="1200" w:type="dxa"/>
            <w:tcBorders>
              <w:top w:val="nil"/>
              <w:left w:val="nil"/>
              <w:bottom w:val="single" w:sz="4" w:space="0" w:color="auto"/>
              <w:right w:val="nil"/>
            </w:tcBorders>
            <w:shd w:val="clear" w:color="auto" w:fill="FFFFFF" w:themeFill="background1"/>
            <w:vAlign w:val="center"/>
          </w:tcPr>
          <w:p w14:paraId="5311668F" w14:textId="6A1DBDF9"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median</w:t>
            </w:r>
          </w:p>
        </w:tc>
        <w:tc>
          <w:tcPr>
            <w:tcW w:w="1215" w:type="dxa"/>
            <w:tcBorders>
              <w:top w:val="nil"/>
              <w:left w:val="nil"/>
              <w:bottom w:val="single" w:sz="4" w:space="0" w:color="auto"/>
              <w:right w:val="nil"/>
            </w:tcBorders>
            <w:shd w:val="clear" w:color="auto" w:fill="FFFFFF" w:themeFill="background1"/>
            <w:vAlign w:val="center"/>
          </w:tcPr>
          <w:p w14:paraId="687305B7" w14:textId="5C5FD508"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mean</w:t>
            </w:r>
          </w:p>
        </w:tc>
        <w:tc>
          <w:tcPr>
            <w:tcW w:w="1125" w:type="dxa"/>
            <w:tcBorders>
              <w:top w:val="nil"/>
              <w:left w:val="nil"/>
              <w:bottom w:val="single" w:sz="4" w:space="0" w:color="auto"/>
              <w:right w:val="nil"/>
            </w:tcBorders>
            <w:shd w:val="clear" w:color="auto" w:fill="FFFFFF" w:themeFill="background1"/>
            <w:vAlign w:val="center"/>
          </w:tcPr>
          <w:p w14:paraId="553AEBCC" w14:textId="1DC6206A" w:rsidR="38BE7CBE" w:rsidRPr="00D73494" w:rsidRDefault="38BE7CBE" w:rsidP="00813CCC">
            <w:pPr>
              <w:jc w:val="both"/>
              <w:rPr>
                <w:rFonts w:ascii="Times New Roman" w:eastAsia="Times New Roman" w:hAnsi="Times New Roman" w:cs="Times New Roman"/>
                <w:b/>
                <w:bCs/>
                <w:color w:val="000000" w:themeColor="text1"/>
                <w:sz w:val="20"/>
                <w:szCs w:val="20"/>
              </w:rPr>
            </w:pPr>
            <w:r w:rsidRPr="00D73494">
              <w:rPr>
                <w:rFonts w:ascii="Times New Roman" w:eastAsia="Times New Roman" w:hAnsi="Times New Roman" w:cs="Times New Roman"/>
                <w:b/>
                <w:bCs/>
                <w:color w:val="000000" w:themeColor="text1"/>
                <w:sz w:val="20"/>
                <w:szCs w:val="20"/>
              </w:rPr>
              <w:t>std.dev</w:t>
            </w:r>
          </w:p>
        </w:tc>
      </w:tr>
      <w:tr w:rsidR="38BE7CBE" w:rsidRPr="00D73494" w14:paraId="35EB7247" w14:textId="77777777" w:rsidTr="38BE7CBE">
        <w:trPr>
          <w:trHeight w:val="300"/>
          <w:jc w:val="center"/>
        </w:trPr>
        <w:tc>
          <w:tcPr>
            <w:tcW w:w="2385" w:type="dxa"/>
            <w:tcBorders>
              <w:top w:val="single" w:sz="4" w:space="0" w:color="auto"/>
              <w:left w:val="nil"/>
              <w:bottom w:val="nil"/>
              <w:right w:val="nil"/>
            </w:tcBorders>
            <w:vAlign w:val="center"/>
          </w:tcPr>
          <w:p w14:paraId="7EF7F6C9" w14:textId="7341C0C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 xml:space="preserve">WTI </w:t>
            </w:r>
          </w:p>
          <w:p w14:paraId="22049986" w14:textId="60AE7A28"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(USD/Barril)</w:t>
            </w:r>
          </w:p>
        </w:tc>
        <w:tc>
          <w:tcPr>
            <w:tcW w:w="615" w:type="dxa"/>
            <w:tcBorders>
              <w:top w:val="single" w:sz="4" w:space="0" w:color="auto"/>
              <w:left w:val="nil"/>
              <w:bottom w:val="nil"/>
              <w:right w:val="nil"/>
            </w:tcBorders>
            <w:vAlign w:val="center"/>
          </w:tcPr>
          <w:p w14:paraId="50992349" w14:textId="27A9A4F6"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single" w:sz="4" w:space="0" w:color="auto"/>
              <w:left w:val="nil"/>
              <w:bottom w:val="nil"/>
              <w:right w:val="nil"/>
            </w:tcBorders>
            <w:vAlign w:val="center"/>
          </w:tcPr>
          <w:p w14:paraId="2D03B814" w14:textId="73AFA4C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11,35</w:t>
            </w:r>
          </w:p>
        </w:tc>
        <w:tc>
          <w:tcPr>
            <w:tcW w:w="1200" w:type="dxa"/>
            <w:tcBorders>
              <w:top w:val="single" w:sz="4" w:space="0" w:color="auto"/>
              <w:left w:val="nil"/>
              <w:bottom w:val="nil"/>
              <w:right w:val="nil"/>
            </w:tcBorders>
            <w:vAlign w:val="center"/>
          </w:tcPr>
          <w:p w14:paraId="217E0163" w14:textId="63C2205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133,88</w:t>
            </w:r>
          </w:p>
        </w:tc>
        <w:tc>
          <w:tcPr>
            <w:tcW w:w="1200" w:type="dxa"/>
            <w:tcBorders>
              <w:top w:val="single" w:sz="4" w:space="0" w:color="auto"/>
              <w:left w:val="nil"/>
              <w:bottom w:val="nil"/>
              <w:right w:val="nil"/>
            </w:tcBorders>
            <w:vAlign w:val="center"/>
          </w:tcPr>
          <w:p w14:paraId="5857C55E" w14:textId="31696DB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40,94</w:t>
            </w:r>
          </w:p>
        </w:tc>
        <w:tc>
          <w:tcPr>
            <w:tcW w:w="1215" w:type="dxa"/>
            <w:tcBorders>
              <w:top w:val="single" w:sz="4" w:space="0" w:color="auto"/>
              <w:left w:val="nil"/>
              <w:bottom w:val="nil"/>
              <w:right w:val="nil"/>
            </w:tcBorders>
            <w:vAlign w:val="center"/>
          </w:tcPr>
          <w:p w14:paraId="35BAA894" w14:textId="78A0B81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47,89</w:t>
            </w:r>
          </w:p>
        </w:tc>
        <w:tc>
          <w:tcPr>
            <w:tcW w:w="1125" w:type="dxa"/>
            <w:tcBorders>
              <w:top w:val="single" w:sz="4" w:space="0" w:color="auto"/>
              <w:left w:val="nil"/>
              <w:bottom w:val="nil"/>
              <w:right w:val="nil"/>
            </w:tcBorders>
            <w:vAlign w:val="center"/>
          </w:tcPr>
          <w:p w14:paraId="5C982BF3" w14:textId="6AFF9836"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29,05</w:t>
            </w:r>
          </w:p>
        </w:tc>
      </w:tr>
      <w:tr w:rsidR="38BE7CBE" w:rsidRPr="00D73494" w14:paraId="084C0B7E" w14:textId="77777777" w:rsidTr="38BE7CBE">
        <w:trPr>
          <w:trHeight w:val="525"/>
          <w:jc w:val="center"/>
        </w:trPr>
        <w:tc>
          <w:tcPr>
            <w:tcW w:w="2385" w:type="dxa"/>
            <w:tcBorders>
              <w:top w:val="nil"/>
              <w:left w:val="nil"/>
              <w:bottom w:val="nil"/>
              <w:right w:val="nil"/>
            </w:tcBorders>
            <w:vAlign w:val="center"/>
          </w:tcPr>
          <w:p w14:paraId="70B7EECD" w14:textId="43D10C0D"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Producción de petróleo (miles de barriles)</w:t>
            </w:r>
          </w:p>
        </w:tc>
        <w:tc>
          <w:tcPr>
            <w:tcW w:w="615" w:type="dxa"/>
            <w:tcBorders>
              <w:top w:val="nil"/>
              <w:left w:val="nil"/>
              <w:bottom w:val="nil"/>
              <w:right w:val="nil"/>
            </w:tcBorders>
            <w:vAlign w:val="center"/>
          </w:tcPr>
          <w:p w14:paraId="1476EC8E" w14:textId="3D718ED8"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nil"/>
              <w:right w:val="nil"/>
            </w:tcBorders>
            <w:vAlign w:val="center"/>
          </w:tcPr>
          <w:p w14:paraId="23B036AD" w14:textId="79E0A96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119.208</w:t>
            </w:r>
          </w:p>
        </w:tc>
        <w:tc>
          <w:tcPr>
            <w:tcW w:w="1200" w:type="dxa"/>
            <w:tcBorders>
              <w:top w:val="nil"/>
              <w:left w:val="nil"/>
              <w:bottom w:val="nil"/>
              <w:right w:val="nil"/>
            </w:tcBorders>
            <w:vAlign w:val="center"/>
          </w:tcPr>
          <w:p w14:paraId="67C6A8DD" w14:textId="098DA05A"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400.219</w:t>
            </w:r>
          </w:p>
        </w:tc>
        <w:tc>
          <w:tcPr>
            <w:tcW w:w="1200" w:type="dxa"/>
            <w:tcBorders>
              <w:top w:val="nil"/>
              <w:left w:val="nil"/>
              <w:bottom w:val="nil"/>
              <w:right w:val="nil"/>
            </w:tcBorders>
            <w:vAlign w:val="center"/>
          </w:tcPr>
          <w:p w14:paraId="0AE1C3FF" w14:textId="76CC5E8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198.691</w:t>
            </w:r>
          </w:p>
        </w:tc>
        <w:tc>
          <w:tcPr>
            <w:tcW w:w="1215" w:type="dxa"/>
            <w:tcBorders>
              <w:top w:val="nil"/>
              <w:left w:val="nil"/>
              <w:bottom w:val="nil"/>
              <w:right w:val="nil"/>
            </w:tcBorders>
            <w:vAlign w:val="center"/>
          </w:tcPr>
          <w:p w14:paraId="3D5DD4C9" w14:textId="464C7907"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219.519</w:t>
            </w:r>
          </w:p>
        </w:tc>
        <w:tc>
          <w:tcPr>
            <w:tcW w:w="1125" w:type="dxa"/>
            <w:tcBorders>
              <w:top w:val="nil"/>
              <w:left w:val="nil"/>
              <w:bottom w:val="nil"/>
              <w:right w:val="nil"/>
            </w:tcBorders>
            <w:vAlign w:val="center"/>
          </w:tcPr>
          <w:p w14:paraId="304D6232" w14:textId="4B908D6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63.178</w:t>
            </w:r>
          </w:p>
        </w:tc>
      </w:tr>
      <w:tr w:rsidR="38BE7CBE" w:rsidRPr="00D73494" w14:paraId="14098316" w14:textId="77777777" w:rsidTr="38BE7CBE">
        <w:trPr>
          <w:trHeight w:val="525"/>
          <w:jc w:val="center"/>
        </w:trPr>
        <w:tc>
          <w:tcPr>
            <w:tcW w:w="2385" w:type="dxa"/>
            <w:tcBorders>
              <w:top w:val="nil"/>
              <w:left w:val="nil"/>
              <w:bottom w:val="nil"/>
              <w:right w:val="nil"/>
            </w:tcBorders>
            <w:vAlign w:val="center"/>
          </w:tcPr>
          <w:p w14:paraId="441C0799" w14:textId="7B07EBCE"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Precio de importación del Gas Natural Gas (USD/millones de pies cúbicos)</w:t>
            </w:r>
          </w:p>
        </w:tc>
        <w:tc>
          <w:tcPr>
            <w:tcW w:w="615" w:type="dxa"/>
            <w:tcBorders>
              <w:top w:val="nil"/>
              <w:left w:val="nil"/>
              <w:bottom w:val="nil"/>
              <w:right w:val="nil"/>
            </w:tcBorders>
            <w:vAlign w:val="center"/>
          </w:tcPr>
          <w:p w14:paraId="183F38CA" w14:textId="7887324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nil"/>
              <w:right w:val="nil"/>
            </w:tcBorders>
            <w:vAlign w:val="center"/>
          </w:tcPr>
          <w:p w14:paraId="7DB463C5" w14:textId="3BC7063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1,34</w:t>
            </w:r>
          </w:p>
        </w:tc>
        <w:tc>
          <w:tcPr>
            <w:tcW w:w="1200" w:type="dxa"/>
            <w:tcBorders>
              <w:top w:val="nil"/>
              <w:left w:val="nil"/>
              <w:bottom w:val="nil"/>
              <w:right w:val="nil"/>
            </w:tcBorders>
            <w:vAlign w:val="center"/>
          </w:tcPr>
          <w:p w14:paraId="653863CF" w14:textId="1DF8177F"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11,99</w:t>
            </w:r>
          </w:p>
        </w:tc>
        <w:tc>
          <w:tcPr>
            <w:tcW w:w="1200" w:type="dxa"/>
            <w:tcBorders>
              <w:top w:val="nil"/>
              <w:left w:val="nil"/>
              <w:bottom w:val="nil"/>
              <w:right w:val="nil"/>
            </w:tcBorders>
            <w:vAlign w:val="center"/>
          </w:tcPr>
          <w:p w14:paraId="41FD72FA" w14:textId="11616E69"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2,80</w:t>
            </w:r>
          </w:p>
        </w:tc>
        <w:tc>
          <w:tcPr>
            <w:tcW w:w="1215" w:type="dxa"/>
            <w:tcBorders>
              <w:top w:val="nil"/>
              <w:left w:val="nil"/>
              <w:bottom w:val="nil"/>
              <w:right w:val="nil"/>
            </w:tcBorders>
            <w:vAlign w:val="center"/>
          </w:tcPr>
          <w:p w14:paraId="2D5EC598" w14:textId="01C854C7"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3,61</w:t>
            </w:r>
          </w:p>
        </w:tc>
        <w:tc>
          <w:tcPr>
            <w:tcW w:w="1125" w:type="dxa"/>
            <w:tcBorders>
              <w:top w:val="nil"/>
              <w:left w:val="nil"/>
              <w:bottom w:val="nil"/>
              <w:right w:val="nil"/>
            </w:tcBorders>
            <w:vAlign w:val="center"/>
          </w:tcPr>
          <w:p w14:paraId="30CF1427" w14:textId="146F462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2,12</w:t>
            </w:r>
          </w:p>
        </w:tc>
      </w:tr>
      <w:tr w:rsidR="38BE7CBE" w:rsidRPr="00D73494" w14:paraId="0A049AEC" w14:textId="77777777" w:rsidTr="38BE7CBE">
        <w:trPr>
          <w:trHeight w:val="525"/>
          <w:jc w:val="center"/>
        </w:trPr>
        <w:tc>
          <w:tcPr>
            <w:tcW w:w="2385" w:type="dxa"/>
            <w:tcBorders>
              <w:top w:val="nil"/>
              <w:left w:val="nil"/>
              <w:bottom w:val="single" w:sz="4" w:space="0" w:color="auto"/>
              <w:right w:val="nil"/>
            </w:tcBorders>
            <w:vAlign w:val="center"/>
          </w:tcPr>
          <w:p w14:paraId="72387D5D" w14:textId="3E5F109C"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Producción Gas Natural (millones de pies cúbicos)</w:t>
            </w:r>
          </w:p>
        </w:tc>
        <w:tc>
          <w:tcPr>
            <w:tcW w:w="615" w:type="dxa"/>
            <w:tcBorders>
              <w:top w:val="nil"/>
              <w:left w:val="nil"/>
              <w:bottom w:val="single" w:sz="4" w:space="0" w:color="auto"/>
              <w:right w:val="nil"/>
            </w:tcBorders>
            <w:vAlign w:val="center"/>
          </w:tcPr>
          <w:p w14:paraId="445A661B" w14:textId="78050A72"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401</w:t>
            </w:r>
          </w:p>
        </w:tc>
        <w:tc>
          <w:tcPr>
            <w:tcW w:w="1245" w:type="dxa"/>
            <w:tcBorders>
              <w:top w:val="nil"/>
              <w:left w:val="nil"/>
              <w:bottom w:val="single" w:sz="4" w:space="0" w:color="auto"/>
              <w:right w:val="nil"/>
            </w:tcBorders>
            <w:vAlign w:val="center"/>
          </w:tcPr>
          <w:p w14:paraId="7B9C0188" w14:textId="12D8440F"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1.649.263</w:t>
            </w:r>
          </w:p>
        </w:tc>
        <w:tc>
          <w:tcPr>
            <w:tcW w:w="1200" w:type="dxa"/>
            <w:tcBorders>
              <w:top w:val="nil"/>
              <w:left w:val="nil"/>
              <w:bottom w:val="single" w:sz="4" w:space="0" w:color="auto"/>
              <w:right w:val="nil"/>
            </w:tcBorders>
            <w:vAlign w:val="center"/>
          </w:tcPr>
          <w:p w14:paraId="228514F9" w14:textId="2841C652"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3.679.110</w:t>
            </w:r>
          </w:p>
        </w:tc>
        <w:tc>
          <w:tcPr>
            <w:tcW w:w="1200" w:type="dxa"/>
            <w:tcBorders>
              <w:top w:val="nil"/>
              <w:left w:val="nil"/>
              <w:bottom w:val="single" w:sz="4" w:space="0" w:color="auto"/>
              <w:right w:val="nil"/>
            </w:tcBorders>
            <w:vAlign w:val="center"/>
          </w:tcPr>
          <w:p w14:paraId="196C8BF6" w14:textId="7B87E68B"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2.056.810</w:t>
            </w:r>
          </w:p>
        </w:tc>
        <w:tc>
          <w:tcPr>
            <w:tcW w:w="1215" w:type="dxa"/>
            <w:tcBorders>
              <w:top w:val="nil"/>
              <w:left w:val="nil"/>
              <w:bottom w:val="single" w:sz="4" w:space="0" w:color="auto"/>
              <w:right w:val="nil"/>
            </w:tcBorders>
            <w:vAlign w:val="center"/>
          </w:tcPr>
          <w:p w14:paraId="229ED805" w14:textId="1223B761"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2.292.110</w:t>
            </w:r>
          </w:p>
        </w:tc>
        <w:tc>
          <w:tcPr>
            <w:tcW w:w="1125" w:type="dxa"/>
            <w:tcBorders>
              <w:top w:val="nil"/>
              <w:left w:val="nil"/>
              <w:bottom w:val="single" w:sz="4" w:space="0" w:color="auto"/>
              <w:right w:val="nil"/>
            </w:tcBorders>
            <w:vAlign w:val="center"/>
          </w:tcPr>
          <w:p w14:paraId="5051F3A5" w14:textId="6380FF24" w:rsidR="38BE7CBE" w:rsidRPr="00D73494" w:rsidRDefault="38BE7CBE" w:rsidP="00813CCC">
            <w:pPr>
              <w:jc w:val="both"/>
              <w:rPr>
                <w:rFonts w:ascii="Times New Roman" w:eastAsia="Times New Roman" w:hAnsi="Times New Roman" w:cs="Times New Roman"/>
                <w:color w:val="000000" w:themeColor="text1"/>
                <w:sz w:val="20"/>
                <w:szCs w:val="20"/>
              </w:rPr>
            </w:pPr>
            <w:r w:rsidRPr="00D73494">
              <w:rPr>
                <w:rFonts w:ascii="Times New Roman" w:eastAsia="Times New Roman" w:hAnsi="Times New Roman" w:cs="Times New Roman"/>
                <w:color w:val="000000" w:themeColor="text1"/>
                <w:sz w:val="20"/>
                <w:szCs w:val="20"/>
              </w:rPr>
              <w:t>504.807</w:t>
            </w:r>
          </w:p>
        </w:tc>
      </w:tr>
    </w:tbl>
    <w:p w14:paraId="5A8D93B5" w14:textId="5690C13E" w:rsidR="38BE7CBE" w:rsidRPr="00D73494"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7E874E7B" w14:textId="221E7B48" w:rsidR="38BE7CBE" w:rsidRPr="00D73494" w:rsidRDefault="38BE7CBE" w:rsidP="00813CCC">
      <w:pPr>
        <w:jc w:val="both"/>
        <w:rPr>
          <w:rFonts w:ascii="Times New Roman" w:eastAsia="Times New Roman" w:hAnsi="Times New Roman" w:cs="Times New Roman"/>
        </w:rPr>
      </w:pPr>
    </w:p>
    <w:p w14:paraId="41B73EEC" w14:textId="393635D5" w:rsidR="38BE7CBE" w:rsidRPr="00D73494" w:rsidRDefault="38BE7CBE" w:rsidP="00813CCC">
      <w:pPr>
        <w:jc w:val="both"/>
        <w:rPr>
          <w:rFonts w:ascii="Times New Roman" w:eastAsia="Times New Roman" w:hAnsi="Times New Roman" w:cs="Times New Roman"/>
        </w:rPr>
      </w:pPr>
    </w:p>
    <w:p w14:paraId="39BE4794" w14:textId="0C4E8CA9" w:rsidR="38BE7CBE" w:rsidRPr="00D73494" w:rsidRDefault="38BE7CBE" w:rsidP="00813CCC">
      <w:pPr>
        <w:jc w:val="both"/>
        <w:rPr>
          <w:rFonts w:ascii="Times New Roman" w:eastAsia="Times New Roman" w:hAnsi="Times New Roman" w:cs="Times New Roman"/>
          <w:b/>
          <w:bCs/>
        </w:rPr>
      </w:pPr>
      <w:r w:rsidRPr="00D73494">
        <w:rPr>
          <w:rFonts w:ascii="Times New Roman" w:eastAsia="Times New Roman" w:hAnsi="Times New Roman" w:cs="Times New Roman"/>
          <w:b/>
          <w:bCs/>
        </w:rPr>
        <w:t>Tabla 2. Estadísticas descriptivas variables google trends</w:t>
      </w:r>
    </w:p>
    <w:p w14:paraId="33BE2A26" w14:textId="47DF4ACB" w:rsidR="38BE7CBE" w:rsidRPr="00D73494" w:rsidRDefault="38BE7CBE" w:rsidP="00813CCC">
      <w:pPr>
        <w:jc w:val="both"/>
        <w:rPr>
          <w:rFonts w:ascii="Times New Roman" w:eastAsia="Times New Roman" w:hAnsi="Times New Roman" w:cs="Times New Roman"/>
          <w:b/>
          <w:bCs/>
        </w:rPr>
      </w:pPr>
    </w:p>
    <w:tbl>
      <w:tblPr>
        <w:tblStyle w:val="Tablaconcuadrcula"/>
        <w:tblW w:w="0" w:type="auto"/>
        <w:tblLayout w:type="fixed"/>
        <w:tblLook w:val="06A0" w:firstRow="1" w:lastRow="0" w:firstColumn="1" w:lastColumn="0" w:noHBand="1" w:noVBand="1"/>
      </w:tblPr>
      <w:tblGrid>
        <w:gridCol w:w="1920"/>
        <w:gridCol w:w="615"/>
        <w:gridCol w:w="585"/>
        <w:gridCol w:w="645"/>
        <w:gridCol w:w="900"/>
        <w:gridCol w:w="735"/>
        <w:gridCol w:w="825"/>
      </w:tblGrid>
      <w:tr w:rsidR="38BE7CBE" w:rsidRPr="00D73494" w14:paraId="0309AA85" w14:textId="77777777" w:rsidTr="38BE7CBE">
        <w:trPr>
          <w:trHeight w:val="300"/>
        </w:trPr>
        <w:tc>
          <w:tcPr>
            <w:tcW w:w="1920" w:type="dxa"/>
            <w:tcBorders>
              <w:top w:val="nil"/>
              <w:left w:val="nil"/>
              <w:bottom w:val="single" w:sz="4" w:space="0" w:color="auto"/>
              <w:right w:val="nil"/>
            </w:tcBorders>
            <w:vAlign w:val="center"/>
          </w:tcPr>
          <w:p w14:paraId="1F32A25E" w14:textId="1B7B522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Variable</w:t>
            </w:r>
          </w:p>
        </w:tc>
        <w:tc>
          <w:tcPr>
            <w:tcW w:w="615" w:type="dxa"/>
            <w:tcBorders>
              <w:top w:val="nil"/>
              <w:left w:val="nil"/>
              <w:bottom w:val="single" w:sz="4" w:space="0" w:color="auto"/>
              <w:right w:val="nil"/>
            </w:tcBorders>
            <w:vAlign w:val="center"/>
          </w:tcPr>
          <w:p w14:paraId="3DAEF2AE" w14:textId="42969AA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N</w:t>
            </w:r>
          </w:p>
        </w:tc>
        <w:tc>
          <w:tcPr>
            <w:tcW w:w="585" w:type="dxa"/>
            <w:tcBorders>
              <w:top w:val="nil"/>
              <w:left w:val="nil"/>
              <w:bottom w:val="single" w:sz="4" w:space="0" w:color="auto"/>
              <w:right w:val="nil"/>
            </w:tcBorders>
            <w:vAlign w:val="center"/>
          </w:tcPr>
          <w:p w14:paraId="27C1948D" w14:textId="61A1974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min</w:t>
            </w:r>
          </w:p>
        </w:tc>
        <w:tc>
          <w:tcPr>
            <w:tcW w:w="645" w:type="dxa"/>
            <w:tcBorders>
              <w:top w:val="nil"/>
              <w:left w:val="nil"/>
              <w:bottom w:val="single" w:sz="4" w:space="0" w:color="auto"/>
              <w:right w:val="nil"/>
            </w:tcBorders>
            <w:vAlign w:val="center"/>
          </w:tcPr>
          <w:p w14:paraId="69A1DDC8" w14:textId="7D03570A" w:rsidR="38BE7CBE" w:rsidRPr="00D73494" w:rsidRDefault="38BE7CBE" w:rsidP="00813CCC">
            <w:pPr>
              <w:jc w:val="both"/>
              <w:rPr>
                <w:rFonts w:ascii="Times New Roman" w:eastAsia="Times New Roman" w:hAnsi="Times New Roman" w:cs="Times New Roman"/>
                <w:b/>
                <w:bCs/>
                <w:color w:val="000000" w:themeColor="text1"/>
                <w:sz w:val="18"/>
                <w:szCs w:val="18"/>
              </w:rPr>
            </w:pPr>
            <w:r w:rsidRPr="00D73494">
              <w:rPr>
                <w:rFonts w:ascii="Times New Roman" w:eastAsia="Times New Roman" w:hAnsi="Times New Roman" w:cs="Times New Roman"/>
                <w:b/>
                <w:bCs/>
                <w:color w:val="000000" w:themeColor="text1"/>
                <w:sz w:val="18"/>
                <w:szCs w:val="18"/>
              </w:rPr>
              <w:t>max</w:t>
            </w:r>
          </w:p>
        </w:tc>
        <w:tc>
          <w:tcPr>
            <w:tcW w:w="900" w:type="dxa"/>
            <w:tcBorders>
              <w:top w:val="nil"/>
              <w:left w:val="nil"/>
              <w:bottom w:val="single" w:sz="4" w:space="0" w:color="auto"/>
              <w:right w:val="nil"/>
            </w:tcBorders>
            <w:vAlign w:val="center"/>
          </w:tcPr>
          <w:p w14:paraId="6F869227" w14:textId="290A3C8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median</w:t>
            </w:r>
          </w:p>
        </w:tc>
        <w:tc>
          <w:tcPr>
            <w:tcW w:w="735" w:type="dxa"/>
            <w:tcBorders>
              <w:top w:val="nil"/>
              <w:left w:val="nil"/>
              <w:bottom w:val="single" w:sz="4" w:space="0" w:color="auto"/>
              <w:right w:val="nil"/>
            </w:tcBorders>
            <w:vAlign w:val="center"/>
          </w:tcPr>
          <w:p w14:paraId="490520FD" w14:textId="3315C21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b/>
                <w:bCs/>
                <w:color w:val="000000" w:themeColor="text1"/>
                <w:sz w:val="18"/>
                <w:szCs w:val="18"/>
              </w:rPr>
              <w:t>mean</w:t>
            </w:r>
          </w:p>
        </w:tc>
        <w:tc>
          <w:tcPr>
            <w:tcW w:w="825" w:type="dxa"/>
            <w:tcBorders>
              <w:top w:val="nil"/>
              <w:left w:val="nil"/>
              <w:bottom w:val="single" w:sz="4" w:space="0" w:color="auto"/>
              <w:right w:val="nil"/>
            </w:tcBorders>
            <w:vAlign w:val="center"/>
          </w:tcPr>
          <w:p w14:paraId="742510B3" w14:textId="4DE44A6F" w:rsidR="38BE7CBE" w:rsidRPr="00D73494" w:rsidRDefault="38BE7CBE" w:rsidP="00813CCC">
            <w:pPr>
              <w:jc w:val="both"/>
              <w:rPr>
                <w:rFonts w:ascii="Times New Roman" w:eastAsia="Times New Roman" w:hAnsi="Times New Roman" w:cs="Times New Roman"/>
                <w:b/>
                <w:bCs/>
                <w:color w:val="000000" w:themeColor="text1"/>
                <w:sz w:val="18"/>
                <w:szCs w:val="18"/>
              </w:rPr>
            </w:pPr>
            <w:r w:rsidRPr="00D73494">
              <w:rPr>
                <w:rFonts w:ascii="Times New Roman" w:eastAsia="Times New Roman" w:hAnsi="Times New Roman" w:cs="Times New Roman"/>
                <w:b/>
                <w:bCs/>
                <w:color w:val="000000" w:themeColor="text1"/>
                <w:sz w:val="18"/>
                <w:szCs w:val="18"/>
              </w:rPr>
              <w:t>std.dev</w:t>
            </w:r>
          </w:p>
        </w:tc>
      </w:tr>
      <w:tr w:rsidR="38BE7CBE" w:rsidRPr="00D73494" w14:paraId="399D0040" w14:textId="77777777" w:rsidTr="38BE7CBE">
        <w:trPr>
          <w:trHeight w:val="300"/>
        </w:trPr>
        <w:tc>
          <w:tcPr>
            <w:tcW w:w="1920" w:type="dxa"/>
            <w:tcBorders>
              <w:top w:val="single" w:sz="4" w:space="0" w:color="auto"/>
              <w:left w:val="nil"/>
              <w:bottom w:val="nil"/>
              <w:right w:val="nil"/>
            </w:tcBorders>
            <w:vAlign w:val="bottom"/>
          </w:tcPr>
          <w:p w14:paraId="52719D83" w14:textId="0824FED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crude oil price</w:t>
            </w:r>
          </w:p>
        </w:tc>
        <w:tc>
          <w:tcPr>
            <w:tcW w:w="615" w:type="dxa"/>
            <w:tcBorders>
              <w:top w:val="single" w:sz="4" w:space="0" w:color="auto"/>
              <w:left w:val="nil"/>
              <w:bottom w:val="nil"/>
              <w:right w:val="nil"/>
            </w:tcBorders>
            <w:vAlign w:val="center"/>
          </w:tcPr>
          <w:p w14:paraId="18E77042" w14:textId="684E9E6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single" w:sz="4" w:space="0" w:color="auto"/>
              <w:left w:val="nil"/>
              <w:bottom w:val="nil"/>
              <w:right w:val="nil"/>
            </w:tcBorders>
            <w:vAlign w:val="center"/>
          </w:tcPr>
          <w:p w14:paraId="3905C88E" w14:textId="7F0F30A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single" w:sz="4" w:space="0" w:color="auto"/>
              <w:left w:val="nil"/>
              <w:bottom w:val="nil"/>
              <w:right w:val="nil"/>
            </w:tcBorders>
            <w:vAlign w:val="center"/>
          </w:tcPr>
          <w:p w14:paraId="2054E26D" w14:textId="372C2C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single" w:sz="4" w:space="0" w:color="auto"/>
              <w:left w:val="nil"/>
              <w:bottom w:val="nil"/>
              <w:right w:val="nil"/>
            </w:tcBorders>
            <w:vAlign w:val="center"/>
          </w:tcPr>
          <w:p w14:paraId="5BDE4B47" w14:textId="2020EA2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single" w:sz="4" w:space="0" w:color="auto"/>
              <w:left w:val="nil"/>
              <w:bottom w:val="nil"/>
              <w:right w:val="nil"/>
            </w:tcBorders>
            <w:vAlign w:val="center"/>
          </w:tcPr>
          <w:p w14:paraId="484D55B3" w14:textId="6366FEA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15,04</w:t>
            </w:r>
          </w:p>
        </w:tc>
        <w:tc>
          <w:tcPr>
            <w:tcW w:w="825" w:type="dxa"/>
            <w:tcBorders>
              <w:top w:val="single" w:sz="4" w:space="0" w:color="auto"/>
              <w:left w:val="nil"/>
              <w:bottom w:val="nil"/>
              <w:right w:val="nil"/>
            </w:tcBorders>
            <w:vAlign w:val="center"/>
          </w:tcPr>
          <w:p w14:paraId="58F9E0AE" w14:textId="4A8387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14,61</w:t>
            </w:r>
          </w:p>
        </w:tc>
      </w:tr>
      <w:tr w:rsidR="38BE7CBE" w:rsidRPr="00D73494" w14:paraId="4AA485E0" w14:textId="77777777" w:rsidTr="38BE7CBE">
        <w:trPr>
          <w:trHeight w:val="300"/>
        </w:trPr>
        <w:tc>
          <w:tcPr>
            <w:tcW w:w="1920" w:type="dxa"/>
            <w:tcBorders>
              <w:top w:val="nil"/>
              <w:left w:val="nil"/>
              <w:bottom w:val="nil"/>
              <w:right w:val="nil"/>
            </w:tcBorders>
            <w:vAlign w:val="bottom"/>
          </w:tcPr>
          <w:p w14:paraId="2B70E3D2" w14:textId="7C0C929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precio del petroleo</w:t>
            </w:r>
          </w:p>
        </w:tc>
        <w:tc>
          <w:tcPr>
            <w:tcW w:w="615" w:type="dxa"/>
            <w:tcBorders>
              <w:top w:val="nil"/>
              <w:left w:val="nil"/>
              <w:bottom w:val="nil"/>
              <w:right w:val="nil"/>
            </w:tcBorders>
            <w:vAlign w:val="center"/>
          </w:tcPr>
          <w:p w14:paraId="21B3B05B" w14:textId="04DA6E4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C081B85" w14:textId="0F42DD3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1079E89" w14:textId="0BDCA69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w:t>
            </w:r>
          </w:p>
        </w:tc>
        <w:tc>
          <w:tcPr>
            <w:tcW w:w="900" w:type="dxa"/>
            <w:tcBorders>
              <w:top w:val="nil"/>
              <w:left w:val="nil"/>
              <w:bottom w:val="nil"/>
              <w:right w:val="nil"/>
            </w:tcBorders>
            <w:vAlign w:val="center"/>
          </w:tcPr>
          <w:p w14:paraId="2462296E" w14:textId="6D46E34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34941893" w14:textId="399C988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1,13</w:t>
            </w:r>
          </w:p>
        </w:tc>
        <w:tc>
          <w:tcPr>
            <w:tcW w:w="825" w:type="dxa"/>
            <w:tcBorders>
              <w:top w:val="nil"/>
              <w:left w:val="nil"/>
              <w:bottom w:val="nil"/>
              <w:right w:val="nil"/>
            </w:tcBorders>
            <w:vAlign w:val="center"/>
          </w:tcPr>
          <w:p w14:paraId="3DC2DEF6" w14:textId="4D9E5FE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0,72</w:t>
            </w:r>
          </w:p>
        </w:tc>
      </w:tr>
      <w:tr w:rsidR="38BE7CBE" w:rsidRPr="00D73494" w14:paraId="3AB89193" w14:textId="77777777" w:rsidTr="38BE7CBE">
        <w:trPr>
          <w:trHeight w:val="300"/>
        </w:trPr>
        <w:tc>
          <w:tcPr>
            <w:tcW w:w="1920" w:type="dxa"/>
            <w:tcBorders>
              <w:top w:val="nil"/>
              <w:left w:val="nil"/>
              <w:bottom w:val="nil"/>
              <w:right w:val="nil"/>
            </w:tcBorders>
            <w:vAlign w:val="bottom"/>
          </w:tcPr>
          <w:p w14:paraId="6260C6D4" w14:textId="71CBBB2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price of crude oil</w:t>
            </w:r>
          </w:p>
        </w:tc>
        <w:tc>
          <w:tcPr>
            <w:tcW w:w="615" w:type="dxa"/>
            <w:tcBorders>
              <w:top w:val="nil"/>
              <w:left w:val="nil"/>
              <w:bottom w:val="nil"/>
              <w:right w:val="nil"/>
            </w:tcBorders>
            <w:vAlign w:val="center"/>
          </w:tcPr>
          <w:p w14:paraId="07C69349" w14:textId="191DB72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5F06CAD" w14:textId="2C81D39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8CC10FA" w14:textId="629ED90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17</w:t>
            </w:r>
          </w:p>
        </w:tc>
        <w:tc>
          <w:tcPr>
            <w:tcW w:w="900" w:type="dxa"/>
            <w:tcBorders>
              <w:top w:val="nil"/>
              <w:left w:val="nil"/>
              <w:bottom w:val="nil"/>
              <w:right w:val="nil"/>
            </w:tcBorders>
            <w:vAlign w:val="center"/>
          </w:tcPr>
          <w:p w14:paraId="72418488" w14:textId="1121201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735" w:type="dxa"/>
            <w:tcBorders>
              <w:top w:val="nil"/>
              <w:left w:val="nil"/>
              <w:bottom w:val="nil"/>
              <w:right w:val="nil"/>
            </w:tcBorders>
            <w:vAlign w:val="center"/>
          </w:tcPr>
          <w:p w14:paraId="544EDC9E" w14:textId="3B3635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3,21</w:t>
            </w:r>
          </w:p>
        </w:tc>
        <w:tc>
          <w:tcPr>
            <w:tcW w:w="825" w:type="dxa"/>
            <w:tcBorders>
              <w:top w:val="nil"/>
              <w:left w:val="nil"/>
              <w:bottom w:val="nil"/>
              <w:right w:val="nil"/>
            </w:tcBorders>
            <w:vAlign w:val="center"/>
          </w:tcPr>
          <w:p w14:paraId="40E9B772" w14:textId="4BE0992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2,61</w:t>
            </w:r>
          </w:p>
        </w:tc>
      </w:tr>
      <w:tr w:rsidR="38BE7CBE" w:rsidRPr="00D73494" w14:paraId="4518DD6A" w14:textId="77777777" w:rsidTr="38BE7CBE">
        <w:trPr>
          <w:trHeight w:val="300"/>
        </w:trPr>
        <w:tc>
          <w:tcPr>
            <w:tcW w:w="1920" w:type="dxa"/>
            <w:tcBorders>
              <w:top w:val="nil"/>
              <w:left w:val="nil"/>
              <w:bottom w:val="nil"/>
              <w:right w:val="nil"/>
            </w:tcBorders>
            <w:vAlign w:val="bottom"/>
          </w:tcPr>
          <w:p w14:paraId="5E08F90E" w14:textId="46816E1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price today</w:t>
            </w:r>
          </w:p>
        </w:tc>
        <w:tc>
          <w:tcPr>
            <w:tcW w:w="615" w:type="dxa"/>
            <w:tcBorders>
              <w:top w:val="nil"/>
              <w:left w:val="nil"/>
              <w:bottom w:val="nil"/>
              <w:right w:val="nil"/>
            </w:tcBorders>
            <w:vAlign w:val="center"/>
          </w:tcPr>
          <w:p w14:paraId="72A6705B" w14:textId="2422F5C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8FE5005" w14:textId="6401F5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06276F9F" w14:textId="28D60EF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58</w:t>
            </w:r>
          </w:p>
        </w:tc>
        <w:tc>
          <w:tcPr>
            <w:tcW w:w="900" w:type="dxa"/>
            <w:tcBorders>
              <w:top w:val="nil"/>
              <w:left w:val="nil"/>
              <w:bottom w:val="nil"/>
              <w:right w:val="nil"/>
            </w:tcBorders>
            <w:vAlign w:val="center"/>
          </w:tcPr>
          <w:p w14:paraId="3EEF5138" w14:textId="6BEB100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735" w:type="dxa"/>
            <w:tcBorders>
              <w:top w:val="nil"/>
              <w:left w:val="nil"/>
              <w:bottom w:val="nil"/>
              <w:right w:val="nil"/>
            </w:tcBorders>
            <w:vAlign w:val="center"/>
          </w:tcPr>
          <w:p w14:paraId="32BC1E30" w14:textId="1718D3F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6,79</w:t>
            </w:r>
          </w:p>
        </w:tc>
        <w:tc>
          <w:tcPr>
            <w:tcW w:w="825" w:type="dxa"/>
            <w:tcBorders>
              <w:top w:val="nil"/>
              <w:left w:val="nil"/>
              <w:bottom w:val="nil"/>
              <w:right w:val="nil"/>
            </w:tcBorders>
            <w:vAlign w:val="center"/>
          </w:tcPr>
          <w:p w14:paraId="15AEBF02" w14:textId="208649B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8,35</w:t>
            </w:r>
          </w:p>
        </w:tc>
      </w:tr>
      <w:tr w:rsidR="38BE7CBE" w:rsidRPr="00D73494" w14:paraId="561E9A53" w14:textId="77777777" w:rsidTr="38BE7CBE">
        <w:trPr>
          <w:trHeight w:val="300"/>
        </w:trPr>
        <w:tc>
          <w:tcPr>
            <w:tcW w:w="1920" w:type="dxa"/>
            <w:tcBorders>
              <w:top w:val="nil"/>
              <w:left w:val="nil"/>
              <w:bottom w:val="nil"/>
              <w:right w:val="nil"/>
            </w:tcBorders>
            <w:vAlign w:val="bottom"/>
          </w:tcPr>
          <w:p w14:paraId="78D14AAB" w14:textId="0764689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today crude oil price</w:t>
            </w:r>
          </w:p>
        </w:tc>
        <w:tc>
          <w:tcPr>
            <w:tcW w:w="615" w:type="dxa"/>
            <w:tcBorders>
              <w:top w:val="nil"/>
              <w:left w:val="nil"/>
              <w:bottom w:val="nil"/>
              <w:right w:val="nil"/>
            </w:tcBorders>
            <w:vAlign w:val="center"/>
          </w:tcPr>
          <w:p w14:paraId="4EB1E6C7" w14:textId="2C01122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B7FC8F3" w14:textId="4C6C8B4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1931C1B0" w14:textId="0E892B6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23</w:t>
            </w:r>
          </w:p>
        </w:tc>
        <w:tc>
          <w:tcPr>
            <w:tcW w:w="900" w:type="dxa"/>
            <w:tcBorders>
              <w:top w:val="nil"/>
              <w:left w:val="nil"/>
              <w:bottom w:val="nil"/>
              <w:right w:val="nil"/>
            </w:tcBorders>
            <w:vAlign w:val="center"/>
          </w:tcPr>
          <w:p w14:paraId="44346EC0" w14:textId="0EC007B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69F0C833" w14:textId="401C0FA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1,99</w:t>
            </w:r>
          </w:p>
        </w:tc>
        <w:tc>
          <w:tcPr>
            <w:tcW w:w="825" w:type="dxa"/>
            <w:tcBorders>
              <w:top w:val="nil"/>
              <w:left w:val="nil"/>
              <w:bottom w:val="nil"/>
              <w:right w:val="nil"/>
            </w:tcBorders>
            <w:vAlign w:val="center"/>
          </w:tcPr>
          <w:p w14:paraId="4D76A30F" w14:textId="500784B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2,73</w:t>
            </w:r>
          </w:p>
        </w:tc>
      </w:tr>
      <w:tr w:rsidR="38BE7CBE" w:rsidRPr="00D73494" w14:paraId="222ECE63" w14:textId="77777777" w:rsidTr="38BE7CBE">
        <w:trPr>
          <w:trHeight w:val="300"/>
        </w:trPr>
        <w:tc>
          <w:tcPr>
            <w:tcW w:w="1920" w:type="dxa"/>
            <w:tcBorders>
              <w:top w:val="nil"/>
              <w:left w:val="nil"/>
              <w:bottom w:val="nil"/>
              <w:right w:val="nil"/>
            </w:tcBorders>
            <w:vAlign w:val="bottom"/>
          </w:tcPr>
          <w:p w14:paraId="04EE8E18" w14:textId="1CBB210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consumption</w:t>
            </w:r>
          </w:p>
        </w:tc>
        <w:tc>
          <w:tcPr>
            <w:tcW w:w="615" w:type="dxa"/>
            <w:tcBorders>
              <w:top w:val="nil"/>
              <w:left w:val="nil"/>
              <w:bottom w:val="nil"/>
              <w:right w:val="nil"/>
            </w:tcBorders>
            <w:vAlign w:val="center"/>
          </w:tcPr>
          <w:p w14:paraId="38052075" w14:textId="46B876E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60B65AC" w14:textId="37E7336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1B8B5F9F" w14:textId="2E35519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900" w:type="dxa"/>
            <w:tcBorders>
              <w:top w:val="nil"/>
              <w:left w:val="nil"/>
              <w:bottom w:val="nil"/>
              <w:right w:val="nil"/>
            </w:tcBorders>
            <w:vAlign w:val="center"/>
          </w:tcPr>
          <w:p w14:paraId="30DA3CB1" w14:textId="718D582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735" w:type="dxa"/>
            <w:tcBorders>
              <w:top w:val="nil"/>
              <w:left w:val="nil"/>
              <w:bottom w:val="nil"/>
              <w:right w:val="nil"/>
            </w:tcBorders>
            <w:vAlign w:val="center"/>
          </w:tcPr>
          <w:p w14:paraId="174C1FD9" w14:textId="4D98D1C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3,17</w:t>
            </w:r>
          </w:p>
        </w:tc>
        <w:tc>
          <w:tcPr>
            <w:tcW w:w="825" w:type="dxa"/>
            <w:tcBorders>
              <w:top w:val="nil"/>
              <w:left w:val="nil"/>
              <w:bottom w:val="nil"/>
              <w:right w:val="nil"/>
            </w:tcBorders>
            <w:vAlign w:val="center"/>
          </w:tcPr>
          <w:p w14:paraId="4DEDE3E7" w14:textId="5B093AA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1,34</w:t>
            </w:r>
          </w:p>
        </w:tc>
      </w:tr>
      <w:tr w:rsidR="38BE7CBE" w:rsidRPr="00D73494" w14:paraId="6395562F" w14:textId="77777777" w:rsidTr="38BE7CBE">
        <w:trPr>
          <w:trHeight w:val="300"/>
        </w:trPr>
        <w:tc>
          <w:tcPr>
            <w:tcW w:w="1920" w:type="dxa"/>
            <w:tcBorders>
              <w:top w:val="nil"/>
              <w:left w:val="nil"/>
              <w:bottom w:val="nil"/>
              <w:right w:val="nil"/>
            </w:tcBorders>
            <w:vAlign w:val="bottom"/>
          </w:tcPr>
          <w:p w14:paraId="0E13ED17" w14:textId="041AF4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world oil consumption</w:t>
            </w:r>
          </w:p>
        </w:tc>
        <w:tc>
          <w:tcPr>
            <w:tcW w:w="615" w:type="dxa"/>
            <w:tcBorders>
              <w:top w:val="nil"/>
              <w:left w:val="nil"/>
              <w:bottom w:val="nil"/>
              <w:right w:val="nil"/>
            </w:tcBorders>
            <w:vAlign w:val="center"/>
          </w:tcPr>
          <w:p w14:paraId="10878987" w14:textId="1561FFF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65E141D" w14:textId="3DE78FD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w:t>
            </w:r>
          </w:p>
        </w:tc>
        <w:tc>
          <w:tcPr>
            <w:tcW w:w="645" w:type="dxa"/>
            <w:tcBorders>
              <w:top w:val="nil"/>
              <w:left w:val="nil"/>
              <w:bottom w:val="nil"/>
              <w:right w:val="nil"/>
            </w:tcBorders>
            <w:vAlign w:val="center"/>
          </w:tcPr>
          <w:p w14:paraId="348F58B3" w14:textId="12C51A9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900" w:type="dxa"/>
            <w:tcBorders>
              <w:top w:val="nil"/>
              <w:left w:val="nil"/>
              <w:bottom w:val="nil"/>
              <w:right w:val="nil"/>
            </w:tcBorders>
            <w:vAlign w:val="center"/>
          </w:tcPr>
          <w:p w14:paraId="664A7B0A" w14:textId="1139A7F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258B4C4B" w14:textId="260D595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825" w:type="dxa"/>
            <w:tcBorders>
              <w:top w:val="nil"/>
              <w:left w:val="nil"/>
              <w:bottom w:val="nil"/>
              <w:right w:val="nil"/>
            </w:tcBorders>
            <w:vAlign w:val="center"/>
          </w:tcPr>
          <w:p w14:paraId="2D0F8007" w14:textId="1655BC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0,10</w:t>
            </w:r>
          </w:p>
        </w:tc>
      </w:tr>
      <w:tr w:rsidR="38BE7CBE" w:rsidRPr="00D73494" w14:paraId="02BDC887" w14:textId="77777777" w:rsidTr="38BE7CBE">
        <w:trPr>
          <w:trHeight w:val="300"/>
        </w:trPr>
        <w:tc>
          <w:tcPr>
            <w:tcW w:w="1920" w:type="dxa"/>
            <w:tcBorders>
              <w:top w:val="nil"/>
              <w:left w:val="nil"/>
              <w:bottom w:val="nil"/>
              <w:right w:val="nil"/>
            </w:tcBorders>
            <w:vAlign w:val="bottom"/>
          </w:tcPr>
          <w:p w14:paraId="0A4D2814" w14:textId="005FCBD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production</w:t>
            </w:r>
          </w:p>
        </w:tc>
        <w:tc>
          <w:tcPr>
            <w:tcW w:w="615" w:type="dxa"/>
            <w:tcBorders>
              <w:top w:val="nil"/>
              <w:left w:val="nil"/>
              <w:bottom w:val="nil"/>
              <w:right w:val="nil"/>
            </w:tcBorders>
            <w:vAlign w:val="center"/>
          </w:tcPr>
          <w:p w14:paraId="0605A65B" w14:textId="418C3E0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1E8EFCB5" w14:textId="682D9A9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nil"/>
              <w:left w:val="nil"/>
              <w:bottom w:val="nil"/>
              <w:right w:val="nil"/>
            </w:tcBorders>
            <w:vAlign w:val="center"/>
          </w:tcPr>
          <w:p w14:paraId="63971A53" w14:textId="691674A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w:t>
            </w:r>
          </w:p>
        </w:tc>
        <w:tc>
          <w:tcPr>
            <w:tcW w:w="900" w:type="dxa"/>
            <w:tcBorders>
              <w:top w:val="nil"/>
              <w:left w:val="nil"/>
              <w:bottom w:val="nil"/>
              <w:right w:val="nil"/>
            </w:tcBorders>
            <w:vAlign w:val="center"/>
          </w:tcPr>
          <w:p w14:paraId="2A3B47EA" w14:textId="3EFC1DB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w:t>
            </w:r>
          </w:p>
        </w:tc>
        <w:tc>
          <w:tcPr>
            <w:tcW w:w="735" w:type="dxa"/>
            <w:tcBorders>
              <w:top w:val="nil"/>
              <w:left w:val="nil"/>
              <w:bottom w:val="nil"/>
              <w:right w:val="nil"/>
            </w:tcBorders>
            <w:vAlign w:val="center"/>
          </w:tcPr>
          <w:p w14:paraId="43D80AE6" w14:textId="15D3793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5,93</w:t>
            </w:r>
          </w:p>
        </w:tc>
        <w:tc>
          <w:tcPr>
            <w:tcW w:w="825" w:type="dxa"/>
            <w:tcBorders>
              <w:top w:val="nil"/>
              <w:left w:val="nil"/>
              <w:bottom w:val="nil"/>
              <w:right w:val="nil"/>
            </w:tcBorders>
            <w:vAlign w:val="center"/>
          </w:tcPr>
          <w:p w14:paraId="007347D6" w14:textId="1B6E78F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2,68</w:t>
            </w:r>
          </w:p>
        </w:tc>
      </w:tr>
      <w:tr w:rsidR="38BE7CBE" w:rsidRPr="00D73494" w14:paraId="4032D042" w14:textId="77777777" w:rsidTr="38BE7CBE">
        <w:trPr>
          <w:trHeight w:val="300"/>
        </w:trPr>
        <w:tc>
          <w:tcPr>
            <w:tcW w:w="1920" w:type="dxa"/>
            <w:tcBorders>
              <w:top w:val="nil"/>
              <w:left w:val="nil"/>
              <w:bottom w:val="nil"/>
              <w:right w:val="nil"/>
            </w:tcBorders>
            <w:vAlign w:val="bottom"/>
          </w:tcPr>
          <w:p w14:paraId="615550D8" w14:textId="040D02F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us oil</w:t>
            </w:r>
          </w:p>
        </w:tc>
        <w:tc>
          <w:tcPr>
            <w:tcW w:w="615" w:type="dxa"/>
            <w:tcBorders>
              <w:top w:val="nil"/>
              <w:left w:val="nil"/>
              <w:bottom w:val="nil"/>
              <w:right w:val="nil"/>
            </w:tcBorders>
            <w:vAlign w:val="center"/>
          </w:tcPr>
          <w:p w14:paraId="3F6FCE31" w14:textId="00508FB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F26F7C2" w14:textId="2CE268B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7</w:t>
            </w:r>
          </w:p>
        </w:tc>
        <w:tc>
          <w:tcPr>
            <w:tcW w:w="645" w:type="dxa"/>
            <w:tcBorders>
              <w:top w:val="nil"/>
              <w:left w:val="nil"/>
              <w:bottom w:val="nil"/>
              <w:right w:val="nil"/>
            </w:tcBorders>
            <w:vAlign w:val="center"/>
          </w:tcPr>
          <w:p w14:paraId="36A78DB1" w14:textId="159A7C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50A590FA" w14:textId="49A5BAB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nil"/>
              <w:left w:val="nil"/>
              <w:bottom w:val="nil"/>
              <w:right w:val="nil"/>
            </w:tcBorders>
            <w:vAlign w:val="center"/>
          </w:tcPr>
          <w:p w14:paraId="40BA3222" w14:textId="65B518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11,88</w:t>
            </w:r>
          </w:p>
        </w:tc>
        <w:tc>
          <w:tcPr>
            <w:tcW w:w="825" w:type="dxa"/>
            <w:tcBorders>
              <w:top w:val="nil"/>
              <w:left w:val="nil"/>
              <w:bottom w:val="nil"/>
              <w:right w:val="nil"/>
            </w:tcBorders>
            <w:vAlign w:val="center"/>
          </w:tcPr>
          <w:p w14:paraId="20722353" w14:textId="6F9BE40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7,56</w:t>
            </w:r>
          </w:p>
        </w:tc>
      </w:tr>
      <w:tr w:rsidR="38BE7CBE" w:rsidRPr="00D73494" w14:paraId="42A62900" w14:textId="77777777" w:rsidTr="38BE7CBE">
        <w:trPr>
          <w:trHeight w:val="300"/>
        </w:trPr>
        <w:tc>
          <w:tcPr>
            <w:tcW w:w="1920" w:type="dxa"/>
            <w:tcBorders>
              <w:top w:val="nil"/>
              <w:left w:val="nil"/>
              <w:bottom w:val="nil"/>
              <w:right w:val="nil"/>
            </w:tcBorders>
            <w:vAlign w:val="bottom"/>
          </w:tcPr>
          <w:p w14:paraId="61EEF71D" w14:textId="7E302D1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w:t>
            </w:r>
          </w:p>
        </w:tc>
        <w:tc>
          <w:tcPr>
            <w:tcW w:w="615" w:type="dxa"/>
            <w:tcBorders>
              <w:top w:val="nil"/>
              <w:left w:val="nil"/>
              <w:bottom w:val="nil"/>
              <w:right w:val="nil"/>
            </w:tcBorders>
            <w:vAlign w:val="center"/>
          </w:tcPr>
          <w:p w14:paraId="7EF65FFD" w14:textId="694648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6C7E074" w14:textId="3C9AE0B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30</w:t>
            </w:r>
          </w:p>
        </w:tc>
        <w:tc>
          <w:tcPr>
            <w:tcW w:w="645" w:type="dxa"/>
            <w:tcBorders>
              <w:top w:val="nil"/>
              <w:left w:val="nil"/>
              <w:bottom w:val="nil"/>
              <w:right w:val="nil"/>
            </w:tcBorders>
            <w:vAlign w:val="center"/>
          </w:tcPr>
          <w:p w14:paraId="4140BEC5" w14:textId="0CAD90B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057F880A" w14:textId="2B4CE44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52</w:t>
            </w:r>
          </w:p>
        </w:tc>
        <w:tc>
          <w:tcPr>
            <w:tcW w:w="735" w:type="dxa"/>
            <w:tcBorders>
              <w:top w:val="nil"/>
              <w:left w:val="nil"/>
              <w:bottom w:val="nil"/>
              <w:right w:val="nil"/>
            </w:tcBorders>
            <w:vAlign w:val="center"/>
          </w:tcPr>
          <w:p w14:paraId="28B134E1" w14:textId="1ACBB3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57,13</w:t>
            </w:r>
          </w:p>
        </w:tc>
        <w:tc>
          <w:tcPr>
            <w:tcW w:w="825" w:type="dxa"/>
            <w:tcBorders>
              <w:top w:val="nil"/>
              <w:left w:val="nil"/>
              <w:bottom w:val="nil"/>
              <w:right w:val="nil"/>
            </w:tcBorders>
            <w:vAlign w:val="center"/>
          </w:tcPr>
          <w:p w14:paraId="6CEF4F83" w14:textId="39B8D28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17,67</w:t>
            </w:r>
          </w:p>
        </w:tc>
      </w:tr>
      <w:tr w:rsidR="38BE7CBE" w:rsidRPr="00D73494" w14:paraId="7E9B35F8" w14:textId="77777777" w:rsidTr="38BE7CBE">
        <w:trPr>
          <w:trHeight w:val="300"/>
        </w:trPr>
        <w:tc>
          <w:tcPr>
            <w:tcW w:w="1920" w:type="dxa"/>
            <w:tcBorders>
              <w:top w:val="nil"/>
              <w:left w:val="nil"/>
              <w:bottom w:val="nil"/>
              <w:right w:val="nil"/>
            </w:tcBorders>
            <w:vAlign w:val="bottom"/>
          </w:tcPr>
          <w:p w14:paraId="007D888D" w14:textId="5DA214A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energy consumption</w:t>
            </w:r>
          </w:p>
        </w:tc>
        <w:tc>
          <w:tcPr>
            <w:tcW w:w="615" w:type="dxa"/>
            <w:tcBorders>
              <w:top w:val="nil"/>
              <w:left w:val="nil"/>
              <w:bottom w:val="nil"/>
              <w:right w:val="nil"/>
            </w:tcBorders>
            <w:vAlign w:val="center"/>
          </w:tcPr>
          <w:p w14:paraId="3EC7B767" w14:textId="697EE3F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1BDF0DDF" w14:textId="0A5A05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1CF89C87" w14:textId="7F42E25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w:t>
            </w:r>
          </w:p>
        </w:tc>
        <w:tc>
          <w:tcPr>
            <w:tcW w:w="900" w:type="dxa"/>
            <w:tcBorders>
              <w:top w:val="nil"/>
              <w:left w:val="nil"/>
              <w:bottom w:val="nil"/>
              <w:right w:val="nil"/>
            </w:tcBorders>
            <w:vAlign w:val="center"/>
          </w:tcPr>
          <w:p w14:paraId="5FB39F86" w14:textId="31E5FF7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735" w:type="dxa"/>
            <w:tcBorders>
              <w:top w:val="nil"/>
              <w:left w:val="nil"/>
              <w:bottom w:val="nil"/>
              <w:right w:val="nil"/>
            </w:tcBorders>
            <w:vAlign w:val="center"/>
          </w:tcPr>
          <w:p w14:paraId="727F45F6" w14:textId="559232C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3,53</w:t>
            </w:r>
          </w:p>
        </w:tc>
        <w:tc>
          <w:tcPr>
            <w:tcW w:w="825" w:type="dxa"/>
            <w:tcBorders>
              <w:top w:val="nil"/>
              <w:left w:val="nil"/>
              <w:bottom w:val="nil"/>
              <w:right w:val="nil"/>
            </w:tcBorders>
            <w:vAlign w:val="center"/>
          </w:tcPr>
          <w:p w14:paraId="1508CEEA" w14:textId="7FDE7FF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1,12</w:t>
            </w:r>
          </w:p>
        </w:tc>
      </w:tr>
      <w:tr w:rsidR="38BE7CBE" w:rsidRPr="00D73494" w14:paraId="0BE3C770" w14:textId="77777777" w:rsidTr="38BE7CBE">
        <w:trPr>
          <w:trHeight w:val="300"/>
        </w:trPr>
        <w:tc>
          <w:tcPr>
            <w:tcW w:w="1920" w:type="dxa"/>
            <w:tcBorders>
              <w:top w:val="nil"/>
              <w:left w:val="nil"/>
              <w:bottom w:val="nil"/>
              <w:right w:val="nil"/>
            </w:tcBorders>
            <w:vAlign w:val="bottom"/>
          </w:tcPr>
          <w:p w14:paraId="64279B34" w14:textId="20313CE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cost oil</w:t>
            </w:r>
          </w:p>
        </w:tc>
        <w:tc>
          <w:tcPr>
            <w:tcW w:w="615" w:type="dxa"/>
            <w:tcBorders>
              <w:top w:val="nil"/>
              <w:left w:val="nil"/>
              <w:bottom w:val="nil"/>
              <w:right w:val="nil"/>
            </w:tcBorders>
            <w:vAlign w:val="center"/>
          </w:tcPr>
          <w:p w14:paraId="0FAB9E8F" w14:textId="35F3737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39C6CB9F" w14:textId="5A8B151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645" w:type="dxa"/>
            <w:tcBorders>
              <w:top w:val="nil"/>
              <w:left w:val="nil"/>
              <w:bottom w:val="nil"/>
              <w:right w:val="nil"/>
            </w:tcBorders>
            <w:vAlign w:val="center"/>
          </w:tcPr>
          <w:p w14:paraId="542CE25A" w14:textId="1D6CE82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4EC92BBF" w14:textId="08575D2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35</w:t>
            </w:r>
          </w:p>
        </w:tc>
        <w:tc>
          <w:tcPr>
            <w:tcW w:w="735" w:type="dxa"/>
            <w:tcBorders>
              <w:top w:val="nil"/>
              <w:left w:val="nil"/>
              <w:bottom w:val="nil"/>
              <w:right w:val="nil"/>
            </w:tcBorders>
            <w:vAlign w:val="center"/>
          </w:tcPr>
          <w:p w14:paraId="330725E6" w14:textId="519200A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36,22</w:t>
            </w:r>
          </w:p>
        </w:tc>
        <w:tc>
          <w:tcPr>
            <w:tcW w:w="825" w:type="dxa"/>
            <w:tcBorders>
              <w:top w:val="nil"/>
              <w:left w:val="nil"/>
              <w:bottom w:val="nil"/>
              <w:right w:val="nil"/>
            </w:tcBorders>
            <w:vAlign w:val="center"/>
          </w:tcPr>
          <w:p w14:paraId="00629C6E" w14:textId="60E36EE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14,85</w:t>
            </w:r>
          </w:p>
        </w:tc>
      </w:tr>
      <w:tr w:rsidR="38BE7CBE" w:rsidRPr="00D73494" w14:paraId="0BFF72FD" w14:textId="77777777" w:rsidTr="38BE7CBE">
        <w:trPr>
          <w:trHeight w:val="300"/>
        </w:trPr>
        <w:tc>
          <w:tcPr>
            <w:tcW w:w="1920" w:type="dxa"/>
            <w:tcBorders>
              <w:top w:val="nil"/>
              <w:left w:val="nil"/>
              <w:bottom w:val="nil"/>
              <w:right w:val="nil"/>
            </w:tcBorders>
            <w:vAlign w:val="bottom"/>
          </w:tcPr>
          <w:p w14:paraId="52688E70" w14:textId="740564C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cost of oil</w:t>
            </w:r>
          </w:p>
        </w:tc>
        <w:tc>
          <w:tcPr>
            <w:tcW w:w="615" w:type="dxa"/>
            <w:tcBorders>
              <w:top w:val="nil"/>
              <w:left w:val="nil"/>
              <w:bottom w:val="nil"/>
              <w:right w:val="nil"/>
            </w:tcBorders>
            <w:vAlign w:val="center"/>
          </w:tcPr>
          <w:p w14:paraId="03D5EC5D" w14:textId="3A89E27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5B0F8EC" w14:textId="3EB27B7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645" w:type="dxa"/>
            <w:tcBorders>
              <w:top w:val="nil"/>
              <w:left w:val="nil"/>
              <w:bottom w:val="nil"/>
              <w:right w:val="nil"/>
            </w:tcBorders>
            <w:vAlign w:val="center"/>
          </w:tcPr>
          <w:p w14:paraId="6AE65BA2" w14:textId="2F72846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36</w:t>
            </w:r>
          </w:p>
        </w:tc>
        <w:tc>
          <w:tcPr>
            <w:tcW w:w="900" w:type="dxa"/>
            <w:tcBorders>
              <w:top w:val="nil"/>
              <w:left w:val="nil"/>
              <w:bottom w:val="nil"/>
              <w:right w:val="nil"/>
            </w:tcBorders>
            <w:vAlign w:val="center"/>
          </w:tcPr>
          <w:p w14:paraId="1B404D5B" w14:textId="2E923C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w:t>
            </w:r>
          </w:p>
        </w:tc>
        <w:tc>
          <w:tcPr>
            <w:tcW w:w="735" w:type="dxa"/>
            <w:tcBorders>
              <w:top w:val="nil"/>
              <w:left w:val="nil"/>
              <w:bottom w:val="nil"/>
              <w:right w:val="nil"/>
            </w:tcBorders>
            <w:vAlign w:val="center"/>
          </w:tcPr>
          <w:p w14:paraId="33BCBE2C" w14:textId="7244186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12,50</w:t>
            </w:r>
          </w:p>
        </w:tc>
        <w:tc>
          <w:tcPr>
            <w:tcW w:w="825" w:type="dxa"/>
            <w:tcBorders>
              <w:top w:val="nil"/>
              <w:left w:val="nil"/>
              <w:bottom w:val="nil"/>
              <w:right w:val="nil"/>
            </w:tcBorders>
            <w:vAlign w:val="center"/>
          </w:tcPr>
          <w:p w14:paraId="254A201D" w14:textId="255D353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3,97</w:t>
            </w:r>
          </w:p>
        </w:tc>
      </w:tr>
      <w:tr w:rsidR="38BE7CBE" w:rsidRPr="00D73494" w14:paraId="03490307" w14:textId="77777777" w:rsidTr="38BE7CBE">
        <w:trPr>
          <w:trHeight w:val="300"/>
        </w:trPr>
        <w:tc>
          <w:tcPr>
            <w:tcW w:w="1920" w:type="dxa"/>
            <w:tcBorders>
              <w:top w:val="nil"/>
              <w:left w:val="nil"/>
              <w:bottom w:val="nil"/>
              <w:right w:val="nil"/>
            </w:tcBorders>
            <w:vAlign w:val="bottom"/>
          </w:tcPr>
          <w:p w14:paraId="58BB19CA" w14:textId="19F9B37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fossil fuels</w:t>
            </w:r>
          </w:p>
        </w:tc>
        <w:tc>
          <w:tcPr>
            <w:tcW w:w="615" w:type="dxa"/>
            <w:tcBorders>
              <w:top w:val="nil"/>
              <w:left w:val="nil"/>
              <w:bottom w:val="nil"/>
              <w:right w:val="nil"/>
            </w:tcBorders>
            <w:vAlign w:val="center"/>
          </w:tcPr>
          <w:p w14:paraId="46FF00B2" w14:textId="5DBDC54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3E3A27F5" w14:textId="4B94643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71154A07" w14:textId="0580DA6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37</w:t>
            </w:r>
          </w:p>
        </w:tc>
        <w:tc>
          <w:tcPr>
            <w:tcW w:w="900" w:type="dxa"/>
            <w:tcBorders>
              <w:top w:val="nil"/>
              <w:left w:val="nil"/>
              <w:bottom w:val="nil"/>
              <w:right w:val="nil"/>
            </w:tcBorders>
            <w:vAlign w:val="center"/>
          </w:tcPr>
          <w:p w14:paraId="546B8E3D" w14:textId="7226F0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w:t>
            </w:r>
          </w:p>
        </w:tc>
        <w:tc>
          <w:tcPr>
            <w:tcW w:w="735" w:type="dxa"/>
            <w:tcBorders>
              <w:top w:val="nil"/>
              <w:left w:val="nil"/>
              <w:bottom w:val="nil"/>
              <w:right w:val="nil"/>
            </w:tcBorders>
            <w:vAlign w:val="center"/>
          </w:tcPr>
          <w:p w14:paraId="008A2457" w14:textId="6E93F60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12,70</w:t>
            </w:r>
          </w:p>
        </w:tc>
        <w:tc>
          <w:tcPr>
            <w:tcW w:w="825" w:type="dxa"/>
            <w:tcBorders>
              <w:top w:val="nil"/>
              <w:left w:val="nil"/>
              <w:bottom w:val="nil"/>
              <w:right w:val="nil"/>
            </w:tcBorders>
            <w:vAlign w:val="center"/>
          </w:tcPr>
          <w:p w14:paraId="308F1E63" w14:textId="6F9D663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6,08</w:t>
            </w:r>
          </w:p>
        </w:tc>
      </w:tr>
      <w:tr w:rsidR="38BE7CBE" w:rsidRPr="00D73494" w14:paraId="472D119F" w14:textId="77777777" w:rsidTr="38BE7CBE">
        <w:trPr>
          <w:trHeight w:val="300"/>
        </w:trPr>
        <w:tc>
          <w:tcPr>
            <w:tcW w:w="1920" w:type="dxa"/>
            <w:tcBorders>
              <w:top w:val="nil"/>
              <w:left w:val="nil"/>
              <w:bottom w:val="nil"/>
              <w:right w:val="nil"/>
            </w:tcBorders>
            <w:vAlign w:val="bottom"/>
          </w:tcPr>
          <w:p w14:paraId="1E1C3A06" w14:textId="7BDB2B0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biodiesel</w:t>
            </w:r>
          </w:p>
        </w:tc>
        <w:tc>
          <w:tcPr>
            <w:tcW w:w="615" w:type="dxa"/>
            <w:tcBorders>
              <w:top w:val="nil"/>
              <w:left w:val="nil"/>
              <w:bottom w:val="nil"/>
              <w:right w:val="nil"/>
            </w:tcBorders>
            <w:vAlign w:val="center"/>
          </w:tcPr>
          <w:p w14:paraId="2B94D3BD" w14:textId="3F02D00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0ADFD461" w14:textId="71DF0DE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3</w:t>
            </w:r>
          </w:p>
        </w:tc>
        <w:tc>
          <w:tcPr>
            <w:tcW w:w="645" w:type="dxa"/>
            <w:tcBorders>
              <w:top w:val="nil"/>
              <w:left w:val="nil"/>
              <w:bottom w:val="nil"/>
              <w:right w:val="nil"/>
            </w:tcBorders>
            <w:vAlign w:val="center"/>
          </w:tcPr>
          <w:p w14:paraId="3C34DAAF" w14:textId="2D43108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100</w:t>
            </w:r>
          </w:p>
        </w:tc>
        <w:tc>
          <w:tcPr>
            <w:tcW w:w="900" w:type="dxa"/>
            <w:tcBorders>
              <w:top w:val="nil"/>
              <w:left w:val="nil"/>
              <w:bottom w:val="nil"/>
              <w:right w:val="nil"/>
            </w:tcBorders>
            <w:vAlign w:val="center"/>
          </w:tcPr>
          <w:p w14:paraId="3EF3D923" w14:textId="3DA74A1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735" w:type="dxa"/>
            <w:tcBorders>
              <w:top w:val="nil"/>
              <w:left w:val="nil"/>
              <w:bottom w:val="nil"/>
              <w:right w:val="nil"/>
            </w:tcBorders>
            <w:vAlign w:val="center"/>
          </w:tcPr>
          <w:p w14:paraId="3E295F5E" w14:textId="0B05B5B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20,76</w:t>
            </w:r>
          </w:p>
        </w:tc>
        <w:tc>
          <w:tcPr>
            <w:tcW w:w="825" w:type="dxa"/>
            <w:tcBorders>
              <w:top w:val="nil"/>
              <w:left w:val="nil"/>
              <w:bottom w:val="nil"/>
              <w:right w:val="nil"/>
            </w:tcBorders>
            <w:vAlign w:val="center"/>
          </w:tcPr>
          <w:p w14:paraId="013C2579" w14:textId="420008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22,56</w:t>
            </w:r>
          </w:p>
        </w:tc>
      </w:tr>
      <w:tr w:rsidR="38BE7CBE" w:rsidRPr="00D73494" w14:paraId="1A84EEBE" w14:textId="77777777" w:rsidTr="38BE7CBE">
        <w:trPr>
          <w:trHeight w:val="300"/>
        </w:trPr>
        <w:tc>
          <w:tcPr>
            <w:tcW w:w="1920" w:type="dxa"/>
            <w:tcBorders>
              <w:top w:val="nil"/>
              <w:left w:val="nil"/>
              <w:bottom w:val="nil"/>
              <w:right w:val="nil"/>
            </w:tcBorders>
            <w:vAlign w:val="bottom"/>
          </w:tcPr>
          <w:p w14:paraId="47900D29" w14:textId="1BEA675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oil shock</w:t>
            </w:r>
          </w:p>
        </w:tc>
        <w:tc>
          <w:tcPr>
            <w:tcW w:w="615" w:type="dxa"/>
            <w:tcBorders>
              <w:top w:val="nil"/>
              <w:left w:val="nil"/>
              <w:bottom w:val="nil"/>
              <w:right w:val="nil"/>
            </w:tcBorders>
            <w:vAlign w:val="center"/>
          </w:tcPr>
          <w:p w14:paraId="7E0C48CB" w14:textId="2434B95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6AF29156" w14:textId="6B9C3A9F"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0555305" w14:textId="567AB28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900" w:type="dxa"/>
            <w:tcBorders>
              <w:top w:val="nil"/>
              <w:left w:val="nil"/>
              <w:bottom w:val="nil"/>
              <w:right w:val="nil"/>
            </w:tcBorders>
            <w:vAlign w:val="center"/>
          </w:tcPr>
          <w:p w14:paraId="46734B0D" w14:textId="39F7863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60F8BE4B" w14:textId="6EA7CDE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1,11</w:t>
            </w:r>
          </w:p>
        </w:tc>
        <w:tc>
          <w:tcPr>
            <w:tcW w:w="825" w:type="dxa"/>
            <w:tcBorders>
              <w:top w:val="nil"/>
              <w:left w:val="nil"/>
              <w:bottom w:val="nil"/>
              <w:right w:val="nil"/>
            </w:tcBorders>
            <w:vAlign w:val="center"/>
          </w:tcPr>
          <w:p w14:paraId="0CAE59E4" w14:textId="659E905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0,32</w:t>
            </w:r>
          </w:p>
        </w:tc>
      </w:tr>
      <w:tr w:rsidR="38BE7CBE" w:rsidRPr="00D73494" w14:paraId="4586CA30" w14:textId="77777777" w:rsidTr="38BE7CBE">
        <w:trPr>
          <w:trHeight w:val="300"/>
        </w:trPr>
        <w:tc>
          <w:tcPr>
            <w:tcW w:w="1920" w:type="dxa"/>
            <w:tcBorders>
              <w:top w:val="nil"/>
              <w:left w:val="nil"/>
              <w:bottom w:val="nil"/>
              <w:right w:val="nil"/>
            </w:tcBorders>
            <w:vAlign w:val="bottom"/>
          </w:tcPr>
          <w:p w14:paraId="7FFAA5FA" w14:textId="6000CDE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OPEC</w:t>
            </w:r>
          </w:p>
        </w:tc>
        <w:tc>
          <w:tcPr>
            <w:tcW w:w="615" w:type="dxa"/>
            <w:tcBorders>
              <w:top w:val="nil"/>
              <w:left w:val="nil"/>
              <w:bottom w:val="nil"/>
              <w:right w:val="nil"/>
            </w:tcBorders>
            <w:vAlign w:val="center"/>
          </w:tcPr>
          <w:p w14:paraId="155EC6E4" w14:textId="1B25B47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532FA395" w14:textId="4A14EC60"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0C85C91C" w14:textId="7CF0115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51</w:t>
            </w:r>
          </w:p>
        </w:tc>
        <w:tc>
          <w:tcPr>
            <w:tcW w:w="900" w:type="dxa"/>
            <w:tcBorders>
              <w:top w:val="nil"/>
              <w:left w:val="nil"/>
              <w:bottom w:val="nil"/>
              <w:right w:val="nil"/>
            </w:tcBorders>
            <w:vAlign w:val="center"/>
          </w:tcPr>
          <w:p w14:paraId="351390E1" w14:textId="37D6D74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735" w:type="dxa"/>
            <w:tcBorders>
              <w:top w:val="nil"/>
              <w:left w:val="nil"/>
              <w:bottom w:val="nil"/>
              <w:right w:val="nil"/>
            </w:tcBorders>
            <w:vAlign w:val="center"/>
          </w:tcPr>
          <w:p w14:paraId="6B0E752A" w14:textId="2669717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12,28</w:t>
            </w:r>
          </w:p>
        </w:tc>
        <w:tc>
          <w:tcPr>
            <w:tcW w:w="825" w:type="dxa"/>
            <w:tcBorders>
              <w:top w:val="nil"/>
              <w:left w:val="nil"/>
              <w:bottom w:val="nil"/>
              <w:right w:val="nil"/>
            </w:tcBorders>
            <w:vAlign w:val="center"/>
          </w:tcPr>
          <w:p w14:paraId="4746AB2C" w14:textId="1E7F03C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8,09</w:t>
            </w:r>
          </w:p>
        </w:tc>
      </w:tr>
      <w:tr w:rsidR="38BE7CBE" w:rsidRPr="00D73494" w14:paraId="2E3B10E3" w14:textId="77777777" w:rsidTr="38BE7CBE">
        <w:trPr>
          <w:trHeight w:val="300"/>
        </w:trPr>
        <w:tc>
          <w:tcPr>
            <w:tcW w:w="1920" w:type="dxa"/>
            <w:tcBorders>
              <w:top w:val="nil"/>
              <w:left w:val="nil"/>
              <w:bottom w:val="nil"/>
              <w:right w:val="nil"/>
            </w:tcBorders>
            <w:vAlign w:val="bottom"/>
          </w:tcPr>
          <w:p w14:paraId="21ABECBE" w14:textId="69D664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production gas</w:t>
            </w:r>
          </w:p>
        </w:tc>
        <w:tc>
          <w:tcPr>
            <w:tcW w:w="615" w:type="dxa"/>
            <w:tcBorders>
              <w:top w:val="nil"/>
              <w:left w:val="nil"/>
              <w:bottom w:val="nil"/>
              <w:right w:val="nil"/>
            </w:tcBorders>
            <w:vAlign w:val="center"/>
          </w:tcPr>
          <w:p w14:paraId="56D94A09" w14:textId="4C762E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040A737F" w14:textId="6860E2A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645" w:type="dxa"/>
            <w:tcBorders>
              <w:top w:val="nil"/>
              <w:left w:val="nil"/>
              <w:bottom w:val="nil"/>
              <w:right w:val="nil"/>
            </w:tcBorders>
            <w:vAlign w:val="center"/>
          </w:tcPr>
          <w:p w14:paraId="2D57E2C1" w14:textId="151BBF9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14</w:t>
            </w:r>
          </w:p>
        </w:tc>
        <w:tc>
          <w:tcPr>
            <w:tcW w:w="900" w:type="dxa"/>
            <w:tcBorders>
              <w:top w:val="nil"/>
              <w:left w:val="nil"/>
              <w:bottom w:val="nil"/>
              <w:right w:val="nil"/>
            </w:tcBorders>
            <w:vAlign w:val="center"/>
          </w:tcPr>
          <w:p w14:paraId="5947A8DE" w14:textId="611F155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w:t>
            </w:r>
          </w:p>
        </w:tc>
        <w:tc>
          <w:tcPr>
            <w:tcW w:w="735" w:type="dxa"/>
            <w:tcBorders>
              <w:top w:val="nil"/>
              <w:left w:val="nil"/>
              <w:bottom w:val="nil"/>
              <w:right w:val="nil"/>
            </w:tcBorders>
            <w:vAlign w:val="center"/>
          </w:tcPr>
          <w:p w14:paraId="7BFEE2C2" w14:textId="3964D9A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4,18</w:t>
            </w:r>
          </w:p>
        </w:tc>
        <w:tc>
          <w:tcPr>
            <w:tcW w:w="825" w:type="dxa"/>
            <w:tcBorders>
              <w:top w:val="nil"/>
              <w:left w:val="nil"/>
              <w:bottom w:val="nil"/>
              <w:right w:val="nil"/>
            </w:tcBorders>
            <w:vAlign w:val="center"/>
          </w:tcPr>
          <w:p w14:paraId="37B4339F" w14:textId="4F016E33"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1,32</w:t>
            </w:r>
          </w:p>
        </w:tc>
      </w:tr>
      <w:tr w:rsidR="38BE7CBE" w:rsidRPr="00D73494" w14:paraId="132C0CF1" w14:textId="77777777" w:rsidTr="38BE7CBE">
        <w:trPr>
          <w:trHeight w:val="300"/>
        </w:trPr>
        <w:tc>
          <w:tcPr>
            <w:tcW w:w="1920" w:type="dxa"/>
            <w:tcBorders>
              <w:top w:val="nil"/>
              <w:left w:val="nil"/>
              <w:bottom w:val="nil"/>
              <w:right w:val="nil"/>
            </w:tcBorders>
            <w:vAlign w:val="bottom"/>
          </w:tcPr>
          <w:p w14:paraId="20A1110C" w14:textId="57CF170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gulf mexico</w:t>
            </w:r>
          </w:p>
        </w:tc>
        <w:tc>
          <w:tcPr>
            <w:tcW w:w="615" w:type="dxa"/>
            <w:tcBorders>
              <w:top w:val="nil"/>
              <w:left w:val="nil"/>
              <w:bottom w:val="nil"/>
              <w:right w:val="nil"/>
            </w:tcBorders>
            <w:vAlign w:val="center"/>
          </w:tcPr>
          <w:p w14:paraId="00E4B80C" w14:textId="3C79786B"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7104098C" w14:textId="756F168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388644C" w14:textId="0282F1B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9</w:t>
            </w:r>
          </w:p>
        </w:tc>
        <w:tc>
          <w:tcPr>
            <w:tcW w:w="900" w:type="dxa"/>
            <w:tcBorders>
              <w:top w:val="nil"/>
              <w:left w:val="nil"/>
              <w:bottom w:val="nil"/>
              <w:right w:val="nil"/>
            </w:tcBorders>
            <w:vAlign w:val="center"/>
          </w:tcPr>
          <w:p w14:paraId="66F27710" w14:textId="4682BCD7"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nil"/>
              <w:right w:val="nil"/>
            </w:tcBorders>
            <w:vAlign w:val="center"/>
          </w:tcPr>
          <w:p w14:paraId="5421181E" w14:textId="55D23BD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1,08</w:t>
            </w:r>
          </w:p>
        </w:tc>
        <w:tc>
          <w:tcPr>
            <w:tcW w:w="825" w:type="dxa"/>
            <w:tcBorders>
              <w:top w:val="nil"/>
              <w:left w:val="nil"/>
              <w:bottom w:val="nil"/>
              <w:right w:val="nil"/>
            </w:tcBorders>
            <w:vAlign w:val="center"/>
          </w:tcPr>
          <w:p w14:paraId="28F087F0" w14:textId="47E806E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0,65</w:t>
            </w:r>
          </w:p>
        </w:tc>
      </w:tr>
      <w:tr w:rsidR="38BE7CBE" w:rsidRPr="00D73494" w14:paraId="3B80DC0D" w14:textId="77777777" w:rsidTr="38BE7CBE">
        <w:trPr>
          <w:trHeight w:val="300"/>
        </w:trPr>
        <w:tc>
          <w:tcPr>
            <w:tcW w:w="1920" w:type="dxa"/>
            <w:tcBorders>
              <w:top w:val="nil"/>
              <w:left w:val="nil"/>
              <w:bottom w:val="nil"/>
              <w:right w:val="nil"/>
            </w:tcBorders>
            <w:vAlign w:val="bottom"/>
          </w:tcPr>
          <w:p w14:paraId="5E2FC000" w14:textId="02D945C2"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Middle east</w:t>
            </w:r>
          </w:p>
        </w:tc>
        <w:tc>
          <w:tcPr>
            <w:tcW w:w="615" w:type="dxa"/>
            <w:tcBorders>
              <w:top w:val="nil"/>
              <w:left w:val="nil"/>
              <w:bottom w:val="nil"/>
              <w:right w:val="nil"/>
            </w:tcBorders>
            <w:vAlign w:val="center"/>
          </w:tcPr>
          <w:p w14:paraId="3977F0DE" w14:textId="146F93FC"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nil"/>
              <w:right w:val="nil"/>
            </w:tcBorders>
            <w:vAlign w:val="center"/>
          </w:tcPr>
          <w:p w14:paraId="2FB7BD0D" w14:textId="569436A5"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nil"/>
              <w:right w:val="nil"/>
            </w:tcBorders>
            <w:vAlign w:val="center"/>
          </w:tcPr>
          <w:p w14:paraId="0E9112B7" w14:textId="157AEB61"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6</w:t>
            </w:r>
          </w:p>
        </w:tc>
        <w:tc>
          <w:tcPr>
            <w:tcW w:w="900" w:type="dxa"/>
            <w:tcBorders>
              <w:top w:val="nil"/>
              <w:left w:val="nil"/>
              <w:bottom w:val="nil"/>
              <w:right w:val="nil"/>
            </w:tcBorders>
            <w:vAlign w:val="center"/>
          </w:tcPr>
          <w:p w14:paraId="7D812AFF" w14:textId="1954AB1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w:t>
            </w:r>
          </w:p>
        </w:tc>
        <w:tc>
          <w:tcPr>
            <w:tcW w:w="735" w:type="dxa"/>
            <w:tcBorders>
              <w:top w:val="nil"/>
              <w:left w:val="nil"/>
              <w:bottom w:val="nil"/>
              <w:right w:val="nil"/>
            </w:tcBorders>
            <w:vAlign w:val="center"/>
          </w:tcPr>
          <w:p w14:paraId="0014829A" w14:textId="3021657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2,11</w:t>
            </w:r>
          </w:p>
        </w:tc>
        <w:tc>
          <w:tcPr>
            <w:tcW w:w="825" w:type="dxa"/>
            <w:tcBorders>
              <w:top w:val="nil"/>
              <w:left w:val="nil"/>
              <w:bottom w:val="nil"/>
              <w:right w:val="nil"/>
            </w:tcBorders>
            <w:vAlign w:val="center"/>
          </w:tcPr>
          <w:p w14:paraId="51BAF7E4" w14:textId="7E36CC7E"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0,77</w:t>
            </w:r>
          </w:p>
        </w:tc>
      </w:tr>
      <w:tr w:rsidR="38BE7CBE" w:rsidRPr="00D73494" w14:paraId="185B8B62" w14:textId="77777777" w:rsidTr="38BE7CBE">
        <w:trPr>
          <w:trHeight w:val="300"/>
        </w:trPr>
        <w:tc>
          <w:tcPr>
            <w:tcW w:w="1920" w:type="dxa"/>
            <w:tcBorders>
              <w:top w:val="nil"/>
              <w:left w:val="nil"/>
              <w:bottom w:val="single" w:sz="4" w:space="0" w:color="auto"/>
              <w:right w:val="nil"/>
            </w:tcBorders>
            <w:vAlign w:val="bottom"/>
          </w:tcPr>
          <w:p w14:paraId="1A484974" w14:textId="166C4518"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gas price</w:t>
            </w:r>
          </w:p>
        </w:tc>
        <w:tc>
          <w:tcPr>
            <w:tcW w:w="615" w:type="dxa"/>
            <w:tcBorders>
              <w:top w:val="nil"/>
              <w:left w:val="nil"/>
              <w:bottom w:val="single" w:sz="4" w:space="0" w:color="auto"/>
              <w:right w:val="nil"/>
            </w:tcBorders>
            <w:vAlign w:val="center"/>
          </w:tcPr>
          <w:p w14:paraId="1402EF22" w14:textId="0B9F36E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221</w:t>
            </w:r>
          </w:p>
        </w:tc>
        <w:tc>
          <w:tcPr>
            <w:tcW w:w="585" w:type="dxa"/>
            <w:tcBorders>
              <w:top w:val="nil"/>
              <w:left w:val="nil"/>
              <w:bottom w:val="single" w:sz="4" w:space="0" w:color="auto"/>
              <w:right w:val="nil"/>
            </w:tcBorders>
            <w:vAlign w:val="center"/>
          </w:tcPr>
          <w:p w14:paraId="34413E3A" w14:textId="47CC8A19"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645" w:type="dxa"/>
            <w:tcBorders>
              <w:top w:val="nil"/>
              <w:left w:val="nil"/>
              <w:bottom w:val="single" w:sz="4" w:space="0" w:color="auto"/>
              <w:right w:val="nil"/>
            </w:tcBorders>
            <w:vAlign w:val="center"/>
          </w:tcPr>
          <w:p w14:paraId="6CCB2D3B" w14:textId="4C412FEA"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10</w:t>
            </w:r>
          </w:p>
        </w:tc>
        <w:tc>
          <w:tcPr>
            <w:tcW w:w="900" w:type="dxa"/>
            <w:tcBorders>
              <w:top w:val="nil"/>
              <w:left w:val="nil"/>
              <w:bottom w:val="single" w:sz="4" w:space="0" w:color="auto"/>
              <w:right w:val="nil"/>
            </w:tcBorders>
            <w:vAlign w:val="center"/>
          </w:tcPr>
          <w:p w14:paraId="23B59DFC" w14:textId="26AD2F66"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w:t>
            </w:r>
          </w:p>
        </w:tc>
        <w:tc>
          <w:tcPr>
            <w:tcW w:w="735" w:type="dxa"/>
            <w:tcBorders>
              <w:top w:val="nil"/>
              <w:left w:val="nil"/>
              <w:bottom w:val="single" w:sz="4" w:space="0" w:color="auto"/>
              <w:right w:val="nil"/>
            </w:tcBorders>
            <w:vAlign w:val="center"/>
          </w:tcPr>
          <w:p w14:paraId="5CF077E6" w14:textId="46771544"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1,31</w:t>
            </w:r>
          </w:p>
        </w:tc>
        <w:tc>
          <w:tcPr>
            <w:tcW w:w="825" w:type="dxa"/>
            <w:tcBorders>
              <w:top w:val="nil"/>
              <w:left w:val="nil"/>
              <w:bottom w:val="single" w:sz="4" w:space="0" w:color="auto"/>
              <w:right w:val="nil"/>
            </w:tcBorders>
            <w:vAlign w:val="center"/>
          </w:tcPr>
          <w:p w14:paraId="6639D678" w14:textId="1C3A466D" w:rsidR="38BE7CBE" w:rsidRPr="00D73494" w:rsidRDefault="38BE7CBE" w:rsidP="00813CCC">
            <w:pPr>
              <w:jc w:val="both"/>
              <w:rPr>
                <w:rFonts w:ascii="Times New Roman" w:hAnsi="Times New Roman" w:cs="Times New Roman"/>
              </w:rPr>
            </w:pPr>
            <w:r w:rsidRPr="00D73494">
              <w:rPr>
                <w:rFonts w:ascii="Times New Roman" w:eastAsia="Times New Roman" w:hAnsi="Times New Roman" w:cs="Times New Roman"/>
                <w:color w:val="000000" w:themeColor="text1"/>
                <w:sz w:val="18"/>
                <w:szCs w:val="18"/>
              </w:rPr>
              <w:t>0,89</w:t>
            </w:r>
          </w:p>
        </w:tc>
      </w:tr>
    </w:tbl>
    <w:p w14:paraId="78B5C295" w14:textId="5690C13E" w:rsidR="38BE7CBE" w:rsidRDefault="38BE7CBE" w:rsidP="00813CCC">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3374385B" w14:textId="77777777" w:rsidR="005206E5" w:rsidRPr="00D73494" w:rsidRDefault="005206E5" w:rsidP="00813CCC">
      <w:pPr>
        <w:jc w:val="both"/>
        <w:rPr>
          <w:rFonts w:ascii="Times New Roman" w:eastAsia="Times New Roman" w:hAnsi="Times New Roman" w:cs="Times New Roman"/>
        </w:rPr>
      </w:pPr>
    </w:p>
    <w:p w14:paraId="3ADB3164" w14:textId="3A5D0FA6" w:rsidR="5358DFEB" w:rsidRDefault="5358DFEB" w:rsidP="5358DFEB">
      <w:pPr>
        <w:jc w:val="both"/>
        <w:rPr>
          <w:rFonts w:ascii="Times New Roman" w:eastAsia="Times New Roman" w:hAnsi="Times New Roman" w:cs="Times New Roman"/>
        </w:rPr>
      </w:pPr>
    </w:p>
    <w:p w14:paraId="1A2A6463" w14:textId="77777777" w:rsidR="00DB68FB" w:rsidRDefault="00DB68FB" w:rsidP="5358DFEB">
      <w:pPr>
        <w:jc w:val="both"/>
        <w:rPr>
          <w:rFonts w:ascii="Times New Roman" w:eastAsia="Times New Roman" w:hAnsi="Times New Roman" w:cs="Times New Roman"/>
        </w:rPr>
      </w:pPr>
    </w:p>
    <w:p w14:paraId="7CA55453" w14:textId="77777777" w:rsidR="00DB68FB" w:rsidRDefault="00DB68FB" w:rsidP="5358DFEB">
      <w:pPr>
        <w:jc w:val="both"/>
        <w:rPr>
          <w:rFonts w:ascii="Times New Roman" w:eastAsia="Times New Roman" w:hAnsi="Times New Roman" w:cs="Times New Roman"/>
        </w:rPr>
      </w:pPr>
    </w:p>
    <w:p w14:paraId="367592D1" w14:textId="6BEFB75D" w:rsidR="005206E5" w:rsidRPr="005206E5" w:rsidRDefault="005206E5" w:rsidP="005206E5">
      <w:pPr>
        <w:rPr>
          <w:rFonts w:ascii="Times New Roman" w:eastAsia="Times New Roman" w:hAnsi="Times New Roman" w:cs="Times New Roman"/>
          <w:b/>
          <w:bCs/>
        </w:rPr>
      </w:pPr>
      <w:r w:rsidRPr="005206E5">
        <w:rPr>
          <w:rFonts w:ascii="Times New Roman" w:eastAsia="Times New Roman" w:hAnsi="Times New Roman" w:cs="Times New Roman"/>
          <w:b/>
          <w:bCs/>
        </w:rPr>
        <w:lastRenderedPageBreak/>
        <w:t>Gráfica 4. Autocorrelación simple y parcial de la serie de retornos logarítmicos ajustada por outliers</w:t>
      </w:r>
    </w:p>
    <w:p w14:paraId="1EC2E91C" w14:textId="77777777" w:rsidR="005206E5" w:rsidRPr="005206E5" w:rsidRDefault="005206E5" w:rsidP="5358DFEB">
      <w:pPr>
        <w:jc w:val="both"/>
        <w:rPr>
          <w:rFonts w:ascii="Times New Roman" w:eastAsia="Times New Roman" w:hAnsi="Times New Roman" w:cs="Times New Roman"/>
        </w:rPr>
      </w:pPr>
    </w:p>
    <w:p w14:paraId="75096843" w14:textId="3A5D0FA6" w:rsidR="5358DFEB" w:rsidRPr="005206E5" w:rsidRDefault="5358DFEB" w:rsidP="5358DFEB">
      <w:pPr>
        <w:jc w:val="both"/>
        <w:rPr>
          <w:rFonts w:ascii="Times New Roman" w:hAnsi="Times New Roman" w:cs="Times New Roman"/>
        </w:rPr>
      </w:pPr>
      <w:r w:rsidRPr="005206E5">
        <w:rPr>
          <w:rFonts w:ascii="Times New Roman" w:hAnsi="Times New Roman" w:cs="Times New Roman"/>
          <w:noProof/>
        </w:rPr>
        <w:drawing>
          <wp:inline distT="0" distB="0" distL="0" distR="0" wp14:anchorId="2AF9CA49" wp14:editId="6A2D028D">
            <wp:extent cx="4505325" cy="2314575"/>
            <wp:effectExtent l="0" t="0" r="0" b="0"/>
            <wp:docPr id="1521353895" name="Picture 152135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7B3B253E" w14:textId="77777777" w:rsidR="005206E5" w:rsidRPr="005206E5" w:rsidRDefault="005206E5" w:rsidP="005206E5">
      <w:pPr>
        <w:jc w:val="both"/>
        <w:rPr>
          <w:rFonts w:ascii="Times New Roman" w:eastAsia="Times New Roman" w:hAnsi="Times New Roman" w:cs="Times New Roman"/>
        </w:rPr>
      </w:pPr>
      <w:r w:rsidRPr="005206E5">
        <w:rPr>
          <w:rFonts w:ascii="Times New Roman" w:eastAsia="Times New Roman" w:hAnsi="Times New Roman" w:cs="Times New Roman"/>
        </w:rPr>
        <w:t>Fuente: Elaboración propia</w:t>
      </w:r>
    </w:p>
    <w:p w14:paraId="6CEC8FB8" w14:textId="3A5D0FA6" w:rsidR="5358DFEB" w:rsidRPr="005206E5" w:rsidRDefault="5358DFEB" w:rsidP="5358DFEB">
      <w:pPr>
        <w:jc w:val="both"/>
        <w:rPr>
          <w:rFonts w:ascii="Times New Roman" w:hAnsi="Times New Roman" w:cs="Times New Roman"/>
        </w:rPr>
      </w:pPr>
    </w:p>
    <w:p w14:paraId="3D1C22E9" w14:textId="6199FDCD" w:rsidR="5358DFEB" w:rsidRPr="005206E5" w:rsidRDefault="5358DFEB" w:rsidP="5358DFEB">
      <w:pPr>
        <w:jc w:val="both"/>
        <w:rPr>
          <w:rFonts w:ascii="Times New Roman" w:hAnsi="Times New Roman" w:cs="Times New Roman"/>
        </w:rPr>
      </w:pPr>
      <w:r w:rsidRPr="005206E5">
        <w:rPr>
          <w:rFonts w:ascii="Times New Roman" w:hAnsi="Times New Roman" w:cs="Times New Roman"/>
        </w:rPr>
        <w:t>Esta gráfica muestra el comportamiento de la autoc</w:t>
      </w:r>
      <w:r w:rsidR="62C005DB" w:rsidRPr="005206E5">
        <w:rPr>
          <w:rFonts w:ascii="Times New Roman" w:hAnsi="Times New Roman" w:cs="Times New Roman"/>
        </w:rPr>
        <w:t>orrelación simple y parcial de la serie de los retornos logarítmicos ajustada por outliers,</w:t>
      </w:r>
      <w:r w:rsidR="65BFF90E" w:rsidRPr="005206E5">
        <w:rPr>
          <w:rFonts w:ascii="Times New Roman" w:hAnsi="Times New Roman" w:cs="Times New Roman"/>
        </w:rPr>
        <w:t xml:space="preserve"> se evidencia que despues de ajustar la serie persisten algunos rezagos con autocorrelación, por lo tanto</w:t>
      </w:r>
      <w:r w:rsidR="36FF61CE" w:rsidRPr="005206E5">
        <w:rPr>
          <w:rFonts w:ascii="Times New Roman" w:hAnsi="Times New Roman" w:cs="Times New Roman"/>
        </w:rPr>
        <w:t xml:space="preserve"> </w:t>
      </w:r>
      <w:r w:rsidR="2C64251D" w:rsidRPr="005206E5">
        <w:rPr>
          <w:rFonts w:ascii="Times New Roman" w:hAnsi="Times New Roman" w:cs="Times New Roman"/>
        </w:rPr>
        <w:t xml:space="preserve">se modela la </w:t>
      </w:r>
      <w:r w:rsidR="7308512B" w:rsidRPr="005206E5">
        <w:rPr>
          <w:rFonts w:ascii="Times New Roman" w:hAnsi="Times New Roman" w:cs="Times New Roman"/>
        </w:rPr>
        <w:t>media</w:t>
      </w:r>
      <w:r w:rsidR="6A8BE24D" w:rsidRPr="005206E5">
        <w:rPr>
          <w:rFonts w:ascii="Times New Roman" w:hAnsi="Times New Roman" w:cs="Times New Roman"/>
        </w:rPr>
        <w:t xml:space="preserve"> de la serie con un modelo ARIMA.</w:t>
      </w:r>
    </w:p>
    <w:p w14:paraId="396AC892" w14:textId="78343EC7" w:rsidR="62A0E931" w:rsidRDefault="62A0E931" w:rsidP="62A0E931">
      <w:pPr>
        <w:jc w:val="both"/>
      </w:pPr>
    </w:p>
    <w:p w14:paraId="54A84A65" w14:textId="57E147C2" w:rsidR="005206E5" w:rsidRPr="00D73494" w:rsidRDefault="005206E5" w:rsidP="005206E5">
      <w:pPr>
        <w:rPr>
          <w:rFonts w:ascii="Times New Roman" w:eastAsia="Times New Roman" w:hAnsi="Times New Roman" w:cs="Times New Roman"/>
          <w:b/>
          <w:bCs/>
        </w:rPr>
      </w:pPr>
      <w:r w:rsidRPr="00D73494">
        <w:rPr>
          <w:rFonts w:ascii="Times New Roman" w:eastAsia="Times New Roman" w:hAnsi="Times New Roman" w:cs="Times New Roman"/>
          <w:b/>
          <w:bCs/>
        </w:rPr>
        <w:t xml:space="preserve">Gráfica </w:t>
      </w:r>
      <w:r>
        <w:rPr>
          <w:rFonts w:ascii="Times New Roman" w:eastAsia="Times New Roman" w:hAnsi="Times New Roman" w:cs="Times New Roman"/>
          <w:b/>
          <w:bCs/>
        </w:rPr>
        <w:t>5</w:t>
      </w:r>
      <w:r w:rsidRPr="00D73494">
        <w:rPr>
          <w:rFonts w:ascii="Times New Roman" w:eastAsia="Times New Roman" w:hAnsi="Times New Roman" w:cs="Times New Roman"/>
          <w:b/>
          <w:bCs/>
        </w:rPr>
        <w:t xml:space="preserve">. </w:t>
      </w:r>
      <w:r>
        <w:rPr>
          <w:rFonts w:ascii="Times New Roman" w:eastAsia="Times New Roman" w:hAnsi="Times New Roman" w:cs="Times New Roman"/>
          <w:b/>
          <w:bCs/>
        </w:rPr>
        <w:t>Errores modelo ARIMA</w:t>
      </w:r>
    </w:p>
    <w:p w14:paraId="63C1EA9F" w14:textId="77777777" w:rsidR="005206E5" w:rsidRDefault="005206E5" w:rsidP="62A0E931">
      <w:pPr>
        <w:jc w:val="both"/>
        <w:rPr>
          <w:noProof/>
        </w:rPr>
      </w:pPr>
    </w:p>
    <w:p w14:paraId="5D141903" w14:textId="12115AB7" w:rsidR="62A0E931" w:rsidRDefault="6CF72EF3" w:rsidP="62A0E931">
      <w:pPr>
        <w:jc w:val="both"/>
      </w:pPr>
      <w:r>
        <w:rPr>
          <w:noProof/>
        </w:rPr>
        <w:drawing>
          <wp:inline distT="0" distB="0" distL="0" distR="0" wp14:anchorId="7B225BA3" wp14:editId="284F7884">
            <wp:extent cx="4505325" cy="2314575"/>
            <wp:effectExtent l="0" t="0" r="0" b="0"/>
            <wp:docPr id="1312895468" name="Picture 1312895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4A51C3CE" w14:textId="77777777" w:rsidR="005206E5" w:rsidRPr="00DB68FB" w:rsidRDefault="005206E5" w:rsidP="00DB68FB">
      <w:pPr>
        <w:jc w:val="both"/>
        <w:rPr>
          <w:rFonts w:ascii="Times New Roman" w:eastAsia="Times New Roman" w:hAnsi="Times New Roman" w:cs="Times New Roman"/>
        </w:rPr>
      </w:pPr>
      <w:r w:rsidRPr="00DB68FB">
        <w:rPr>
          <w:rFonts w:ascii="Times New Roman" w:eastAsia="Times New Roman" w:hAnsi="Times New Roman" w:cs="Times New Roman"/>
        </w:rPr>
        <w:t>Fuente: Elaboración propia</w:t>
      </w:r>
    </w:p>
    <w:p w14:paraId="38757CE1" w14:textId="77777777" w:rsidR="005206E5" w:rsidRPr="00DB68FB" w:rsidRDefault="005206E5" w:rsidP="00DB68FB">
      <w:pPr>
        <w:jc w:val="both"/>
        <w:rPr>
          <w:rFonts w:ascii="Times New Roman" w:hAnsi="Times New Roman" w:cs="Times New Roman"/>
        </w:rPr>
      </w:pPr>
    </w:p>
    <w:p w14:paraId="6AFB4522" w14:textId="63A88B2E" w:rsidR="36D2644C" w:rsidRPr="00DB68FB" w:rsidRDefault="73204A98" w:rsidP="00DB68FB">
      <w:pPr>
        <w:jc w:val="both"/>
        <w:rPr>
          <w:rFonts w:ascii="Times New Roman" w:hAnsi="Times New Roman" w:cs="Times New Roman"/>
        </w:rPr>
      </w:pPr>
      <w:r w:rsidRPr="00DB68FB">
        <w:rPr>
          <w:rFonts w:ascii="Times New Roman" w:hAnsi="Times New Roman" w:cs="Times New Roman"/>
        </w:rPr>
        <w:t xml:space="preserve">Esta gráfica </w:t>
      </w:r>
      <w:r w:rsidR="368D6D5D" w:rsidRPr="00DB68FB">
        <w:rPr>
          <w:rFonts w:ascii="Times New Roman" w:hAnsi="Times New Roman" w:cs="Times New Roman"/>
        </w:rPr>
        <w:t xml:space="preserve">presenta el </w:t>
      </w:r>
      <w:r w:rsidR="07CCD61D" w:rsidRPr="00DB68FB">
        <w:rPr>
          <w:rFonts w:ascii="Times New Roman" w:hAnsi="Times New Roman" w:cs="Times New Roman"/>
        </w:rPr>
        <w:t>comportamiento</w:t>
      </w:r>
      <w:r w:rsidR="4E71022B" w:rsidRPr="00DB68FB">
        <w:rPr>
          <w:rFonts w:ascii="Times New Roman" w:hAnsi="Times New Roman" w:cs="Times New Roman"/>
        </w:rPr>
        <w:t xml:space="preserve"> de </w:t>
      </w:r>
      <w:r w:rsidR="0ABEE878" w:rsidRPr="00DB68FB">
        <w:rPr>
          <w:rFonts w:ascii="Times New Roman" w:hAnsi="Times New Roman" w:cs="Times New Roman"/>
        </w:rPr>
        <w:t xml:space="preserve">los </w:t>
      </w:r>
      <w:r w:rsidR="5F1D2E43" w:rsidRPr="00DB68FB">
        <w:rPr>
          <w:rFonts w:ascii="Times New Roman" w:hAnsi="Times New Roman" w:cs="Times New Roman"/>
        </w:rPr>
        <w:t xml:space="preserve">errores de pronóstico </w:t>
      </w:r>
      <w:r w:rsidR="3B9E4D8B" w:rsidRPr="00DB68FB">
        <w:rPr>
          <w:rFonts w:ascii="Times New Roman" w:hAnsi="Times New Roman" w:cs="Times New Roman"/>
        </w:rPr>
        <w:t xml:space="preserve">del </w:t>
      </w:r>
      <w:r w:rsidR="6D50F726" w:rsidRPr="00DB68FB">
        <w:rPr>
          <w:rFonts w:ascii="Times New Roman" w:hAnsi="Times New Roman" w:cs="Times New Roman"/>
        </w:rPr>
        <w:t>modelo ARIMA</w:t>
      </w:r>
      <w:r w:rsidR="10A30D2E" w:rsidRPr="00DB68FB">
        <w:rPr>
          <w:rFonts w:ascii="Times New Roman" w:hAnsi="Times New Roman" w:cs="Times New Roman"/>
        </w:rPr>
        <w:t>, encontrando que</w:t>
      </w:r>
      <w:r w:rsidR="3E4B68F7" w:rsidRPr="00DB68FB">
        <w:rPr>
          <w:rFonts w:ascii="Times New Roman" w:hAnsi="Times New Roman" w:cs="Times New Roman"/>
        </w:rPr>
        <w:t xml:space="preserve"> estos se </w:t>
      </w:r>
      <w:r w:rsidR="619D7EFE" w:rsidRPr="00DB68FB">
        <w:rPr>
          <w:rFonts w:ascii="Times New Roman" w:hAnsi="Times New Roman" w:cs="Times New Roman"/>
        </w:rPr>
        <w:t>comportan</w:t>
      </w:r>
      <w:r w:rsidR="1DEB654B" w:rsidRPr="00DB68FB">
        <w:rPr>
          <w:rFonts w:ascii="Times New Roman" w:hAnsi="Times New Roman" w:cs="Times New Roman"/>
        </w:rPr>
        <w:t xml:space="preserve"> como un </w:t>
      </w:r>
      <w:r w:rsidR="4B93C114" w:rsidRPr="00DB68FB">
        <w:rPr>
          <w:rFonts w:ascii="Times New Roman" w:hAnsi="Times New Roman" w:cs="Times New Roman"/>
        </w:rPr>
        <w:t>proceso ruido blanco</w:t>
      </w:r>
      <w:r w:rsidR="40F88463" w:rsidRPr="00DB68FB">
        <w:rPr>
          <w:rFonts w:ascii="Times New Roman" w:hAnsi="Times New Roman" w:cs="Times New Roman"/>
        </w:rPr>
        <w:t>,</w:t>
      </w:r>
      <w:r w:rsidR="2B33BD68" w:rsidRPr="00DB68FB">
        <w:rPr>
          <w:rFonts w:ascii="Times New Roman" w:hAnsi="Times New Roman" w:cs="Times New Roman"/>
        </w:rPr>
        <w:t xml:space="preserve"> pues no presentan </w:t>
      </w:r>
      <w:r w:rsidR="358A032A" w:rsidRPr="00DB68FB">
        <w:rPr>
          <w:rFonts w:ascii="Times New Roman" w:hAnsi="Times New Roman" w:cs="Times New Roman"/>
        </w:rPr>
        <w:t>autocorrelación</w:t>
      </w:r>
      <w:r w:rsidR="22B74E8A" w:rsidRPr="00DB68FB">
        <w:rPr>
          <w:rFonts w:ascii="Times New Roman" w:hAnsi="Times New Roman" w:cs="Times New Roman"/>
        </w:rPr>
        <w:t>.</w:t>
      </w:r>
    </w:p>
    <w:p w14:paraId="2D21B147" w14:textId="11FE94AB" w:rsidR="11EB3B7F" w:rsidRDefault="11EB3B7F" w:rsidP="00DB68FB">
      <w:pPr>
        <w:jc w:val="both"/>
        <w:rPr>
          <w:rFonts w:ascii="Times New Roman" w:hAnsi="Times New Roman" w:cs="Times New Roman"/>
        </w:rPr>
      </w:pPr>
    </w:p>
    <w:p w14:paraId="7B82CE0C" w14:textId="77777777" w:rsidR="00DB68FB" w:rsidRDefault="00DB68FB" w:rsidP="00DB68FB">
      <w:pPr>
        <w:jc w:val="both"/>
        <w:rPr>
          <w:rFonts w:ascii="Times New Roman" w:hAnsi="Times New Roman" w:cs="Times New Roman"/>
        </w:rPr>
      </w:pPr>
    </w:p>
    <w:p w14:paraId="600CFAA0" w14:textId="77777777" w:rsidR="00DB68FB" w:rsidRDefault="00DB68FB" w:rsidP="00DB68FB">
      <w:pPr>
        <w:jc w:val="both"/>
        <w:rPr>
          <w:rFonts w:ascii="Times New Roman" w:hAnsi="Times New Roman" w:cs="Times New Roman"/>
        </w:rPr>
      </w:pPr>
    </w:p>
    <w:p w14:paraId="776F7AD1" w14:textId="77777777" w:rsidR="00DB68FB" w:rsidRDefault="00DB68FB" w:rsidP="00DB68FB">
      <w:pPr>
        <w:jc w:val="both"/>
        <w:rPr>
          <w:rFonts w:ascii="Times New Roman" w:hAnsi="Times New Roman" w:cs="Times New Roman"/>
        </w:rPr>
      </w:pPr>
    </w:p>
    <w:p w14:paraId="26B9E5B4" w14:textId="77777777" w:rsidR="00DB68FB" w:rsidRDefault="00DB68FB" w:rsidP="00DB68FB">
      <w:pPr>
        <w:jc w:val="both"/>
        <w:rPr>
          <w:rFonts w:ascii="Times New Roman" w:hAnsi="Times New Roman" w:cs="Times New Roman"/>
        </w:rPr>
      </w:pPr>
    </w:p>
    <w:p w14:paraId="6194CC3C" w14:textId="77777777" w:rsidR="00DB68FB" w:rsidRDefault="00DB68FB" w:rsidP="00DB68FB">
      <w:pPr>
        <w:jc w:val="both"/>
        <w:rPr>
          <w:rFonts w:ascii="Times New Roman" w:hAnsi="Times New Roman" w:cs="Times New Roman"/>
        </w:rPr>
      </w:pPr>
    </w:p>
    <w:p w14:paraId="5FA1C107" w14:textId="77777777" w:rsidR="00DB68FB" w:rsidRPr="00DB68FB" w:rsidRDefault="00DB68FB" w:rsidP="00DB68FB">
      <w:pPr>
        <w:jc w:val="both"/>
        <w:rPr>
          <w:rFonts w:ascii="Times New Roman" w:hAnsi="Times New Roman" w:cs="Times New Roman"/>
        </w:rPr>
      </w:pPr>
    </w:p>
    <w:p w14:paraId="4AF0F188" w14:textId="210B68EF" w:rsidR="002C3B19" w:rsidRPr="00DB68FB" w:rsidRDefault="002C3B19" w:rsidP="00DB68FB">
      <w:pPr>
        <w:jc w:val="both"/>
        <w:rPr>
          <w:rFonts w:ascii="Times New Roman" w:eastAsia="Times New Roman" w:hAnsi="Times New Roman" w:cs="Times New Roman"/>
          <w:b/>
          <w:bCs/>
        </w:rPr>
      </w:pPr>
      <w:r w:rsidRPr="00DB68FB">
        <w:rPr>
          <w:rFonts w:ascii="Times New Roman" w:eastAsia="Times New Roman" w:hAnsi="Times New Roman" w:cs="Times New Roman"/>
          <w:b/>
          <w:bCs/>
        </w:rPr>
        <w:lastRenderedPageBreak/>
        <w:t>Gráfica 6. Errores</w:t>
      </w:r>
      <w:r w:rsidR="00844CAD" w:rsidRPr="00DB68FB">
        <w:rPr>
          <w:rFonts w:ascii="Times New Roman" w:eastAsia="Times New Roman" w:hAnsi="Times New Roman" w:cs="Times New Roman"/>
          <w:b/>
          <w:bCs/>
        </w:rPr>
        <w:t xml:space="preserve"> de pronóstico modelo GARCH</w:t>
      </w:r>
    </w:p>
    <w:p w14:paraId="330F37B7" w14:textId="2E6D5F3D" w:rsidR="002C3B19" w:rsidRDefault="002C3B19" w:rsidP="11EB3B7F">
      <w:pPr>
        <w:jc w:val="both"/>
      </w:pPr>
    </w:p>
    <w:p w14:paraId="0FFCF4C9" w14:textId="4D798A26" w:rsidR="11EB3B7F" w:rsidRDefault="61F16869" w:rsidP="11EB3B7F">
      <w:pPr>
        <w:jc w:val="both"/>
      </w:pPr>
      <w:r>
        <w:rPr>
          <w:noProof/>
        </w:rPr>
        <w:drawing>
          <wp:inline distT="0" distB="0" distL="0" distR="0" wp14:anchorId="7A314F13" wp14:editId="340FAC58">
            <wp:extent cx="4505325" cy="2314575"/>
            <wp:effectExtent l="0" t="0" r="0" b="0"/>
            <wp:docPr id="227961136" name="Picture 22796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61136"/>
                    <pic:cNvPicPr/>
                  </pic:nvPicPr>
                  <pic:blipFill>
                    <a:blip r:embed="rId17">
                      <a:extLst>
                        <a:ext uri="{28A0092B-C50C-407E-A947-70E740481C1C}">
                          <a14:useLocalDpi xmlns:a14="http://schemas.microsoft.com/office/drawing/2010/main" val="0"/>
                        </a:ext>
                      </a:extLst>
                    </a:blip>
                    <a:stretch>
                      <a:fillRect/>
                    </a:stretch>
                  </pic:blipFill>
                  <pic:spPr>
                    <a:xfrm>
                      <a:off x="0" y="0"/>
                      <a:ext cx="4505325" cy="2314575"/>
                    </a:xfrm>
                    <a:prstGeom prst="rect">
                      <a:avLst/>
                    </a:prstGeom>
                  </pic:spPr>
                </pic:pic>
              </a:graphicData>
            </a:graphic>
          </wp:inline>
        </w:drawing>
      </w:r>
    </w:p>
    <w:p w14:paraId="53C96810" w14:textId="44D95269" w:rsidR="002C3B19" w:rsidRDefault="002C3B19" w:rsidP="002C3B19">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49B9806D" w14:textId="40DBE093" w:rsidR="002C3B19" w:rsidRDefault="002C3B19" w:rsidP="4FCE01C0">
      <w:pPr>
        <w:jc w:val="both"/>
      </w:pPr>
    </w:p>
    <w:p w14:paraId="0A10B2B5" w14:textId="632859E1" w:rsidR="4FCE01C0" w:rsidRPr="00DB68FB" w:rsidRDefault="184C04B3" w:rsidP="4FCE01C0">
      <w:pPr>
        <w:jc w:val="both"/>
        <w:rPr>
          <w:rFonts w:ascii="Times New Roman" w:hAnsi="Times New Roman" w:cs="Times New Roman"/>
        </w:rPr>
      </w:pPr>
      <w:r w:rsidRPr="00DB68FB">
        <w:rPr>
          <w:rFonts w:ascii="Times New Roman" w:hAnsi="Times New Roman" w:cs="Times New Roman"/>
        </w:rPr>
        <w:t>Se evidencia el comportamiento de los</w:t>
      </w:r>
      <w:r w:rsidR="3B9E1ABA" w:rsidRPr="00DB68FB">
        <w:rPr>
          <w:rFonts w:ascii="Times New Roman" w:hAnsi="Times New Roman" w:cs="Times New Roman"/>
        </w:rPr>
        <w:t xml:space="preserve"> errores de </w:t>
      </w:r>
      <w:r w:rsidR="0CDD837A" w:rsidRPr="00DB68FB">
        <w:rPr>
          <w:rFonts w:ascii="Times New Roman" w:hAnsi="Times New Roman" w:cs="Times New Roman"/>
        </w:rPr>
        <w:t>pronóstico</w:t>
      </w:r>
      <w:r w:rsidR="1B3E170E" w:rsidRPr="00DB68FB">
        <w:rPr>
          <w:rFonts w:ascii="Times New Roman" w:hAnsi="Times New Roman" w:cs="Times New Roman"/>
        </w:rPr>
        <w:t xml:space="preserve"> del modelo </w:t>
      </w:r>
      <w:r w:rsidR="5381AF88" w:rsidRPr="00DB68FB">
        <w:rPr>
          <w:rFonts w:ascii="Times New Roman" w:hAnsi="Times New Roman" w:cs="Times New Roman"/>
        </w:rPr>
        <w:t>GARCH</w:t>
      </w:r>
      <w:r w:rsidR="28CB661A" w:rsidRPr="00DB68FB">
        <w:rPr>
          <w:rFonts w:ascii="Times New Roman" w:hAnsi="Times New Roman" w:cs="Times New Roman"/>
        </w:rPr>
        <w:t xml:space="preserve">, </w:t>
      </w:r>
      <w:r w:rsidR="0461149C" w:rsidRPr="00DB68FB">
        <w:rPr>
          <w:rFonts w:ascii="Times New Roman" w:hAnsi="Times New Roman" w:cs="Times New Roman"/>
        </w:rPr>
        <w:t xml:space="preserve">encontrando </w:t>
      </w:r>
      <w:r w:rsidR="79C5D7EA" w:rsidRPr="00DB68FB">
        <w:rPr>
          <w:rFonts w:ascii="Times New Roman" w:hAnsi="Times New Roman" w:cs="Times New Roman"/>
        </w:rPr>
        <w:t xml:space="preserve">que estos no </w:t>
      </w:r>
      <w:r w:rsidR="3613BE37" w:rsidRPr="00DB68FB">
        <w:rPr>
          <w:rFonts w:ascii="Times New Roman" w:hAnsi="Times New Roman" w:cs="Times New Roman"/>
        </w:rPr>
        <w:t xml:space="preserve">presentan </w:t>
      </w:r>
      <w:r w:rsidR="075326F7" w:rsidRPr="00DB68FB">
        <w:rPr>
          <w:rFonts w:ascii="Times New Roman" w:hAnsi="Times New Roman" w:cs="Times New Roman"/>
        </w:rPr>
        <w:t>autocorrelación.</w:t>
      </w:r>
    </w:p>
    <w:p w14:paraId="48C28905" w14:textId="449AE921" w:rsidR="2C1AE399" w:rsidRDefault="2C1AE399" w:rsidP="2C1AE399">
      <w:pPr>
        <w:jc w:val="both"/>
      </w:pPr>
    </w:p>
    <w:p w14:paraId="71DAB33E" w14:textId="7B9508D0" w:rsidR="00DB68FB" w:rsidRDefault="00DB68FB" w:rsidP="2C1AE399">
      <w:pPr>
        <w:jc w:val="both"/>
        <w:rPr>
          <w:rFonts w:ascii="Times New Roman" w:eastAsia="Times New Roman" w:hAnsi="Times New Roman" w:cs="Times New Roman"/>
          <w:b/>
          <w:bCs/>
        </w:rPr>
      </w:pPr>
      <w:r w:rsidRPr="00DB68FB">
        <w:rPr>
          <w:rFonts w:ascii="Times New Roman" w:eastAsia="Times New Roman" w:hAnsi="Times New Roman" w:cs="Times New Roman"/>
          <w:b/>
          <w:bCs/>
        </w:rPr>
        <w:t xml:space="preserve">Gráfica </w:t>
      </w:r>
      <w:r>
        <w:rPr>
          <w:rFonts w:ascii="Times New Roman" w:eastAsia="Times New Roman" w:hAnsi="Times New Roman" w:cs="Times New Roman"/>
          <w:b/>
          <w:bCs/>
        </w:rPr>
        <w:t>7</w:t>
      </w:r>
      <w:r w:rsidRPr="00DB68FB">
        <w:rPr>
          <w:rFonts w:ascii="Times New Roman" w:eastAsia="Times New Roman" w:hAnsi="Times New Roman" w:cs="Times New Roman"/>
          <w:b/>
          <w:bCs/>
        </w:rPr>
        <w:t xml:space="preserve">. Errores de pronóstico modelo </w:t>
      </w:r>
      <w:r>
        <w:rPr>
          <w:rFonts w:ascii="Times New Roman" w:eastAsia="Times New Roman" w:hAnsi="Times New Roman" w:cs="Times New Roman"/>
          <w:b/>
          <w:bCs/>
        </w:rPr>
        <w:t>T-</w:t>
      </w:r>
      <w:r w:rsidRPr="00DB68FB">
        <w:rPr>
          <w:rFonts w:ascii="Times New Roman" w:eastAsia="Times New Roman" w:hAnsi="Times New Roman" w:cs="Times New Roman"/>
          <w:b/>
          <w:bCs/>
        </w:rPr>
        <w:t>GARCH</w:t>
      </w:r>
    </w:p>
    <w:p w14:paraId="43E75F08" w14:textId="77777777" w:rsidR="00DB68FB" w:rsidRDefault="00DB68FB" w:rsidP="2C1AE399">
      <w:pPr>
        <w:jc w:val="both"/>
      </w:pPr>
    </w:p>
    <w:p w14:paraId="481FB8E3" w14:textId="100692F9" w:rsidR="2C1AE399" w:rsidRDefault="2C1AE399" w:rsidP="2C1AE399">
      <w:pPr>
        <w:jc w:val="both"/>
      </w:pPr>
      <w:r>
        <w:rPr>
          <w:noProof/>
        </w:rPr>
        <w:drawing>
          <wp:inline distT="0" distB="0" distL="0" distR="0" wp14:anchorId="796852B5" wp14:editId="7D14DAA1">
            <wp:extent cx="4505325" cy="2324100"/>
            <wp:effectExtent l="0" t="0" r="0" b="0"/>
            <wp:docPr id="976600149" name="Picture 976600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600149"/>
                    <pic:cNvPicPr/>
                  </pic:nvPicPr>
                  <pic:blipFill>
                    <a:blip r:embed="rId18">
                      <a:extLst>
                        <a:ext uri="{28A0092B-C50C-407E-A947-70E740481C1C}">
                          <a14:useLocalDpi xmlns:a14="http://schemas.microsoft.com/office/drawing/2010/main" val="0"/>
                        </a:ext>
                      </a:extLst>
                    </a:blip>
                    <a:stretch>
                      <a:fillRect/>
                    </a:stretch>
                  </pic:blipFill>
                  <pic:spPr>
                    <a:xfrm>
                      <a:off x="0" y="0"/>
                      <a:ext cx="4505325" cy="2324100"/>
                    </a:xfrm>
                    <a:prstGeom prst="rect">
                      <a:avLst/>
                    </a:prstGeom>
                  </pic:spPr>
                </pic:pic>
              </a:graphicData>
            </a:graphic>
          </wp:inline>
        </w:drawing>
      </w:r>
    </w:p>
    <w:p w14:paraId="3A45DE69" w14:textId="77777777" w:rsidR="00DB68FB" w:rsidRDefault="00DB68FB" w:rsidP="00DB68FB">
      <w:pPr>
        <w:jc w:val="both"/>
        <w:rPr>
          <w:rFonts w:ascii="Times New Roman" w:eastAsia="Times New Roman" w:hAnsi="Times New Roman" w:cs="Times New Roman"/>
        </w:rPr>
      </w:pPr>
      <w:r w:rsidRPr="00D73494">
        <w:rPr>
          <w:rFonts w:ascii="Times New Roman" w:eastAsia="Times New Roman" w:hAnsi="Times New Roman" w:cs="Times New Roman"/>
        </w:rPr>
        <w:t>Fuente: Elaboración propia</w:t>
      </w:r>
    </w:p>
    <w:p w14:paraId="24A71E65" w14:textId="77777777" w:rsidR="00DB68FB" w:rsidRDefault="00DB68FB" w:rsidP="2C1AE399">
      <w:pPr>
        <w:jc w:val="both"/>
      </w:pPr>
    </w:p>
    <w:p w14:paraId="469FBFD3" w14:textId="3055B0EE" w:rsidR="6823582E" w:rsidRPr="00DB68FB" w:rsidRDefault="49583477" w:rsidP="6823582E">
      <w:pPr>
        <w:jc w:val="both"/>
        <w:rPr>
          <w:rFonts w:ascii="Times New Roman" w:hAnsi="Times New Roman" w:cs="Times New Roman"/>
        </w:rPr>
      </w:pPr>
      <w:r w:rsidRPr="00DB68FB">
        <w:rPr>
          <w:rFonts w:ascii="Times New Roman" w:hAnsi="Times New Roman" w:cs="Times New Roman"/>
        </w:rPr>
        <w:t>La gráfica muestra el comportamiento de los errores de pronóstico del modelo T-GARCH, encon</w:t>
      </w:r>
      <w:r w:rsidR="33936D7C" w:rsidRPr="00DB68FB">
        <w:rPr>
          <w:rFonts w:ascii="Times New Roman" w:hAnsi="Times New Roman" w:cs="Times New Roman"/>
        </w:rPr>
        <w:t>trando</w:t>
      </w:r>
      <w:r w:rsidR="7A37998A" w:rsidRPr="00DB68FB">
        <w:rPr>
          <w:rFonts w:ascii="Times New Roman" w:hAnsi="Times New Roman" w:cs="Times New Roman"/>
        </w:rPr>
        <w:t xml:space="preserve"> que estos </w:t>
      </w:r>
      <w:r w:rsidR="68F9C4DF" w:rsidRPr="00DB68FB">
        <w:rPr>
          <w:rFonts w:ascii="Times New Roman" w:hAnsi="Times New Roman" w:cs="Times New Roman"/>
        </w:rPr>
        <w:t>no presentan autocorrelación.</w:t>
      </w:r>
    </w:p>
    <w:p w14:paraId="2E6B6722" w14:textId="5F132868" w:rsidR="38BE7CBE" w:rsidRPr="00D73494" w:rsidRDefault="38BE7CBE" w:rsidP="00813CCC">
      <w:pPr>
        <w:jc w:val="both"/>
        <w:rPr>
          <w:rFonts w:ascii="Times New Roman" w:eastAsia="Times New Roman" w:hAnsi="Times New Roman" w:cs="Times New Roman"/>
        </w:rPr>
      </w:pPr>
    </w:p>
    <w:sectPr w:rsidR="38BE7CBE" w:rsidRPr="00D73494" w:rsidSect="00CB346B">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75690" w14:textId="77777777" w:rsidR="0016282D" w:rsidRDefault="0016282D">
      <w:r>
        <w:separator/>
      </w:r>
    </w:p>
  </w:endnote>
  <w:endnote w:type="continuationSeparator" w:id="0">
    <w:p w14:paraId="5D6DE6AC" w14:textId="77777777" w:rsidR="0016282D" w:rsidRDefault="0016282D">
      <w:r>
        <w:continuationSeparator/>
      </w:r>
    </w:p>
  </w:endnote>
  <w:endnote w:type="continuationNotice" w:id="1">
    <w:p w14:paraId="4C8B913A" w14:textId="77777777" w:rsidR="0016282D" w:rsidRDefault="001628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90447A" w:rsidRDefault="00047F5F">
    <w:pPr>
      <w:pStyle w:val="Textoindependiente"/>
      <w:spacing w:line="12" w:lineRule="auto"/>
      <w:ind w:left="0"/>
    </w:pPr>
    <w:r>
      <w:rPr>
        <w:noProof/>
      </w:rPr>
      <mc:AlternateContent>
        <mc:Choice Requires="wps">
          <w:drawing>
            <wp:anchor distT="0" distB="0" distL="114300" distR="114300" simplePos="0" relativeHeight="251658240"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90447A"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000000" w:rsidRDefault="00047F5F">
                    <w:pPr>
                      <w:pStyle w:val="BodyText"/>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1C63" w14:textId="77777777" w:rsidR="0016282D" w:rsidRDefault="0016282D">
      <w:r>
        <w:rPr>
          <w:color w:val="000000"/>
        </w:rPr>
        <w:separator/>
      </w:r>
    </w:p>
  </w:footnote>
  <w:footnote w:type="continuationSeparator" w:id="0">
    <w:p w14:paraId="054030DC" w14:textId="77777777" w:rsidR="0016282D" w:rsidRDefault="0016282D">
      <w:r>
        <w:continuationSeparator/>
      </w:r>
    </w:p>
  </w:footnote>
  <w:footnote w:type="continuationNotice" w:id="1">
    <w:p w14:paraId="125E6716" w14:textId="77777777" w:rsidR="0016282D" w:rsidRDefault="0016282D"/>
  </w:footnote>
  <w:footnote w:id="2">
    <w:p w14:paraId="530C4EBF" w14:textId="764890A6" w:rsidR="38BE7CBE" w:rsidRPr="00813CCC" w:rsidRDefault="38BE7CBE" w:rsidP="00813CCC">
      <w:pPr>
        <w:jc w:val="both"/>
        <w:rPr>
          <w:rFonts w:ascii="Times New Roman" w:eastAsia="Times New Roman" w:hAnsi="Times New Roman" w:cs="Times New Roman"/>
          <w:sz w:val="18"/>
          <w:szCs w:val="18"/>
        </w:rPr>
      </w:pPr>
      <w:r w:rsidRPr="00813CCC">
        <w:rPr>
          <w:rStyle w:val="Refdenotaalpie"/>
          <w:rFonts w:ascii="Times New Roman" w:hAnsi="Times New Roman" w:cs="Times New Roman"/>
          <w:sz w:val="18"/>
          <w:szCs w:val="18"/>
        </w:rPr>
        <w:footnoteRef/>
      </w:r>
      <w:r w:rsidRPr="00813CCC">
        <w:rPr>
          <w:rFonts w:ascii="Times New Roman" w:hAnsi="Times New Roman" w:cs="Times New Roman"/>
          <w:sz w:val="18"/>
          <w:szCs w:val="18"/>
        </w:rPr>
        <w:t xml:space="preserve"> La relación entre el Petróleo y el Gas Natural es una relación positiva, pero limitada, el coeficiente de correlación positivo entre estas variables ha ido decreciendo con el paso del tiempo por las virtudes del gas natural. Este último ayuda a generar energía más limpia y con menos generación de dióxido de carbono respecto al petróleo.</w:t>
      </w:r>
    </w:p>
  </w:footnote>
  <w:footnote w:id="3">
    <w:p w14:paraId="660EDADA" w14:textId="102F95D7" w:rsidR="38BE7CBE" w:rsidRDefault="38BE7CBE" w:rsidP="00813CCC">
      <w:pPr>
        <w:pStyle w:val="Textonotapie"/>
        <w:jc w:val="both"/>
      </w:pPr>
      <w:r w:rsidRPr="00813CCC">
        <w:rPr>
          <w:rStyle w:val="Refdenotaalpie"/>
          <w:rFonts w:ascii="Times New Roman" w:hAnsi="Times New Roman" w:cs="Times New Roman"/>
          <w:sz w:val="18"/>
          <w:szCs w:val="18"/>
        </w:rPr>
        <w:footnoteRef/>
      </w:r>
      <w:r w:rsidRPr="00813CCC">
        <w:rPr>
          <w:rFonts w:ascii="Times New Roman" w:hAnsi="Times New Roman" w:cs="Times New Roman"/>
          <w:sz w:val="18"/>
          <w:szCs w:val="18"/>
        </w:rPr>
        <w:t xml:space="preserve"> Los datos se obtuvieron de US Energy Information Administration y Google Trend</w:t>
      </w:r>
      <w:r w:rsidR="00686CAC">
        <w:rPr>
          <w:rFonts w:ascii="Times New Roman" w:hAnsi="Times New Roman" w:cs="Times New Roman"/>
          <w:sz w:val="18"/>
          <w:szCs w:val="18"/>
        </w:rPr>
        <w:t>s</w:t>
      </w:r>
    </w:p>
  </w:footnote>
  <w:footnote w:id="4">
    <w:p w14:paraId="435F3C86" w14:textId="4EEF7C54" w:rsidR="38BE7CBE" w:rsidRPr="00FB1911" w:rsidRDefault="38BE7CBE" w:rsidP="38BE7CBE">
      <w:pPr>
        <w:pStyle w:val="Textonotapie"/>
        <w:jc w:val="both"/>
        <w:rPr>
          <w:rFonts w:ascii="Times New Roman" w:eastAsia="Times New Roman" w:hAnsi="Times New Roman" w:cs="Times New Roman"/>
          <w:sz w:val="18"/>
          <w:szCs w:val="18"/>
        </w:rPr>
      </w:pPr>
      <w:r w:rsidRPr="00FB1911">
        <w:rPr>
          <w:rStyle w:val="Refdenotaalpie"/>
          <w:rFonts w:ascii="Times New Roman" w:eastAsia="Times New Roman" w:hAnsi="Times New Roman" w:cs="Times New Roman"/>
          <w:sz w:val="18"/>
          <w:szCs w:val="18"/>
        </w:rPr>
        <w:footnoteRef/>
      </w:r>
      <w:r w:rsidRPr="00FB1911">
        <w:rPr>
          <w:rFonts w:ascii="Times New Roman" w:eastAsia="Times New Roman" w:hAnsi="Times New Roman" w:cs="Times New Roman"/>
          <w:sz w:val="18"/>
          <w:szCs w:val="18"/>
        </w:rPr>
        <w:t xml:space="preserve"> Herramienta de Google Labs que muestra los términos de búsqueda más populares, en donde los términos se indexan en función del valor de bus búsquedas, siendo </w:t>
      </w:r>
      <w:r w:rsidRPr="00FB1911">
        <w:rPr>
          <w:rFonts w:ascii="Times New Roman" w:eastAsia="Times New Roman" w:hAnsi="Times New Roman" w:cs="Times New Roman"/>
          <w:b/>
          <w:bCs/>
          <w:sz w:val="18"/>
          <w:szCs w:val="18"/>
        </w:rPr>
        <w:t xml:space="preserve">100 </w:t>
      </w:r>
      <w:r w:rsidRPr="00FB1911">
        <w:rPr>
          <w:rFonts w:ascii="Times New Roman" w:eastAsia="Times New Roman" w:hAnsi="Times New Roman" w:cs="Times New Roman"/>
          <w:sz w:val="18"/>
          <w:szCs w:val="18"/>
        </w:rPr>
        <w:t xml:space="preserve">el valor máximo de interés de búsqueda, 50 el valor medio de interés de búsqueda y 0 el valor nulo de </w:t>
      </w:r>
      <w:r w:rsidR="00EF1FA8" w:rsidRPr="00FB1911">
        <w:rPr>
          <w:rFonts w:ascii="Times New Roman" w:eastAsia="Times New Roman" w:hAnsi="Times New Roman" w:cs="Times New Roman"/>
          <w:sz w:val="18"/>
          <w:szCs w:val="18"/>
        </w:rPr>
        <w:t>búsqueda</w:t>
      </w:r>
      <w:r w:rsidRPr="00FB1911">
        <w:rPr>
          <w:rFonts w:ascii="Times New Roman" w:eastAsia="Times New Roman" w:hAnsi="Times New Roman" w:cs="Times New Roman"/>
          <w:sz w:val="18"/>
          <w:szCs w:val="18"/>
        </w:rPr>
        <w:t xml:space="preserve"> del término.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D86C"/>
    <w:multiLevelType w:val="hybridMultilevel"/>
    <w:tmpl w:val="FFFFFFFF"/>
    <w:lvl w:ilvl="0" w:tplc="EEC6E65A">
      <w:start w:val="1"/>
      <w:numFmt w:val="upperRoman"/>
      <w:lvlText w:val="%1."/>
      <w:lvlJc w:val="left"/>
      <w:pPr>
        <w:ind w:left="720" w:hanging="360"/>
      </w:pPr>
    </w:lvl>
    <w:lvl w:ilvl="1" w:tplc="A4DC1AAA">
      <w:start w:val="1"/>
      <w:numFmt w:val="lowerLetter"/>
      <w:lvlText w:val="%2."/>
      <w:lvlJc w:val="left"/>
      <w:pPr>
        <w:ind w:left="1440" w:hanging="360"/>
      </w:pPr>
    </w:lvl>
    <w:lvl w:ilvl="2" w:tplc="60D8D888">
      <w:start w:val="1"/>
      <w:numFmt w:val="lowerRoman"/>
      <w:lvlText w:val="%3."/>
      <w:lvlJc w:val="right"/>
      <w:pPr>
        <w:ind w:left="2160" w:hanging="180"/>
      </w:pPr>
    </w:lvl>
    <w:lvl w:ilvl="3" w:tplc="708AF97E">
      <w:start w:val="1"/>
      <w:numFmt w:val="decimal"/>
      <w:lvlText w:val="%4."/>
      <w:lvlJc w:val="left"/>
      <w:pPr>
        <w:ind w:left="2880" w:hanging="360"/>
      </w:pPr>
    </w:lvl>
    <w:lvl w:ilvl="4" w:tplc="E1286BBA">
      <w:start w:val="1"/>
      <w:numFmt w:val="lowerLetter"/>
      <w:lvlText w:val="%5."/>
      <w:lvlJc w:val="left"/>
      <w:pPr>
        <w:ind w:left="3600" w:hanging="360"/>
      </w:pPr>
    </w:lvl>
    <w:lvl w:ilvl="5" w:tplc="3DE29276">
      <w:start w:val="1"/>
      <w:numFmt w:val="lowerRoman"/>
      <w:lvlText w:val="%6."/>
      <w:lvlJc w:val="right"/>
      <w:pPr>
        <w:ind w:left="4320" w:hanging="180"/>
      </w:pPr>
    </w:lvl>
    <w:lvl w:ilvl="6" w:tplc="33768B6E">
      <w:start w:val="1"/>
      <w:numFmt w:val="decimal"/>
      <w:lvlText w:val="%7."/>
      <w:lvlJc w:val="left"/>
      <w:pPr>
        <w:ind w:left="5040" w:hanging="360"/>
      </w:pPr>
    </w:lvl>
    <w:lvl w:ilvl="7" w:tplc="98F0DD92">
      <w:start w:val="1"/>
      <w:numFmt w:val="lowerLetter"/>
      <w:lvlText w:val="%8."/>
      <w:lvlJc w:val="left"/>
      <w:pPr>
        <w:ind w:left="5760" w:hanging="360"/>
      </w:pPr>
    </w:lvl>
    <w:lvl w:ilvl="8" w:tplc="B27A7232">
      <w:start w:val="1"/>
      <w:numFmt w:val="lowerRoman"/>
      <w:lvlText w:val="%9."/>
      <w:lvlJc w:val="right"/>
      <w:pPr>
        <w:ind w:left="6480" w:hanging="180"/>
      </w:pPr>
    </w:lvl>
  </w:abstractNum>
  <w:abstractNum w:abstractNumId="1" w15:restartNumberingAfterBreak="0">
    <w:nsid w:val="1AFDAD15"/>
    <w:multiLevelType w:val="hybridMultilevel"/>
    <w:tmpl w:val="FFFFFFFF"/>
    <w:lvl w:ilvl="0" w:tplc="CAF4855C">
      <w:start w:val="1"/>
      <w:numFmt w:val="decimal"/>
      <w:lvlText w:val="%1."/>
      <w:lvlJc w:val="left"/>
      <w:pPr>
        <w:ind w:left="720" w:hanging="360"/>
      </w:pPr>
    </w:lvl>
    <w:lvl w:ilvl="1" w:tplc="95DA58E4">
      <w:start w:val="1"/>
      <w:numFmt w:val="lowerLetter"/>
      <w:lvlText w:val="%2."/>
      <w:lvlJc w:val="left"/>
      <w:pPr>
        <w:ind w:left="1440" w:hanging="360"/>
      </w:pPr>
    </w:lvl>
    <w:lvl w:ilvl="2" w:tplc="83B08A8A">
      <w:start w:val="1"/>
      <w:numFmt w:val="lowerRoman"/>
      <w:lvlText w:val="%3."/>
      <w:lvlJc w:val="right"/>
      <w:pPr>
        <w:ind w:left="2160" w:hanging="180"/>
      </w:pPr>
    </w:lvl>
    <w:lvl w:ilvl="3" w:tplc="670E04D2">
      <w:start w:val="1"/>
      <w:numFmt w:val="decimal"/>
      <w:lvlText w:val="%4."/>
      <w:lvlJc w:val="left"/>
      <w:pPr>
        <w:ind w:left="2880" w:hanging="360"/>
      </w:pPr>
    </w:lvl>
    <w:lvl w:ilvl="4" w:tplc="4C805F22">
      <w:start w:val="1"/>
      <w:numFmt w:val="lowerLetter"/>
      <w:lvlText w:val="%5."/>
      <w:lvlJc w:val="left"/>
      <w:pPr>
        <w:ind w:left="3600" w:hanging="360"/>
      </w:pPr>
    </w:lvl>
    <w:lvl w:ilvl="5" w:tplc="1DE891EC">
      <w:start w:val="1"/>
      <w:numFmt w:val="lowerRoman"/>
      <w:lvlText w:val="%6."/>
      <w:lvlJc w:val="right"/>
      <w:pPr>
        <w:ind w:left="4320" w:hanging="180"/>
      </w:pPr>
    </w:lvl>
    <w:lvl w:ilvl="6" w:tplc="7632DBEC">
      <w:start w:val="1"/>
      <w:numFmt w:val="decimal"/>
      <w:lvlText w:val="%7."/>
      <w:lvlJc w:val="left"/>
      <w:pPr>
        <w:ind w:left="5040" w:hanging="360"/>
      </w:pPr>
    </w:lvl>
    <w:lvl w:ilvl="7" w:tplc="7BA87650">
      <w:start w:val="1"/>
      <w:numFmt w:val="lowerLetter"/>
      <w:lvlText w:val="%8."/>
      <w:lvlJc w:val="left"/>
      <w:pPr>
        <w:ind w:left="5760" w:hanging="360"/>
      </w:pPr>
    </w:lvl>
    <w:lvl w:ilvl="8" w:tplc="5F5222DC">
      <w:start w:val="1"/>
      <w:numFmt w:val="lowerRoman"/>
      <w:lvlText w:val="%9."/>
      <w:lvlJc w:val="right"/>
      <w:pPr>
        <w:ind w:left="6480" w:hanging="180"/>
      </w:pPr>
    </w:lvl>
  </w:abstractNum>
  <w:abstractNum w:abstractNumId="2"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C619D4"/>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abstractNum w:abstractNumId="4"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1092046018">
    <w:abstractNumId w:val="0"/>
  </w:num>
  <w:num w:numId="2" w16cid:durableId="1635520215">
    <w:abstractNumId w:val="1"/>
  </w:num>
  <w:num w:numId="3" w16cid:durableId="279067679">
    <w:abstractNumId w:val="5"/>
  </w:num>
  <w:num w:numId="4" w16cid:durableId="2048215010">
    <w:abstractNumId w:val="4"/>
  </w:num>
  <w:num w:numId="5" w16cid:durableId="1742411834">
    <w:abstractNumId w:val="2"/>
  </w:num>
  <w:num w:numId="6" w16cid:durableId="2133211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7"/>
    <w:rsid w:val="00012AA8"/>
    <w:rsid w:val="000364A8"/>
    <w:rsid w:val="00047F5F"/>
    <w:rsid w:val="00054B4E"/>
    <w:rsid w:val="00063C05"/>
    <w:rsid w:val="00063C81"/>
    <w:rsid w:val="0007212D"/>
    <w:rsid w:val="0009106C"/>
    <w:rsid w:val="000966BE"/>
    <w:rsid w:val="000B25BF"/>
    <w:rsid w:val="000B39F0"/>
    <w:rsid w:val="000D5E67"/>
    <w:rsid w:val="000D7D59"/>
    <w:rsid w:val="000E4BCE"/>
    <w:rsid w:val="000E76E4"/>
    <w:rsid w:val="000F1C37"/>
    <w:rsid w:val="001003E0"/>
    <w:rsid w:val="00123E53"/>
    <w:rsid w:val="001244A8"/>
    <w:rsid w:val="0013553B"/>
    <w:rsid w:val="00157DEE"/>
    <w:rsid w:val="0016282D"/>
    <w:rsid w:val="001667DC"/>
    <w:rsid w:val="001777CC"/>
    <w:rsid w:val="001807BA"/>
    <w:rsid w:val="00181DF7"/>
    <w:rsid w:val="0018586D"/>
    <w:rsid w:val="00196387"/>
    <w:rsid w:val="00197D39"/>
    <w:rsid w:val="001A5BCA"/>
    <w:rsid w:val="001D3FC6"/>
    <w:rsid w:val="001D480B"/>
    <w:rsid w:val="001D7AFF"/>
    <w:rsid w:val="001F508F"/>
    <w:rsid w:val="00211E97"/>
    <w:rsid w:val="0022312C"/>
    <w:rsid w:val="00241CC3"/>
    <w:rsid w:val="00254900"/>
    <w:rsid w:val="00267CDB"/>
    <w:rsid w:val="00275B02"/>
    <w:rsid w:val="0029021C"/>
    <w:rsid w:val="00295F3B"/>
    <w:rsid w:val="00296BD4"/>
    <w:rsid w:val="002A398F"/>
    <w:rsid w:val="002A48DC"/>
    <w:rsid w:val="002A63CC"/>
    <w:rsid w:val="002AAE4B"/>
    <w:rsid w:val="002C3B19"/>
    <w:rsid w:val="002F1E9E"/>
    <w:rsid w:val="00313D7D"/>
    <w:rsid w:val="00336FD5"/>
    <w:rsid w:val="003437A6"/>
    <w:rsid w:val="00346638"/>
    <w:rsid w:val="00346A03"/>
    <w:rsid w:val="003513EF"/>
    <w:rsid w:val="00372796"/>
    <w:rsid w:val="00381AC6"/>
    <w:rsid w:val="003A3A4B"/>
    <w:rsid w:val="003A713D"/>
    <w:rsid w:val="003B41FF"/>
    <w:rsid w:val="003B4D61"/>
    <w:rsid w:val="003C2826"/>
    <w:rsid w:val="00404A08"/>
    <w:rsid w:val="00425E9B"/>
    <w:rsid w:val="00431BC2"/>
    <w:rsid w:val="00434125"/>
    <w:rsid w:val="004372FB"/>
    <w:rsid w:val="004414B6"/>
    <w:rsid w:val="00442E53"/>
    <w:rsid w:val="004750EE"/>
    <w:rsid w:val="00481D81"/>
    <w:rsid w:val="004A3C88"/>
    <w:rsid w:val="004B1A3B"/>
    <w:rsid w:val="004B3CB0"/>
    <w:rsid w:val="004C12C8"/>
    <w:rsid w:val="004D4139"/>
    <w:rsid w:val="004E5DFA"/>
    <w:rsid w:val="004E7DA2"/>
    <w:rsid w:val="0051556D"/>
    <w:rsid w:val="005206E5"/>
    <w:rsid w:val="00522002"/>
    <w:rsid w:val="00527676"/>
    <w:rsid w:val="00530716"/>
    <w:rsid w:val="005311E3"/>
    <w:rsid w:val="00531D1E"/>
    <w:rsid w:val="005346C0"/>
    <w:rsid w:val="00535297"/>
    <w:rsid w:val="005417FE"/>
    <w:rsid w:val="00541811"/>
    <w:rsid w:val="00546BC7"/>
    <w:rsid w:val="005552FF"/>
    <w:rsid w:val="00556962"/>
    <w:rsid w:val="00570CD3"/>
    <w:rsid w:val="005749AE"/>
    <w:rsid w:val="00574DD8"/>
    <w:rsid w:val="005778C2"/>
    <w:rsid w:val="00581DFF"/>
    <w:rsid w:val="00582CCE"/>
    <w:rsid w:val="005C7635"/>
    <w:rsid w:val="005D775A"/>
    <w:rsid w:val="005E5EE8"/>
    <w:rsid w:val="005F3F75"/>
    <w:rsid w:val="00605161"/>
    <w:rsid w:val="00615744"/>
    <w:rsid w:val="00626B9F"/>
    <w:rsid w:val="00631676"/>
    <w:rsid w:val="00634C94"/>
    <w:rsid w:val="00637853"/>
    <w:rsid w:val="00670D43"/>
    <w:rsid w:val="00684FD5"/>
    <w:rsid w:val="00686CAC"/>
    <w:rsid w:val="00686FE5"/>
    <w:rsid w:val="006871D7"/>
    <w:rsid w:val="00687D6E"/>
    <w:rsid w:val="006C1D6F"/>
    <w:rsid w:val="006D0B00"/>
    <w:rsid w:val="006E2D97"/>
    <w:rsid w:val="00705169"/>
    <w:rsid w:val="00724165"/>
    <w:rsid w:val="007529DB"/>
    <w:rsid w:val="00756532"/>
    <w:rsid w:val="0076224C"/>
    <w:rsid w:val="007641E7"/>
    <w:rsid w:val="007907FE"/>
    <w:rsid w:val="007924F8"/>
    <w:rsid w:val="007B4666"/>
    <w:rsid w:val="007C10E4"/>
    <w:rsid w:val="007C335A"/>
    <w:rsid w:val="007C4705"/>
    <w:rsid w:val="007F604C"/>
    <w:rsid w:val="0080055F"/>
    <w:rsid w:val="00813CCC"/>
    <w:rsid w:val="008213FB"/>
    <w:rsid w:val="008371C3"/>
    <w:rsid w:val="00844CAD"/>
    <w:rsid w:val="008474BD"/>
    <w:rsid w:val="00890786"/>
    <w:rsid w:val="00891E60"/>
    <w:rsid w:val="008A1696"/>
    <w:rsid w:val="008A48B6"/>
    <w:rsid w:val="008D2D43"/>
    <w:rsid w:val="008E51D7"/>
    <w:rsid w:val="008F071F"/>
    <w:rsid w:val="0090447A"/>
    <w:rsid w:val="0090768E"/>
    <w:rsid w:val="009103A7"/>
    <w:rsid w:val="00915689"/>
    <w:rsid w:val="00920D5E"/>
    <w:rsid w:val="009245DD"/>
    <w:rsid w:val="00930C55"/>
    <w:rsid w:val="00936EA5"/>
    <w:rsid w:val="009370C8"/>
    <w:rsid w:val="0094611A"/>
    <w:rsid w:val="009465B2"/>
    <w:rsid w:val="00962F65"/>
    <w:rsid w:val="0096365B"/>
    <w:rsid w:val="00971F89"/>
    <w:rsid w:val="0097548C"/>
    <w:rsid w:val="00975930"/>
    <w:rsid w:val="00981374"/>
    <w:rsid w:val="0099326C"/>
    <w:rsid w:val="009965F2"/>
    <w:rsid w:val="009A33FA"/>
    <w:rsid w:val="009A3ABF"/>
    <w:rsid w:val="009B1F45"/>
    <w:rsid w:val="009D2ACE"/>
    <w:rsid w:val="009F1075"/>
    <w:rsid w:val="009F21C6"/>
    <w:rsid w:val="009F5822"/>
    <w:rsid w:val="00A01B6A"/>
    <w:rsid w:val="00A14D40"/>
    <w:rsid w:val="00A4120A"/>
    <w:rsid w:val="00A47115"/>
    <w:rsid w:val="00A51BED"/>
    <w:rsid w:val="00A5310B"/>
    <w:rsid w:val="00A53C29"/>
    <w:rsid w:val="00A5627A"/>
    <w:rsid w:val="00A636FE"/>
    <w:rsid w:val="00A72C95"/>
    <w:rsid w:val="00A7667B"/>
    <w:rsid w:val="00A77923"/>
    <w:rsid w:val="00A84368"/>
    <w:rsid w:val="00A85557"/>
    <w:rsid w:val="00A85888"/>
    <w:rsid w:val="00A920E3"/>
    <w:rsid w:val="00A950EF"/>
    <w:rsid w:val="00A97B3E"/>
    <w:rsid w:val="00AA4BD4"/>
    <w:rsid w:val="00AA5762"/>
    <w:rsid w:val="00AB2FF8"/>
    <w:rsid w:val="00AB5CD5"/>
    <w:rsid w:val="00AC5280"/>
    <w:rsid w:val="00AD55EE"/>
    <w:rsid w:val="00AE251D"/>
    <w:rsid w:val="00AF21A7"/>
    <w:rsid w:val="00B05C3D"/>
    <w:rsid w:val="00B06E4D"/>
    <w:rsid w:val="00B11A2C"/>
    <w:rsid w:val="00B141C0"/>
    <w:rsid w:val="00B200FC"/>
    <w:rsid w:val="00B2301D"/>
    <w:rsid w:val="00B232C2"/>
    <w:rsid w:val="00B3143E"/>
    <w:rsid w:val="00B677F6"/>
    <w:rsid w:val="00B85BE1"/>
    <w:rsid w:val="00BA79D4"/>
    <w:rsid w:val="00BB2544"/>
    <w:rsid w:val="00BC1F3C"/>
    <w:rsid w:val="00BC48D2"/>
    <w:rsid w:val="00BC7813"/>
    <w:rsid w:val="00BE7DFB"/>
    <w:rsid w:val="00BF1614"/>
    <w:rsid w:val="00BF2E75"/>
    <w:rsid w:val="00C051AA"/>
    <w:rsid w:val="00C171BE"/>
    <w:rsid w:val="00C21B4D"/>
    <w:rsid w:val="00C22E09"/>
    <w:rsid w:val="00C25D05"/>
    <w:rsid w:val="00C27299"/>
    <w:rsid w:val="00C50872"/>
    <w:rsid w:val="00C72DDA"/>
    <w:rsid w:val="00C83E06"/>
    <w:rsid w:val="00CA00BA"/>
    <w:rsid w:val="00CB2D48"/>
    <w:rsid w:val="00CB346B"/>
    <w:rsid w:val="00CB7C70"/>
    <w:rsid w:val="00CC305E"/>
    <w:rsid w:val="00CD035C"/>
    <w:rsid w:val="00CE4218"/>
    <w:rsid w:val="00CF03D4"/>
    <w:rsid w:val="00CF5F85"/>
    <w:rsid w:val="00D0347F"/>
    <w:rsid w:val="00D0653B"/>
    <w:rsid w:val="00D13C34"/>
    <w:rsid w:val="00D16CA8"/>
    <w:rsid w:val="00D216EA"/>
    <w:rsid w:val="00D2335E"/>
    <w:rsid w:val="00D53A3C"/>
    <w:rsid w:val="00D5482D"/>
    <w:rsid w:val="00D56B3C"/>
    <w:rsid w:val="00D65B80"/>
    <w:rsid w:val="00D66384"/>
    <w:rsid w:val="00D73494"/>
    <w:rsid w:val="00D73BA8"/>
    <w:rsid w:val="00D91724"/>
    <w:rsid w:val="00D928A6"/>
    <w:rsid w:val="00D95B99"/>
    <w:rsid w:val="00DA02AF"/>
    <w:rsid w:val="00DA357B"/>
    <w:rsid w:val="00DA4C64"/>
    <w:rsid w:val="00DB4EBD"/>
    <w:rsid w:val="00DB68FB"/>
    <w:rsid w:val="00DC36EE"/>
    <w:rsid w:val="00DD3EA3"/>
    <w:rsid w:val="00DD47D4"/>
    <w:rsid w:val="00DF0546"/>
    <w:rsid w:val="00DF3C4F"/>
    <w:rsid w:val="00DF686D"/>
    <w:rsid w:val="00E01EE2"/>
    <w:rsid w:val="00E04C47"/>
    <w:rsid w:val="00E11019"/>
    <w:rsid w:val="00E3447C"/>
    <w:rsid w:val="00E36B3A"/>
    <w:rsid w:val="00E4549E"/>
    <w:rsid w:val="00E55547"/>
    <w:rsid w:val="00E64613"/>
    <w:rsid w:val="00E65985"/>
    <w:rsid w:val="00E66733"/>
    <w:rsid w:val="00E714F0"/>
    <w:rsid w:val="00E7240C"/>
    <w:rsid w:val="00E8614F"/>
    <w:rsid w:val="00E86C17"/>
    <w:rsid w:val="00E9773B"/>
    <w:rsid w:val="00EA11D5"/>
    <w:rsid w:val="00EB0CCC"/>
    <w:rsid w:val="00EB2F8C"/>
    <w:rsid w:val="00EB7AA3"/>
    <w:rsid w:val="00ED5A6D"/>
    <w:rsid w:val="00EF1FA8"/>
    <w:rsid w:val="00EF39C7"/>
    <w:rsid w:val="00EF6323"/>
    <w:rsid w:val="00F0264A"/>
    <w:rsid w:val="00F22E05"/>
    <w:rsid w:val="00F26F67"/>
    <w:rsid w:val="00F336C4"/>
    <w:rsid w:val="00F39262"/>
    <w:rsid w:val="00F40EF9"/>
    <w:rsid w:val="00F4202A"/>
    <w:rsid w:val="00F67D79"/>
    <w:rsid w:val="00F72A17"/>
    <w:rsid w:val="00F81268"/>
    <w:rsid w:val="00FA2E4B"/>
    <w:rsid w:val="00FA4DC3"/>
    <w:rsid w:val="00FA77CD"/>
    <w:rsid w:val="00FB1911"/>
    <w:rsid w:val="00FB1F2B"/>
    <w:rsid w:val="00FD6E56"/>
    <w:rsid w:val="00FF04B0"/>
    <w:rsid w:val="01218F9A"/>
    <w:rsid w:val="0128D4CB"/>
    <w:rsid w:val="012E2F0C"/>
    <w:rsid w:val="0177D4AA"/>
    <w:rsid w:val="01C667AB"/>
    <w:rsid w:val="01E0C3E1"/>
    <w:rsid w:val="01F29630"/>
    <w:rsid w:val="0217D7AB"/>
    <w:rsid w:val="025E46DD"/>
    <w:rsid w:val="02C23322"/>
    <w:rsid w:val="02ECC59A"/>
    <w:rsid w:val="02F237FF"/>
    <w:rsid w:val="0316C7D3"/>
    <w:rsid w:val="03458000"/>
    <w:rsid w:val="03A2C179"/>
    <w:rsid w:val="03BA3523"/>
    <w:rsid w:val="045D9DE1"/>
    <w:rsid w:val="0461149C"/>
    <w:rsid w:val="048D5567"/>
    <w:rsid w:val="04E4A88B"/>
    <w:rsid w:val="053E91DA"/>
    <w:rsid w:val="0550FB77"/>
    <w:rsid w:val="0560661A"/>
    <w:rsid w:val="057898BD"/>
    <w:rsid w:val="061FC9EA"/>
    <w:rsid w:val="06C96BEA"/>
    <w:rsid w:val="06F38A98"/>
    <w:rsid w:val="074B010A"/>
    <w:rsid w:val="075326F7"/>
    <w:rsid w:val="0798012A"/>
    <w:rsid w:val="07ACD2DD"/>
    <w:rsid w:val="07CCD61D"/>
    <w:rsid w:val="085B782F"/>
    <w:rsid w:val="086E08A8"/>
    <w:rsid w:val="0876329C"/>
    <w:rsid w:val="08838EAC"/>
    <w:rsid w:val="088FA52E"/>
    <w:rsid w:val="08941EB9"/>
    <w:rsid w:val="08EE2261"/>
    <w:rsid w:val="096981C4"/>
    <w:rsid w:val="0A09D909"/>
    <w:rsid w:val="0A650A04"/>
    <w:rsid w:val="0ABEE878"/>
    <w:rsid w:val="0AE7E19B"/>
    <w:rsid w:val="0B3ED17B"/>
    <w:rsid w:val="0B9571B9"/>
    <w:rsid w:val="0BA0DAE7"/>
    <w:rsid w:val="0C1D44E5"/>
    <w:rsid w:val="0C36A401"/>
    <w:rsid w:val="0C804400"/>
    <w:rsid w:val="0C84027C"/>
    <w:rsid w:val="0C883186"/>
    <w:rsid w:val="0CDD837A"/>
    <w:rsid w:val="0D0DA9FF"/>
    <w:rsid w:val="0D197F9B"/>
    <w:rsid w:val="0D28B284"/>
    <w:rsid w:val="0D4F451A"/>
    <w:rsid w:val="0D631651"/>
    <w:rsid w:val="0D7406F3"/>
    <w:rsid w:val="0DB91546"/>
    <w:rsid w:val="0E7C4A57"/>
    <w:rsid w:val="0EC4A3BE"/>
    <w:rsid w:val="0ECDA378"/>
    <w:rsid w:val="0F0B772A"/>
    <w:rsid w:val="0F0EEF32"/>
    <w:rsid w:val="0F28B65C"/>
    <w:rsid w:val="0F54E5A7"/>
    <w:rsid w:val="0F5D63E5"/>
    <w:rsid w:val="0FA27AE1"/>
    <w:rsid w:val="0FD98BE0"/>
    <w:rsid w:val="100F359E"/>
    <w:rsid w:val="10A30D2E"/>
    <w:rsid w:val="10F0B608"/>
    <w:rsid w:val="113C20E9"/>
    <w:rsid w:val="11C02C88"/>
    <w:rsid w:val="11C1F1F5"/>
    <w:rsid w:val="11EB3B7F"/>
    <w:rsid w:val="11EB8AE0"/>
    <w:rsid w:val="11F87ECD"/>
    <w:rsid w:val="1212B005"/>
    <w:rsid w:val="122C2D2F"/>
    <w:rsid w:val="122D00A8"/>
    <w:rsid w:val="124AEE62"/>
    <w:rsid w:val="124FFCA5"/>
    <w:rsid w:val="128C8669"/>
    <w:rsid w:val="129FFECA"/>
    <w:rsid w:val="12AF8332"/>
    <w:rsid w:val="12DA1BA3"/>
    <w:rsid w:val="12F34400"/>
    <w:rsid w:val="12F87630"/>
    <w:rsid w:val="13189C6B"/>
    <w:rsid w:val="1331B65B"/>
    <w:rsid w:val="1342D48C"/>
    <w:rsid w:val="13510842"/>
    <w:rsid w:val="137561CA"/>
    <w:rsid w:val="137E067A"/>
    <w:rsid w:val="1380495C"/>
    <w:rsid w:val="13B6F829"/>
    <w:rsid w:val="13B9AB30"/>
    <w:rsid w:val="1426F03F"/>
    <w:rsid w:val="142856CA"/>
    <w:rsid w:val="148B55E5"/>
    <w:rsid w:val="14A5E976"/>
    <w:rsid w:val="14CD86BC"/>
    <w:rsid w:val="15232BA2"/>
    <w:rsid w:val="1532FF38"/>
    <w:rsid w:val="153519E1"/>
    <w:rsid w:val="15469535"/>
    <w:rsid w:val="15CBB3F8"/>
    <w:rsid w:val="16272646"/>
    <w:rsid w:val="162D69B1"/>
    <w:rsid w:val="16677425"/>
    <w:rsid w:val="16718CA4"/>
    <w:rsid w:val="169E8B16"/>
    <w:rsid w:val="16AF8D76"/>
    <w:rsid w:val="1730A4F5"/>
    <w:rsid w:val="17B34FF3"/>
    <w:rsid w:val="17C4A68B"/>
    <w:rsid w:val="17EA81CB"/>
    <w:rsid w:val="184C04B3"/>
    <w:rsid w:val="184C3784"/>
    <w:rsid w:val="186CBAA3"/>
    <w:rsid w:val="187ABE72"/>
    <w:rsid w:val="18C6364D"/>
    <w:rsid w:val="18FBC7ED"/>
    <w:rsid w:val="196DC6F6"/>
    <w:rsid w:val="19A0F7DF"/>
    <w:rsid w:val="1A2870FC"/>
    <w:rsid w:val="1A353294"/>
    <w:rsid w:val="1A826651"/>
    <w:rsid w:val="1A97984E"/>
    <w:rsid w:val="1AA1B639"/>
    <w:rsid w:val="1B0284EF"/>
    <w:rsid w:val="1B3E170E"/>
    <w:rsid w:val="1B40D995"/>
    <w:rsid w:val="1B998165"/>
    <w:rsid w:val="1BCBE4AE"/>
    <w:rsid w:val="1C3368AF"/>
    <w:rsid w:val="1C4B542B"/>
    <w:rsid w:val="1C5C3D35"/>
    <w:rsid w:val="1C71741B"/>
    <w:rsid w:val="1C80FDE9"/>
    <w:rsid w:val="1C867830"/>
    <w:rsid w:val="1C86C116"/>
    <w:rsid w:val="1C905FC9"/>
    <w:rsid w:val="1CA154D1"/>
    <w:rsid w:val="1CC065FE"/>
    <w:rsid w:val="1CD49049"/>
    <w:rsid w:val="1CD898A1"/>
    <w:rsid w:val="1CE452F6"/>
    <w:rsid w:val="1CEAF1A0"/>
    <w:rsid w:val="1D2F81BD"/>
    <w:rsid w:val="1D71B93F"/>
    <w:rsid w:val="1D74DE4E"/>
    <w:rsid w:val="1D89AF92"/>
    <w:rsid w:val="1D9B81E1"/>
    <w:rsid w:val="1DB4AA28"/>
    <w:rsid w:val="1DEB654B"/>
    <w:rsid w:val="1DF50F7B"/>
    <w:rsid w:val="1DFE668A"/>
    <w:rsid w:val="1E236658"/>
    <w:rsid w:val="1E32EBF0"/>
    <w:rsid w:val="1E3D2532"/>
    <w:rsid w:val="1E858733"/>
    <w:rsid w:val="1EA9D88F"/>
    <w:rsid w:val="1ECCFB14"/>
    <w:rsid w:val="1EFB97EA"/>
    <w:rsid w:val="1F7B7535"/>
    <w:rsid w:val="1F842C09"/>
    <w:rsid w:val="1FB89EAB"/>
    <w:rsid w:val="1FBBE593"/>
    <w:rsid w:val="2000DFE9"/>
    <w:rsid w:val="20189628"/>
    <w:rsid w:val="20222C8B"/>
    <w:rsid w:val="204D5AE2"/>
    <w:rsid w:val="2059A56C"/>
    <w:rsid w:val="20713B14"/>
    <w:rsid w:val="2097684B"/>
    <w:rsid w:val="20B41486"/>
    <w:rsid w:val="2106D9D2"/>
    <w:rsid w:val="2148B2AE"/>
    <w:rsid w:val="215A3239"/>
    <w:rsid w:val="2163D0EC"/>
    <w:rsid w:val="2174C5F4"/>
    <w:rsid w:val="217AF38D"/>
    <w:rsid w:val="21B46689"/>
    <w:rsid w:val="223338AC"/>
    <w:rsid w:val="223B2632"/>
    <w:rsid w:val="225EF4AF"/>
    <w:rsid w:val="22B74E8A"/>
    <w:rsid w:val="23143EE6"/>
    <w:rsid w:val="23226EE4"/>
    <w:rsid w:val="232F3DF2"/>
    <w:rsid w:val="235EEF01"/>
    <w:rsid w:val="23634D6F"/>
    <w:rsid w:val="237BD3A6"/>
    <w:rsid w:val="237E7211"/>
    <w:rsid w:val="23AFCC42"/>
    <w:rsid w:val="23CF5342"/>
    <w:rsid w:val="23EA741A"/>
    <w:rsid w:val="23FAC510"/>
    <w:rsid w:val="244473CA"/>
    <w:rsid w:val="24797F7F"/>
    <w:rsid w:val="2497C9EC"/>
    <w:rsid w:val="24A96735"/>
    <w:rsid w:val="24B0051C"/>
    <w:rsid w:val="250CFEA8"/>
    <w:rsid w:val="2517A407"/>
    <w:rsid w:val="2544AC37"/>
    <w:rsid w:val="2572C6F4"/>
    <w:rsid w:val="2645BE39"/>
    <w:rsid w:val="2666528A"/>
    <w:rsid w:val="2666DEB4"/>
    <w:rsid w:val="26D61FD8"/>
    <w:rsid w:val="26F1C207"/>
    <w:rsid w:val="27177025"/>
    <w:rsid w:val="2717A60A"/>
    <w:rsid w:val="2717E4A6"/>
    <w:rsid w:val="271FD22C"/>
    <w:rsid w:val="27B12041"/>
    <w:rsid w:val="27CABE6E"/>
    <w:rsid w:val="27CBCFEC"/>
    <w:rsid w:val="27EEFC59"/>
    <w:rsid w:val="2836BE92"/>
    <w:rsid w:val="284FB9CD"/>
    <w:rsid w:val="2877B9DF"/>
    <w:rsid w:val="2878DDB4"/>
    <w:rsid w:val="288931B2"/>
    <w:rsid w:val="28A5FE0E"/>
    <w:rsid w:val="28CB661A"/>
    <w:rsid w:val="28E33DF8"/>
    <w:rsid w:val="293B1A36"/>
    <w:rsid w:val="298FA184"/>
    <w:rsid w:val="29A49552"/>
    <w:rsid w:val="29B9CC38"/>
    <w:rsid w:val="2A0B594E"/>
    <w:rsid w:val="2A1F2E73"/>
    <w:rsid w:val="2A57BD23"/>
    <w:rsid w:val="2A7F0E59"/>
    <w:rsid w:val="2A8F8F4D"/>
    <w:rsid w:val="2A91B63F"/>
    <w:rsid w:val="2AB32FCE"/>
    <w:rsid w:val="2B01147F"/>
    <w:rsid w:val="2B16F80D"/>
    <w:rsid w:val="2B320D84"/>
    <w:rsid w:val="2B33BD68"/>
    <w:rsid w:val="2B98F633"/>
    <w:rsid w:val="2BB0CF50"/>
    <w:rsid w:val="2BBAFED4"/>
    <w:rsid w:val="2BF38D84"/>
    <w:rsid w:val="2C1AE399"/>
    <w:rsid w:val="2C1BE722"/>
    <w:rsid w:val="2C24B33C"/>
    <w:rsid w:val="2C64251D"/>
    <w:rsid w:val="2C6A307A"/>
    <w:rsid w:val="2C9ADC3C"/>
    <w:rsid w:val="2CC6DD9F"/>
    <w:rsid w:val="2D03F6B8"/>
    <w:rsid w:val="2DD86A30"/>
    <w:rsid w:val="2DF20AE8"/>
    <w:rsid w:val="2E061204"/>
    <w:rsid w:val="2E2F8B1F"/>
    <w:rsid w:val="2E9AB98C"/>
    <w:rsid w:val="2EB13BF2"/>
    <w:rsid w:val="2F6F9D81"/>
    <w:rsid w:val="2F8DDB49"/>
    <w:rsid w:val="2FAA43A7"/>
    <w:rsid w:val="2FCCBA87"/>
    <w:rsid w:val="2FE1F16D"/>
    <w:rsid w:val="2FE42C56"/>
    <w:rsid w:val="2FEC19DC"/>
    <w:rsid w:val="2FED6519"/>
    <w:rsid w:val="3027F455"/>
    <w:rsid w:val="3037AEB2"/>
    <w:rsid w:val="305ECD2C"/>
    <w:rsid w:val="307A9AD2"/>
    <w:rsid w:val="30D95A7D"/>
    <w:rsid w:val="310310DA"/>
    <w:rsid w:val="310A5C3A"/>
    <w:rsid w:val="319D3520"/>
    <w:rsid w:val="31A4C554"/>
    <w:rsid w:val="32166B33"/>
    <w:rsid w:val="32752ADE"/>
    <w:rsid w:val="327ACC63"/>
    <w:rsid w:val="329A4DB4"/>
    <w:rsid w:val="3323BA9E"/>
    <w:rsid w:val="3332BA8C"/>
    <w:rsid w:val="334A9C26"/>
    <w:rsid w:val="3391F770"/>
    <w:rsid w:val="3392B1C0"/>
    <w:rsid w:val="33936D7C"/>
    <w:rsid w:val="33DD00B5"/>
    <w:rsid w:val="33F52335"/>
    <w:rsid w:val="3401C330"/>
    <w:rsid w:val="3454A347"/>
    <w:rsid w:val="34AA284F"/>
    <w:rsid w:val="34CCA21A"/>
    <w:rsid w:val="358A032A"/>
    <w:rsid w:val="3592380F"/>
    <w:rsid w:val="359A34FC"/>
    <w:rsid w:val="35B2FBDA"/>
    <w:rsid w:val="35E4B1DE"/>
    <w:rsid w:val="3613BE37"/>
    <w:rsid w:val="3663DA21"/>
    <w:rsid w:val="368968FE"/>
    <w:rsid w:val="368D6D5D"/>
    <w:rsid w:val="369AD4B8"/>
    <w:rsid w:val="36C777D1"/>
    <w:rsid w:val="36D2644C"/>
    <w:rsid w:val="36FF61CE"/>
    <w:rsid w:val="37230841"/>
    <w:rsid w:val="3735F5F6"/>
    <w:rsid w:val="380528E6"/>
    <w:rsid w:val="384A1FD5"/>
    <w:rsid w:val="388F16C4"/>
    <w:rsid w:val="38BE7CBE"/>
    <w:rsid w:val="38C3D0D0"/>
    <w:rsid w:val="3908192C"/>
    <w:rsid w:val="390B764D"/>
    <w:rsid w:val="399B2616"/>
    <w:rsid w:val="3A8F3DD6"/>
    <w:rsid w:val="3B10C2AF"/>
    <w:rsid w:val="3B2808AB"/>
    <w:rsid w:val="3B374B44"/>
    <w:rsid w:val="3B9E1ABA"/>
    <w:rsid w:val="3B9E4D8B"/>
    <w:rsid w:val="3B9E7A78"/>
    <w:rsid w:val="3BCB183C"/>
    <w:rsid w:val="3BF03EBC"/>
    <w:rsid w:val="3BFB0B16"/>
    <w:rsid w:val="3C2AB96A"/>
    <w:rsid w:val="3C54C89B"/>
    <w:rsid w:val="3C5538EB"/>
    <w:rsid w:val="3CCA9CE4"/>
    <w:rsid w:val="3CE44BE4"/>
    <w:rsid w:val="3D05AE9B"/>
    <w:rsid w:val="3D44BA24"/>
    <w:rsid w:val="3E1C9C4A"/>
    <w:rsid w:val="3E4B68F7"/>
    <w:rsid w:val="3E5FA96D"/>
    <w:rsid w:val="3E627DF5"/>
    <w:rsid w:val="3E801C45"/>
    <w:rsid w:val="3EA00CD5"/>
    <w:rsid w:val="3EA02F49"/>
    <w:rsid w:val="3EA85953"/>
    <w:rsid w:val="3EDB7DF3"/>
    <w:rsid w:val="3F2B9DFA"/>
    <w:rsid w:val="3F317EBD"/>
    <w:rsid w:val="3F331254"/>
    <w:rsid w:val="3F58A2AD"/>
    <w:rsid w:val="3F7B9DDB"/>
    <w:rsid w:val="3F7D8D56"/>
    <w:rsid w:val="3FC38A22"/>
    <w:rsid w:val="400AB1CF"/>
    <w:rsid w:val="402D3E5E"/>
    <w:rsid w:val="40615AB7"/>
    <w:rsid w:val="406CC680"/>
    <w:rsid w:val="40BE1CE5"/>
    <w:rsid w:val="40C71DDB"/>
    <w:rsid w:val="40CEE2B5"/>
    <w:rsid w:val="40F7D074"/>
    <w:rsid w:val="40F88463"/>
    <w:rsid w:val="41400B08"/>
    <w:rsid w:val="41869C38"/>
    <w:rsid w:val="419CFB64"/>
    <w:rsid w:val="41E07B63"/>
    <w:rsid w:val="421BFCB1"/>
    <w:rsid w:val="4246BD5B"/>
    <w:rsid w:val="425F0BBF"/>
    <w:rsid w:val="42633EBC"/>
    <w:rsid w:val="427AEFF9"/>
    <w:rsid w:val="4290436F"/>
    <w:rsid w:val="429A4FBB"/>
    <w:rsid w:val="42F659DE"/>
    <w:rsid w:val="43136B86"/>
    <w:rsid w:val="43352DFF"/>
    <w:rsid w:val="43744292"/>
    <w:rsid w:val="43FF0F1D"/>
    <w:rsid w:val="445758DB"/>
    <w:rsid w:val="4467C806"/>
    <w:rsid w:val="4482B5D0"/>
    <w:rsid w:val="44D6356C"/>
    <w:rsid w:val="44DDD8BD"/>
    <w:rsid w:val="44EAB36A"/>
    <w:rsid w:val="45FE94A6"/>
    <w:rsid w:val="46039867"/>
    <w:rsid w:val="464B0C48"/>
    <w:rsid w:val="466654ED"/>
    <w:rsid w:val="466F4441"/>
    <w:rsid w:val="4679A91E"/>
    <w:rsid w:val="467B81A8"/>
    <w:rsid w:val="468683CB"/>
    <w:rsid w:val="468C7818"/>
    <w:rsid w:val="46AB190B"/>
    <w:rsid w:val="46FC9306"/>
    <w:rsid w:val="474C19C0"/>
    <w:rsid w:val="47694438"/>
    <w:rsid w:val="47BA5692"/>
    <w:rsid w:val="47F5DDBC"/>
    <w:rsid w:val="47FC9B57"/>
    <w:rsid w:val="4803E18B"/>
    <w:rsid w:val="480F201C"/>
    <w:rsid w:val="48577785"/>
    <w:rsid w:val="4896C23E"/>
    <w:rsid w:val="4915F7BF"/>
    <w:rsid w:val="492CE5DF"/>
    <w:rsid w:val="492CF2AF"/>
    <w:rsid w:val="49402E8A"/>
    <w:rsid w:val="49436333"/>
    <w:rsid w:val="49583477"/>
    <w:rsid w:val="4961B3B8"/>
    <w:rsid w:val="496B1077"/>
    <w:rsid w:val="4982AD0A"/>
    <w:rsid w:val="499D2B66"/>
    <w:rsid w:val="4A300BAC"/>
    <w:rsid w:val="4A50F547"/>
    <w:rsid w:val="4A6A5389"/>
    <w:rsid w:val="4AF1F754"/>
    <w:rsid w:val="4B472680"/>
    <w:rsid w:val="4B93C114"/>
    <w:rsid w:val="4BBF0F3E"/>
    <w:rsid w:val="4BC2DEF7"/>
    <w:rsid w:val="4BD47744"/>
    <w:rsid w:val="4C0623EA"/>
    <w:rsid w:val="4C09D082"/>
    <w:rsid w:val="4C0A2833"/>
    <w:rsid w:val="4C88AB93"/>
    <w:rsid w:val="4D116458"/>
    <w:rsid w:val="4D135749"/>
    <w:rsid w:val="4D50D92E"/>
    <w:rsid w:val="4D52AC2D"/>
    <w:rsid w:val="4D585C29"/>
    <w:rsid w:val="4D677AC9"/>
    <w:rsid w:val="4DC6484B"/>
    <w:rsid w:val="4DD4C00F"/>
    <w:rsid w:val="4DE55978"/>
    <w:rsid w:val="4DF45DAD"/>
    <w:rsid w:val="4E02E1DC"/>
    <w:rsid w:val="4E106FB9"/>
    <w:rsid w:val="4E3CC3FA"/>
    <w:rsid w:val="4E6E0410"/>
    <w:rsid w:val="4E71022B"/>
    <w:rsid w:val="4E7DBABD"/>
    <w:rsid w:val="4E81748E"/>
    <w:rsid w:val="4E850538"/>
    <w:rsid w:val="4EE55381"/>
    <w:rsid w:val="4F0D5AAA"/>
    <w:rsid w:val="4F1A02F5"/>
    <w:rsid w:val="4F24666A"/>
    <w:rsid w:val="4F67FC2F"/>
    <w:rsid w:val="4FAA7AAD"/>
    <w:rsid w:val="4FCE01C0"/>
    <w:rsid w:val="4FCFF468"/>
    <w:rsid w:val="4FF94298"/>
    <w:rsid w:val="5020D599"/>
    <w:rsid w:val="5023D0B4"/>
    <w:rsid w:val="502E0821"/>
    <w:rsid w:val="50386422"/>
    <w:rsid w:val="5042EB89"/>
    <w:rsid w:val="50E80F32"/>
    <w:rsid w:val="50FB7AC7"/>
    <w:rsid w:val="50FDE90D"/>
    <w:rsid w:val="5148107B"/>
    <w:rsid w:val="5158280B"/>
    <w:rsid w:val="5169B092"/>
    <w:rsid w:val="51A7D8A4"/>
    <w:rsid w:val="51B55B7F"/>
    <w:rsid w:val="51BC5BC5"/>
    <w:rsid w:val="51C75FA4"/>
    <w:rsid w:val="51FFAA75"/>
    <w:rsid w:val="525E9133"/>
    <w:rsid w:val="52974090"/>
    <w:rsid w:val="52E95B09"/>
    <w:rsid w:val="53391008"/>
    <w:rsid w:val="53582C26"/>
    <w:rsid w:val="5358765B"/>
    <w:rsid w:val="5358DFEB"/>
    <w:rsid w:val="5381AF88"/>
    <w:rsid w:val="53828F5A"/>
    <w:rsid w:val="53F7D78D"/>
    <w:rsid w:val="54AAB681"/>
    <w:rsid w:val="54F446BC"/>
    <w:rsid w:val="55636E0E"/>
    <w:rsid w:val="557FF33A"/>
    <w:rsid w:val="55BC44BA"/>
    <w:rsid w:val="56219E24"/>
    <w:rsid w:val="562EFDC5"/>
    <w:rsid w:val="56361B1E"/>
    <w:rsid w:val="56931238"/>
    <w:rsid w:val="56E58383"/>
    <w:rsid w:val="5739AB26"/>
    <w:rsid w:val="574ACBBB"/>
    <w:rsid w:val="575E6010"/>
    <w:rsid w:val="578EBFE1"/>
    <w:rsid w:val="5793A2C9"/>
    <w:rsid w:val="579D4F41"/>
    <w:rsid w:val="57A25AE0"/>
    <w:rsid w:val="57A6B94E"/>
    <w:rsid w:val="57C86783"/>
    <w:rsid w:val="582BE77E"/>
    <w:rsid w:val="583CD820"/>
    <w:rsid w:val="58732AF5"/>
    <w:rsid w:val="587F7836"/>
    <w:rsid w:val="58A7BCDE"/>
    <w:rsid w:val="58D25515"/>
    <w:rsid w:val="58FE0DEB"/>
    <w:rsid w:val="59271665"/>
    <w:rsid w:val="593E2B41"/>
    <w:rsid w:val="597E007C"/>
    <w:rsid w:val="59B97447"/>
    <w:rsid w:val="5A083172"/>
    <w:rsid w:val="5A514504"/>
    <w:rsid w:val="5A99DE4C"/>
    <w:rsid w:val="5AA20840"/>
    <w:rsid w:val="5B31C94F"/>
    <w:rsid w:val="5B633E0B"/>
    <w:rsid w:val="5C17FEE8"/>
    <w:rsid w:val="5C2B11BD"/>
    <w:rsid w:val="5C3373C4"/>
    <w:rsid w:val="5C3E22D6"/>
    <w:rsid w:val="5C8033E2"/>
    <w:rsid w:val="5CD8638B"/>
    <w:rsid w:val="5CE02007"/>
    <w:rsid w:val="5CFE9341"/>
    <w:rsid w:val="5D1659DD"/>
    <w:rsid w:val="5D230212"/>
    <w:rsid w:val="5D65EEB5"/>
    <w:rsid w:val="5D760CC0"/>
    <w:rsid w:val="5D9ECA39"/>
    <w:rsid w:val="5EA37F1D"/>
    <w:rsid w:val="5ECE1FA9"/>
    <w:rsid w:val="5EE57717"/>
    <w:rsid w:val="5F1D2E43"/>
    <w:rsid w:val="5F62B27F"/>
    <w:rsid w:val="5F6C3CCC"/>
    <w:rsid w:val="5FDBA187"/>
    <w:rsid w:val="6023282C"/>
    <w:rsid w:val="60611262"/>
    <w:rsid w:val="6068ADD0"/>
    <w:rsid w:val="60699123"/>
    <w:rsid w:val="6070F27F"/>
    <w:rsid w:val="60DE481B"/>
    <w:rsid w:val="60EDBC8A"/>
    <w:rsid w:val="6109C1B6"/>
    <w:rsid w:val="611149C4"/>
    <w:rsid w:val="6126925F"/>
    <w:rsid w:val="6151D50C"/>
    <w:rsid w:val="618D0525"/>
    <w:rsid w:val="619D7EFE"/>
    <w:rsid w:val="61F16869"/>
    <w:rsid w:val="61FCFF10"/>
    <w:rsid w:val="6200E4DE"/>
    <w:rsid w:val="625BF242"/>
    <w:rsid w:val="6286ECEE"/>
    <w:rsid w:val="62943BFD"/>
    <w:rsid w:val="62A0E931"/>
    <w:rsid w:val="62AD645A"/>
    <w:rsid w:val="62C005DB"/>
    <w:rsid w:val="62D67848"/>
    <w:rsid w:val="63006943"/>
    <w:rsid w:val="6315A029"/>
    <w:rsid w:val="63266018"/>
    <w:rsid w:val="6369D066"/>
    <w:rsid w:val="636E4FF0"/>
    <w:rsid w:val="638B2129"/>
    <w:rsid w:val="639A1E58"/>
    <w:rsid w:val="643E85A9"/>
    <w:rsid w:val="646F8FA0"/>
    <w:rsid w:val="648BBD6D"/>
    <w:rsid w:val="64A7BD97"/>
    <w:rsid w:val="64D717FE"/>
    <w:rsid w:val="64DD6B1C"/>
    <w:rsid w:val="64EC81B5"/>
    <w:rsid w:val="64FE114F"/>
    <w:rsid w:val="6534085A"/>
    <w:rsid w:val="65BFF90E"/>
    <w:rsid w:val="65C12DAD"/>
    <w:rsid w:val="65CE03F4"/>
    <w:rsid w:val="65D4D5E5"/>
    <w:rsid w:val="65E5051C"/>
    <w:rsid w:val="6607B284"/>
    <w:rsid w:val="66158A99"/>
    <w:rsid w:val="66441656"/>
    <w:rsid w:val="668E5C78"/>
    <w:rsid w:val="66C65899"/>
    <w:rsid w:val="66D54123"/>
    <w:rsid w:val="66D7EF54"/>
    <w:rsid w:val="670B1CB7"/>
    <w:rsid w:val="672EC704"/>
    <w:rsid w:val="6761E5F5"/>
    <w:rsid w:val="67D6D472"/>
    <w:rsid w:val="67DE9410"/>
    <w:rsid w:val="6823582E"/>
    <w:rsid w:val="682DA299"/>
    <w:rsid w:val="6841C113"/>
    <w:rsid w:val="68952CC1"/>
    <w:rsid w:val="68D98A87"/>
    <w:rsid w:val="68F9C4DF"/>
    <w:rsid w:val="69037D81"/>
    <w:rsid w:val="69236851"/>
    <w:rsid w:val="69466CC5"/>
    <w:rsid w:val="6972A4D3"/>
    <w:rsid w:val="6A0CE1E5"/>
    <w:rsid w:val="6A0D3563"/>
    <w:rsid w:val="6A0E54A3"/>
    <w:rsid w:val="6A17D4C5"/>
    <w:rsid w:val="6A89648F"/>
    <w:rsid w:val="6A8BE24D"/>
    <w:rsid w:val="6A8E8F8E"/>
    <w:rsid w:val="6A92E89D"/>
    <w:rsid w:val="6A938B91"/>
    <w:rsid w:val="6A98469E"/>
    <w:rsid w:val="6AC01990"/>
    <w:rsid w:val="6AC8F9B1"/>
    <w:rsid w:val="6ADDE62E"/>
    <w:rsid w:val="6B2956BE"/>
    <w:rsid w:val="6B5C0A6E"/>
    <w:rsid w:val="6B60407F"/>
    <w:rsid w:val="6B7CCFD1"/>
    <w:rsid w:val="6B9589B3"/>
    <w:rsid w:val="6BAA2504"/>
    <w:rsid w:val="6BC1CF10"/>
    <w:rsid w:val="6BC4C357"/>
    <w:rsid w:val="6BD6A054"/>
    <w:rsid w:val="6C18E6B4"/>
    <w:rsid w:val="6CF72EF3"/>
    <w:rsid w:val="6CFD9DFC"/>
    <w:rsid w:val="6D27D841"/>
    <w:rsid w:val="6D2E087B"/>
    <w:rsid w:val="6D4B850B"/>
    <w:rsid w:val="6D50F726"/>
    <w:rsid w:val="6D61A12F"/>
    <w:rsid w:val="6DBCDB89"/>
    <w:rsid w:val="6DF3121C"/>
    <w:rsid w:val="6DF350AA"/>
    <w:rsid w:val="6E07E286"/>
    <w:rsid w:val="6EA4339A"/>
    <w:rsid w:val="6ECB5C3F"/>
    <w:rsid w:val="6EDAEAA0"/>
    <w:rsid w:val="6EE1C5C6"/>
    <w:rsid w:val="6F72BF05"/>
    <w:rsid w:val="6F8BE762"/>
    <w:rsid w:val="6FD08DF7"/>
    <w:rsid w:val="6FE1E657"/>
    <w:rsid w:val="70353EBE"/>
    <w:rsid w:val="705B02EE"/>
    <w:rsid w:val="705BD2E6"/>
    <w:rsid w:val="7070D36A"/>
    <w:rsid w:val="7074FB43"/>
    <w:rsid w:val="708325CD"/>
    <w:rsid w:val="70DD6025"/>
    <w:rsid w:val="712AF16C"/>
    <w:rsid w:val="712F5B14"/>
    <w:rsid w:val="7185A43E"/>
    <w:rsid w:val="71C09796"/>
    <w:rsid w:val="71CAE3EA"/>
    <w:rsid w:val="71E8A359"/>
    <w:rsid w:val="723404DB"/>
    <w:rsid w:val="72376988"/>
    <w:rsid w:val="729C8E9F"/>
    <w:rsid w:val="72C33DEF"/>
    <w:rsid w:val="7308512B"/>
    <w:rsid w:val="73204A98"/>
    <w:rsid w:val="7329F2DD"/>
    <w:rsid w:val="735D9464"/>
    <w:rsid w:val="736D72DB"/>
    <w:rsid w:val="7380AA23"/>
    <w:rsid w:val="7387E1B6"/>
    <w:rsid w:val="73BAC68F"/>
    <w:rsid w:val="73FBD88A"/>
    <w:rsid w:val="742C1D0D"/>
    <w:rsid w:val="743571D4"/>
    <w:rsid w:val="745F5885"/>
    <w:rsid w:val="746DCB10"/>
    <w:rsid w:val="74897184"/>
    <w:rsid w:val="749059F9"/>
    <w:rsid w:val="74AA3E12"/>
    <w:rsid w:val="74C3982F"/>
    <w:rsid w:val="74F9EEAB"/>
    <w:rsid w:val="7508AFE1"/>
    <w:rsid w:val="7523B217"/>
    <w:rsid w:val="75317EF2"/>
    <w:rsid w:val="75499496"/>
    <w:rsid w:val="75538AB7"/>
    <w:rsid w:val="7562E431"/>
    <w:rsid w:val="756BB04B"/>
    <w:rsid w:val="7597A8EB"/>
    <w:rsid w:val="75AC2912"/>
    <w:rsid w:val="75C7ED6E"/>
    <w:rsid w:val="75FADEB1"/>
    <w:rsid w:val="762C2A5A"/>
    <w:rsid w:val="76A2779E"/>
    <w:rsid w:val="76A48042"/>
    <w:rsid w:val="76DD66CD"/>
    <w:rsid w:val="76E43CC7"/>
    <w:rsid w:val="76EF5B18"/>
    <w:rsid w:val="76FEB492"/>
    <w:rsid w:val="77065BE6"/>
    <w:rsid w:val="779E9C98"/>
    <w:rsid w:val="77ECF83C"/>
    <w:rsid w:val="78042D44"/>
    <w:rsid w:val="7806BCFA"/>
    <w:rsid w:val="7812CEA7"/>
    <w:rsid w:val="7857705C"/>
    <w:rsid w:val="78AB2852"/>
    <w:rsid w:val="78CF49AD"/>
    <w:rsid w:val="790BD023"/>
    <w:rsid w:val="790E7DB8"/>
    <w:rsid w:val="791F5E13"/>
    <w:rsid w:val="79C5D7EA"/>
    <w:rsid w:val="79D7DFF6"/>
    <w:rsid w:val="79F3B53E"/>
    <w:rsid w:val="7A02B52C"/>
    <w:rsid w:val="7A0ACED9"/>
    <w:rsid w:val="7A155C5C"/>
    <w:rsid w:val="7A37998A"/>
    <w:rsid w:val="7A61F210"/>
    <w:rsid w:val="7A6B1A0E"/>
    <w:rsid w:val="7A865FFC"/>
    <w:rsid w:val="7A8BDBD5"/>
    <w:rsid w:val="7A9B5E91"/>
    <w:rsid w:val="7AAA4E19"/>
    <w:rsid w:val="7ABA0159"/>
    <w:rsid w:val="7AC46B0B"/>
    <w:rsid w:val="7ACA20CA"/>
    <w:rsid w:val="7ACE4FD4"/>
    <w:rsid w:val="7AEA77B2"/>
    <w:rsid w:val="7AF8B308"/>
    <w:rsid w:val="7B3B85EF"/>
    <w:rsid w:val="7BCF8F84"/>
    <w:rsid w:val="7C9B5E4C"/>
    <w:rsid w:val="7CBCF888"/>
    <w:rsid w:val="7CDBCF46"/>
    <w:rsid w:val="7D45E991"/>
    <w:rsid w:val="7DD6106C"/>
    <w:rsid w:val="7DEAE1B0"/>
    <w:rsid w:val="7E05F096"/>
    <w:rsid w:val="7E0898C3"/>
    <w:rsid w:val="7E2C708E"/>
    <w:rsid w:val="7E58C8E9"/>
    <w:rsid w:val="7F3E8B31"/>
    <w:rsid w:val="7FD284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5EC42816-B576-4A0B-ACB8-5C705AAA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392B1C0"/>
    <w:rPr>
      <w:rFonts w:cs="Calibri"/>
      <w:lang w:val="es-CO"/>
    </w:rPr>
  </w:style>
  <w:style w:type="paragraph" w:styleId="Ttulo1">
    <w:name w:val="heading 1"/>
    <w:basedOn w:val="Normal"/>
    <w:link w:val="Ttulo1Car"/>
    <w:uiPriority w:val="9"/>
    <w:qFormat/>
    <w:rsid w:val="3392B1C0"/>
    <w:pPr>
      <w:ind w:left="636" w:hanging="518"/>
      <w:outlineLvl w:val="0"/>
    </w:pPr>
    <w:rPr>
      <w:b/>
      <w:bCs/>
      <w:sz w:val="34"/>
      <w:szCs w:val="34"/>
    </w:rPr>
  </w:style>
  <w:style w:type="paragraph" w:styleId="Ttulo2">
    <w:name w:val="heading 2"/>
    <w:basedOn w:val="Normal"/>
    <w:next w:val="Normal"/>
    <w:link w:val="Ttulo2Car"/>
    <w:uiPriority w:val="9"/>
    <w:unhideWhenUsed/>
    <w:qFormat/>
    <w:rsid w:val="3392B1C0"/>
    <w:pPr>
      <w:keepNext/>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rsid w:val="3392B1C0"/>
    <w:pPr>
      <w:keepNext/>
      <w:spacing w:before="40"/>
      <w:outlineLvl w:val="2"/>
    </w:pPr>
    <w:rPr>
      <w:rFonts w:ascii="Cambria" w:eastAsia="MS Gothic" w:hAnsi="Cambria" w:cs="Times New Roman"/>
      <w:color w:val="243F60"/>
      <w:sz w:val="24"/>
      <w:szCs w:val="24"/>
    </w:rPr>
  </w:style>
  <w:style w:type="paragraph" w:styleId="Ttulo4">
    <w:name w:val="heading 4"/>
    <w:basedOn w:val="Normal"/>
    <w:next w:val="Normal"/>
    <w:link w:val="Ttulo4Car"/>
    <w:uiPriority w:val="9"/>
    <w:unhideWhenUsed/>
    <w:qFormat/>
    <w:rsid w:val="3392B1C0"/>
    <w:pPr>
      <w:keepNext/>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3392B1C0"/>
    <w:pPr>
      <w:keepNext/>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3392B1C0"/>
    <w:pPr>
      <w:keepNext/>
      <w:spacing w:before="4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3392B1C0"/>
    <w:pPr>
      <w:keepNext/>
      <w:spacing w:before="4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3392B1C0"/>
    <w:pPr>
      <w:keepNext/>
      <w:spacing w:before="4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3392B1C0"/>
    <w:pPr>
      <w:keepNext/>
      <w:spacing w:before="4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3392B1C0"/>
    <w:pPr>
      <w:ind w:left="1220"/>
    </w:pPr>
    <w:rPr>
      <w:sz w:val="24"/>
      <w:szCs w:val="24"/>
    </w:rPr>
  </w:style>
  <w:style w:type="paragraph" w:styleId="Ttulo">
    <w:name w:val="Title"/>
    <w:basedOn w:val="Normal"/>
    <w:link w:val="TtuloCar"/>
    <w:uiPriority w:val="10"/>
    <w:qFormat/>
    <w:rsid w:val="3392B1C0"/>
    <w:pPr>
      <w:spacing w:before="20" w:line="491" w:lineRule="exact"/>
      <w:ind w:left="1875" w:right="2213"/>
      <w:jc w:val="center"/>
    </w:pPr>
    <w:rPr>
      <w:sz w:val="41"/>
      <w:szCs w:val="41"/>
    </w:rPr>
  </w:style>
  <w:style w:type="paragraph" w:styleId="Prrafodelista">
    <w:name w:val="List Paragraph"/>
    <w:basedOn w:val="Normal"/>
    <w:uiPriority w:val="1"/>
    <w:qFormat/>
    <w:rsid w:val="3392B1C0"/>
    <w:pPr>
      <w:ind w:left="1220" w:hanging="235"/>
      <w:jc w:val="both"/>
    </w:pPr>
  </w:style>
  <w:style w:type="paragraph" w:customStyle="1" w:styleId="TableParagraph">
    <w:name w:val="Table Paragraph"/>
    <w:basedOn w:val="Normal"/>
    <w:uiPriority w:val="1"/>
    <w:rsid w:val="3392B1C0"/>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uiPriority w:val="1"/>
    <w:rsid w:val="3392B1C0"/>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uiPriority w:val="1"/>
    <w:rsid w:val="3392B1C0"/>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uiPriority w:val="1"/>
    <w:rsid w:val="3392B1C0"/>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uiPriority w:val="1"/>
    <w:rsid w:val="3392B1C0"/>
    <w:pPr>
      <w:spacing w:after="200"/>
    </w:pPr>
    <w:rPr>
      <w:i/>
      <w:iCs/>
      <w:color w:val="1F497D"/>
      <w:sz w:val="18"/>
      <w:szCs w:val="18"/>
    </w:rPr>
  </w:style>
  <w:style w:type="paragraph" w:styleId="Encabezado">
    <w:name w:val="header"/>
    <w:basedOn w:val="Normal"/>
    <w:uiPriority w:val="1"/>
    <w:rsid w:val="3392B1C0"/>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uiPriority w:val="1"/>
    <w:rsid w:val="3392B1C0"/>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3392B1C0"/>
    <w:rPr>
      <w:rFonts w:ascii="Calibri" w:eastAsia="Calibri" w:hAnsi="Calibri" w:cs="Calibri"/>
      <w:noProof w:val="0"/>
      <w:sz w:val="41"/>
      <w:szCs w:val="41"/>
      <w:lang w:val="es-CO"/>
    </w:rPr>
  </w:style>
  <w:style w:type="character" w:customStyle="1" w:styleId="TextoindependienteCar">
    <w:name w:val="Texto independiente Car"/>
    <w:basedOn w:val="Fuentedeprrafopredeter"/>
    <w:link w:val="Textoindependiente"/>
    <w:uiPriority w:val="1"/>
    <w:rsid w:val="3392B1C0"/>
    <w:rPr>
      <w:rFonts w:ascii="Calibri" w:eastAsia="Calibri" w:hAnsi="Calibri" w:cs="Calibri"/>
      <w:noProof w:val="0"/>
      <w:sz w:val="24"/>
      <w:szCs w:val="24"/>
      <w:lang w:val="es-CO"/>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uiPriority w:val="1"/>
    <w:rsid w:val="3392B1C0"/>
    <w:pPr>
      <w:widowControl/>
      <w:spacing w:beforeAutospacing="1" w:afterAutospacing="1"/>
    </w:pPr>
    <w:rPr>
      <w:rFonts w:ascii="Times New Roman" w:eastAsia="Times New Roman" w:hAnsi="Times New Roman" w:cs="Times New Roman"/>
      <w:sz w:val="24"/>
      <w:szCs w:val="24"/>
      <w:lang w:eastAsia="es-CO"/>
    </w:rPr>
  </w:style>
  <w:style w:type="paragraph" w:customStyle="1" w:styleId="xl63">
    <w:name w:val="xl63"/>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64">
    <w:name w:val="xl64"/>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5">
    <w:name w:val="xl65"/>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6">
    <w:name w:val="xl66"/>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67">
    <w:name w:val="xl67"/>
    <w:basedOn w:val="Normal"/>
    <w:uiPriority w:val="1"/>
    <w:rsid w:val="3392B1C0"/>
    <w:pPr>
      <w:widowControl/>
      <w:spacing w:beforeAutospacing="1" w:afterAutospacing="1"/>
      <w:jc w:val="center"/>
    </w:pPr>
    <w:rPr>
      <w:rFonts w:ascii="Times New Roman" w:eastAsia="Times New Roman" w:hAnsi="Times New Roman" w:cs="Times New Roman"/>
      <w:b/>
      <w:bCs/>
      <w:color w:val="000000" w:themeColor="text1"/>
      <w:sz w:val="16"/>
      <w:szCs w:val="16"/>
      <w:lang w:eastAsia="es-CO"/>
    </w:rPr>
  </w:style>
  <w:style w:type="paragraph" w:customStyle="1" w:styleId="xl68">
    <w:name w:val="xl68"/>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69">
    <w:name w:val="xl69"/>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0">
    <w:name w:val="xl70"/>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1">
    <w:name w:val="xl71"/>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2">
    <w:name w:val="xl72"/>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3">
    <w:name w:val="xl73"/>
    <w:basedOn w:val="Normal"/>
    <w:uiPriority w:val="1"/>
    <w:rsid w:val="3392B1C0"/>
    <w:pPr>
      <w:widowControl/>
      <w:spacing w:beforeAutospacing="1" w:afterAutospacing="1"/>
    </w:pPr>
    <w:rPr>
      <w:rFonts w:ascii="Times New Roman" w:eastAsia="Times New Roman" w:hAnsi="Times New Roman" w:cs="Times New Roman"/>
      <w:color w:val="FF0000"/>
      <w:sz w:val="16"/>
      <w:szCs w:val="16"/>
      <w:lang w:eastAsia="es-CO"/>
    </w:rPr>
  </w:style>
  <w:style w:type="paragraph" w:customStyle="1" w:styleId="xl74">
    <w:name w:val="xl74"/>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5">
    <w:name w:val="xl75"/>
    <w:basedOn w:val="Normal"/>
    <w:uiPriority w:val="1"/>
    <w:rsid w:val="3392B1C0"/>
    <w:pPr>
      <w:widowControl/>
      <w:spacing w:beforeAutospacing="1" w:afterAutospacing="1"/>
    </w:pPr>
    <w:rPr>
      <w:rFonts w:ascii="Times New Roman" w:eastAsia="Times New Roman" w:hAnsi="Times New Roman" w:cs="Times New Roman"/>
      <w:sz w:val="16"/>
      <w:szCs w:val="16"/>
      <w:lang w:eastAsia="es-CO"/>
    </w:rPr>
  </w:style>
  <w:style w:type="paragraph" w:customStyle="1" w:styleId="xl76">
    <w:name w:val="xl76"/>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77">
    <w:name w:val="xl77"/>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8">
    <w:name w:val="xl78"/>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79">
    <w:name w:val="xl79"/>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0">
    <w:name w:val="xl80"/>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1">
    <w:name w:val="xl81"/>
    <w:basedOn w:val="Normal"/>
    <w:uiPriority w:val="1"/>
    <w:rsid w:val="3392B1C0"/>
    <w:pPr>
      <w:widowControl/>
      <w:spacing w:beforeAutospacing="1" w:afterAutospacing="1"/>
      <w:jc w:val="center"/>
    </w:pPr>
    <w:rPr>
      <w:rFonts w:ascii="Times New Roman" w:eastAsia="Times New Roman" w:hAnsi="Times New Roman" w:cs="Times New Roman"/>
      <w:b/>
      <w:bCs/>
      <w:sz w:val="16"/>
      <w:szCs w:val="16"/>
      <w:lang w:eastAsia="es-CO"/>
    </w:rPr>
  </w:style>
  <w:style w:type="paragraph" w:customStyle="1" w:styleId="xl82">
    <w:name w:val="xl82"/>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3">
    <w:name w:val="xl83"/>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4">
    <w:name w:val="xl84"/>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5">
    <w:name w:val="xl85"/>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6">
    <w:name w:val="xl86"/>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7">
    <w:name w:val="xl87"/>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8">
    <w:name w:val="xl88"/>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paragraph" w:customStyle="1" w:styleId="xl89">
    <w:name w:val="xl89"/>
    <w:basedOn w:val="Normal"/>
    <w:uiPriority w:val="1"/>
    <w:rsid w:val="3392B1C0"/>
    <w:pPr>
      <w:widowControl/>
      <w:spacing w:beforeAutospacing="1" w:afterAutospacing="1"/>
      <w:jc w:val="center"/>
    </w:pPr>
    <w:rPr>
      <w:rFonts w:ascii="Times New Roman" w:eastAsia="Times New Roman" w:hAnsi="Times New Roman" w:cs="Times New Roman"/>
      <w:sz w:val="16"/>
      <w:szCs w:val="16"/>
      <w:lang w:eastAsia="es-CO"/>
    </w:rPr>
  </w:style>
  <w:style w:type="character" w:customStyle="1" w:styleId="Ttulo1Car">
    <w:name w:val="Título 1 Car"/>
    <w:basedOn w:val="Fuentedeprrafopredeter"/>
    <w:link w:val="Ttulo1"/>
    <w:uiPriority w:val="9"/>
    <w:rsid w:val="3392B1C0"/>
    <w:rPr>
      <w:rFonts w:ascii="Calibri" w:eastAsia="Calibri" w:hAnsi="Calibri" w:cs="Calibri"/>
      <w:b/>
      <w:bCs/>
      <w:noProof w:val="0"/>
      <w:sz w:val="34"/>
      <w:szCs w:val="34"/>
      <w:lang w:val="es-CO"/>
    </w:rPr>
  </w:style>
  <w:style w:type="paragraph" w:styleId="Subttulo">
    <w:name w:val="Subtitle"/>
    <w:basedOn w:val="Normal"/>
    <w:next w:val="Normal"/>
    <w:link w:val="SubttuloCar"/>
    <w:uiPriority w:val="11"/>
    <w:qFormat/>
    <w:rsid w:val="3392B1C0"/>
    <w:rPr>
      <w:rFonts w:eastAsiaTheme="minorEastAsia"/>
      <w:color w:val="5A5A5A"/>
    </w:rPr>
  </w:style>
  <w:style w:type="paragraph" w:styleId="Cita">
    <w:name w:val="Quote"/>
    <w:basedOn w:val="Normal"/>
    <w:next w:val="Normal"/>
    <w:link w:val="CitaCar"/>
    <w:uiPriority w:val="29"/>
    <w:qFormat/>
    <w:rsid w:val="3392B1C0"/>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3392B1C0"/>
    <w:pPr>
      <w:spacing w:before="360" w:after="360"/>
      <w:ind w:left="864" w:right="864"/>
      <w:jc w:val="center"/>
    </w:pPr>
    <w:rPr>
      <w:i/>
      <w:iCs/>
      <w:color w:val="4472C4" w:themeColor="accent1"/>
    </w:rPr>
  </w:style>
  <w:style w:type="character" w:customStyle="1" w:styleId="Ttulo2Car">
    <w:name w:val="Título 2 Car"/>
    <w:basedOn w:val="Fuentedeprrafopredeter"/>
    <w:link w:val="Ttulo2"/>
    <w:uiPriority w:val="9"/>
    <w:rsid w:val="3392B1C0"/>
    <w:rPr>
      <w:rFonts w:asciiTheme="majorHAnsi" w:eastAsiaTheme="majorEastAsia" w:hAnsiTheme="majorHAnsi" w:cstheme="majorBidi"/>
      <w:color w:val="2F5496" w:themeColor="accent1" w:themeShade="BF"/>
      <w:sz w:val="26"/>
      <w:szCs w:val="26"/>
      <w:lang w:val="es-CO"/>
    </w:rPr>
  </w:style>
  <w:style w:type="character" w:customStyle="1" w:styleId="Ttulo4Car">
    <w:name w:val="Título 4 Car"/>
    <w:basedOn w:val="Fuentedeprrafopredeter"/>
    <w:link w:val="Ttulo4"/>
    <w:uiPriority w:val="9"/>
    <w:rsid w:val="3392B1C0"/>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rsid w:val="3392B1C0"/>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rsid w:val="3392B1C0"/>
    <w:rPr>
      <w:rFonts w:asciiTheme="majorHAnsi" w:eastAsiaTheme="majorEastAsia" w:hAnsiTheme="majorHAnsi" w:cstheme="majorBidi"/>
      <w:color w:val="1F3763"/>
      <w:lang w:val="es-CO"/>
    </w:rPr>
  </w:style>
  <w:style w:type="character" w:customStyle="1" w:styleId="Ttulo7Car">
    <w:name w:val="Título 7 Car"/>
    <w:basedOn w:val="Fuentedeprrafopredeter"/>
    <w:link w:val="Ttulo7"/>
    <w:uiPriority w:val="9"/>
    <w:rsid w:val="3392B1C0"/>
    <w:rPr>
      <w:rFonts w:asciiTheme="majorHAnsi" w:eastAsiaTheme="majorEastAsia" w:hAnsiTheme="majorHAnsi" w:cstheme="majorBidi"/>
      <w:i/>
      <w:iCs/>
      <w:color w:val="1F3763"/>
      <w:lang w:val="es-CO"/>
    </w:rPr>
  </w:style>
  <w:style w:type="character" w:customStyle="1" w:styleId="Ttulo8Car">
    <w:name w:val="Título 8 Car"/>
    <w:basedOn w:val="Fuentedeprrafopredeter"/>
    <w:link w:val="Ttulo8"/>
    <w:uiPriority w:val="9"/>
    <w:rsid w:val="3392B1C0"/>
    <w:rPr>
      <w:rFonts w:asciiTheme="majorHAnsi" w:eastAsiaTheme="majorEastAsia" w:hAnsiTheme="majorHAnsi" w:cstheme="majorBidi"/>
      <w:color w:val="272727"/>
      <w:sz w:val="21"/>
      <w:szCs w:val="21"/>
      <w:lang w:val="es-CO"/>
    </w:rPr>
  </w:style>
  <w:style w:type="character" w:customStyle="1" w:styleId="Ttulo9Car">
    <w:name w:val="Título 9 Car"/>
    <w:basedOn w:val="Fuentedeprrafopredeter"/>
    <w:link w:val="Ttulo9"/>
    <w:uiPriority w:val="9"/>
    <w:rsid w:val="3392B1C0"/>
    <w:rPr>
      <w:rFonts w:asciiTheme="majorHAnsi" w:eastAsiaTheme="majorEastAsia" w:hAnsiTheme="majorHAnsi" w:cstheme="majorBidi"/>
      <w:i/>
      <w:iCs/>
      <w:color w:val="272727"/>
      <w:sz w:val="21"/>
      <w:szCs w:val="21"/>
      <w:lang w:val="es-CO"/>
    </w:rPr>
  </w:style>
  <w:style w:type="character" w:customStyle="1" w:styleId="SubttuloCar">
    <w:name w:val="Subtítulo Car"/>
    <w:basedOn w:val="Fuentedeprrafopredeter"/>
    <w:link w:val="Subttulo"/>
    <w:uiPriority w:val="11"/>
    <w:rsid w:val="3392B1C0"/>
    <w:rPr>
      <w:rFonts w:ascii="Calibri" w:eastAsiaTheme="minorEastAsia" w:hAnsi="Calibri" w:cs="Arial"/>
      <w:noProof w:val="0"/>
      <w:color w:val="5A5A5A"/>
      <w:lang w:val="es-CO"/>
    </w:rPr>
  </w:style>
  <w:style w:type="character" w:customStyle="1" w:styleId="CitaCar">
    <w:name w:val="Cita Car"/>
    <w:basedOn w:val="Fuentedeprrafopredeter"/>
    <w:link w:val="Cita"/>
    <w:uiPriority w:val="29"/>
    <w:rsid w:val="3392B1C0"/>
    <w:rPr>
      <w:i/>
      <w:iCs/>
      <w:noProof w:val="0"/>
      <w:color w:val="404040" w:themeColor="text1" w:themeTint="BF"/>
      <w:lang w:val="es-CO"/>
    </w:rPr>
  </w:style>
  <w:style w:type="character" w:customStyle="1" w:styleId="CitadestacadaCar">
    <w:name w:val="Cita destacada Car"/>
    <w:basedOn w:val="Fuentedeprrafopredeter"/>
    <w:link w:val="Citadestacada"/>
    <w:uiPriority w:val="30"/>
    <w:rsid w:val="3392B1C0"/>
    <w:rPr>
      <w:i/>
      <w:iCs/>
      <w:noProof w:val="0"/>
      <w:color w:val="4472C4" w:themeColor="accent1"/>
      <w:lang w:val="es-CO"/>
    </w:rPr>
  </w:style>
  <w:style w:type="paragraph" w:styleId="TDC1">
    <w:name w:val="toc 1"/>
    <w:basedOn w:val="Normal"/>
    <w:next w:val="Normal"/>
    <w:uiPriority w:val="39"/>
    <w:unhideWhenUsed/>
    <w:rsid w:val="3392B1C0"/>
    <w:pPr>
      <w:spacing w:after="100"/>
    </w:pPr>
  </w:style>
  <w:style w:type="paragraph" w:styleId="TDC2">
    <w:name w:val="toc 2"/>
    <w:basedOn w:val="Normal"/>
    <w:next w:val="Normal"/>
    <w:uiPriority w:val="39"/>
    <w:unhideWhenUsed/>
    <w:rsid w:val="3392B1C0"/>
    <w:pPr>
      <w:spacing w:after="100"/>
      <w:ind w:left="220"/>
    </w:pPr>
  </w:style>
  <w:style w:type="paragraph" w:styleId="TDC3">
    <w:name w:val="toc 3"/>
    <w:basedOn w:val="Normal"/>
    <w:next w:val="Normal"/>
    <w:uiPriority w:val="39"/>
    <w:unhideWhenUsed/>
    <w:rsid w:val="3392B1C0"/>
    <w:pPr>
      <w:spacing w:after="100"/>
      <w:ind w:left="440"/>
    </w:pPr>
  </w:style>
  <w:style w:type="paragraph" w:styleId="TDC4">
    <w:name w:val="toc 4"/>
    <w:basedOn w:val="Normal"/>
    <w:next w:val="Normal"/>
    <w:uiPriority w:val="39"/>
    <w:unhideWhenUsed/>
    <w:rsid w:val="3392B1C0"/>
    <w:pPr>
      <w:spacing w:after="100"/>
      <w:ind w:left="660"/>
    </w:pPr>
  </w:style>
  <w:style w:type="paragraph" w:styleId="TDC5">
    <w:name w:val="toc 5"/>
    <w:basedOn w:val="Normal"/>
    <w:next w:val="Normal"/>
    <w:uiPriority w:val="39"/>
    <w:unhideWhenUsed/>
    <w:rsid w:val="3392B1C0"/>
    <w:pPr>
      <w:spacing w:after="100"/>
      <w:ind w:left="880"/>
    </w:pPr>
  </w:style>
  <w:style w:type="paragraph" w:styleId="TDC6">
    <w:name w:val="toc 6"/>
    <w:basedOn w:val="Normal"/>
    <w:next w:val="Normal"/>
    <w:uiPriority w:val="39"/>
    <w:unhideWhenUsed/>
    <w:rsid w:val="3392B1C0"/>
    <w:pPr>
      <w:spacing w:after="100"/>
      <w:ind w:left="1100"/>
    </w:pPr>
  </w:style>
  <w:style w:type="paragraph" w:styleId="TDC7">
    <w:name w:val="toc 7"/>
    <w:basedOn w:val="Normal"/>
    <w:next w:val="Normal"/>
    <w:uiPriority w:val="39"/>
    <w:unhideWhenUsed/>
    <w:rsid w:val="3392B1C0"/>
    <w:pPr>
      <w:spacing w:after="100"/>
      <w:ind w:left="1320"/>
    </w:pPr>
  </w:style>
  <w:style w:type="paragraph" w:styleId="TDC8">
    <w:name w:val="toc 8"/>
    <w:basedOn w:val="Normal"/>
    <w:next w:val="Normal"/>
    <w:uiPriority w:val="39"/>
    <w:unhideWhenUsed/>
    <w:rsid w:val="3392B1C0"/>
    <w:pPr>
      <w:spacing w:after="100"/>
      <w:ind w:left="1540"/>
    </w:pPr>
  </w:style>
  <w:style w:type="paragraph" w:styleId="TDC9">
    <w:name w:val="toc 9"/>
    <w:basedOn w:val="Normal"/>
    <w:next w:val="Normal"/>
    <w:uiPriority w:val="39"/>
    <w:unhideWhenUsed/>
    <w:rsid w:val="3392B1C0"/>
    <w:pPr>
      <w:spacing w:after="100"/>
      <w:ind w:left="1760"/>
    </w:pPr>
  </w:style>
  <w:style w:type="paragraph" w:styleId="Textonotaalfinal">
    <w:name w:val="endnote text"/>
    <w:basedOn w:val="Normal"/>
    <w:link w:val="TextonotaalfinalCar"/>
    <w:uiPriority w:val="99"/>
    <w:semiHidden/>
    <w:unhideWhenUsed/>
    <w:rsid w:val="3392B1C0"/>
    <w:rPr>
      <w:sz w:val="20"/>
      <w:szCs w:val="20"/>
    </w:rPr>
  </w:style>
  <w:style w:type="character" w:customStyle="1" w:styleId="TextonotaalfinalCar">
    <w:name w:val="Texto nota al final Car"/>
    <w:basedOn w:val="Fuentedeprrafopredeter"/>
    <w:link w:val="Textonotaalfinal"/>
    <w:uiPriority w:val="99"/>
    <w:semiHidden/>
    <w:rsid w:val="3392B1C0"/>
    <w:rPr>
      <w:rFonts w:cs="Calibri"/>
      <w:sz w:val="20"/>
      <w:szCs w:val="20"/>
      <w:lang w:val="es-CO"/>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conformatoprevio">
    <w:name w:val="HTML Preformatted"/>
    <w:basedOn w:val="Normal"/>
    <w:link w:val="HTMLconformatoprevioCar"/>
    <w:uiPriority w:val="99"/>
    <w:semiHidden/>
    <w:unhideWhenUsed/>
    <w:rsid w:val="003C2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C2826"/>
    <w:rPr>
      <w:rFonts w:ascii="Courier New" w:eastAsia="Times New Roman" w:hAnsi="Courier New" w:cs="Courier New"/>
      <w:sz w:val="20"/>
      <w:szCs w:val="20"/>
      <w:lang w:val="es-CO" w:eastAsia="es-CO"/>
    </w:rPr>
  </w:style>
  <w:style w:type="character" w:customStyle="1" w:styleId="y2iqfc">
    <w:name w:val="y2iqfc"/>
    <w:basedOn w:val="Fuentedeprrafopredeter"/>
    <w:rsid w:val="003C2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63299">
      <w:bodyDiv w:val="1"/>
      <w:marLeft w:val="0"/>
      <w:marRight w:val="0"/>
      <w:marTop w:val="0"/>
      <w:marBottom w:val="0"/>
      <w:divBdr>
        <w:top w:val="none" w:sz="0" w:space="0" w:color="auto"/>
        <w:left w:val="none" w:sz="0" w:space="0" w:color="auto"/>
        <w:bottom w:val="none" w:sz="0" w:space="0" w:color="auto"/>
        <w:right w:val="none" w:sz="0" w:space="0" w:color="auto"/>
      </w:divBdr>
    </w:div>
    <w:div w:id="1301808764">
      <w:bodyDiv w:val="1"/>
      <w:marLeft w:val="0"/>
      <w:marRight w:val="0"/>
      <w:marTop w:val="0"/>
      <w:marBottom w:val="0"/>
      <w:divBdr>
        <w:top w:val="none" w:sz="0" w:space="0" w:color="auto"/>
        <w:left w:val="none" w:sz="0" w:space="0" w:color="auto"/>
        <w:bottom w:val="none" w:sz="0" w:space="0" w:color="auto"/>
        <w:right w:val="none" w:sz="0" w:space="0" w:color="auto"/>
      </w:divBdr>
    </w:div>
    <w:div w:id="185317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9220/csam.2022.29.1.041"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articles/economics/08/crude-and-gas-prices.a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2804</Words>
  <Characters>15422</Characters>
  <Application>Microsoft Office Word</Application>
  <DocSecurity>0</DocSecurity>
  <Lines>128</Lines>
  <Paragraphs>36</Paragraphs>
  <ScaleCrop>false</ScaleCrop>
  <Company/>
  <LinksUpToDate>false</LinksUpToDate>
  <CharactersWithSpaces>18190</CharactersWithSpaces>
  <SharedDoc>false</SharedDoc>
  <HLinks>
    <vt:vector size="12" baseType="variant">
      <vt:variant>
        <vt:i4>2556018</vt:i4>
      </vt:variant>
      <vt:variant>
        <vt:i4>3</vt:i4>
      </vt:variant>
      <vt:variant>
        <vt:i4>0</vt:i4>
      </vt:variant>
      <vt:variant>
        <vt:i4>5</vt:i4>
      </vt:variant>
      <vt:variant>
        <vt:lpwstr>https://www.investopedia.com/articles/economics/08/crude-and-gas-prices.asp</vt:lpwstr>
      </vt:variant>
      <vt:variant>
        <vt:lpwstr/>
      </vt:variant>
      <vt:variant>
        <vt:i4>2424950</vt:i4>
      </vt:variant>
      <vt:variant>
        <vt:i4>0</vt:i4>
      </vt:variant>
      <vt:variant>
        <vt:i4>0</vt:i4>
      </vt:variant>
      <vt:variant>
        <vt:i4>5</vt:i4>
      </vt:variant>
      <vt:variant>
        <vt:lpwstr>https://doi.org/10.29220/csam.2022.29.1.041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keywords/>
  <cp:lastModifiedBy>Oscar Cortes</cp:lastModifiedBy>
  <cp:revision>2</cp:revision>
  <cp:lastPrinted>2022-06-28T09:59:00Z</cp:lastPrinted>
  <dcterms:created xsi:type="dcterms:W3CDTF">2022-08-03T04:50:00Z</dcterms:created>
  <dcterms:modified xsi:type="dcterms:W3CDTF">2022-08-03T04:50:00Z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