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ACEA5" w14:textId="653397B0" w:rsidR="004373B4" w:rsidRPr="0068542B" w:rsidRDefault="004373B4">
      <w:pPr>
        <w:rPr>
          <w:b/>
          <w:bCs/>
        </w:rPr>
      </w:pPr>
      <w:r w:rsidRPr="0068542B">
        <w:rPr>
          <w:b/>
          <w:bCs/>
        </w:rPr>
        <w:t xml:space="preserve">Project 1 Overview: </w:t>
      </w:r>
      <w:r w:rsidR="00AC281E">
        <w:t>F</w:t>
      </w:r>
      <w:r w:rsidRPr="0068542B">
        <w:t xml:space="preserve">inding and analyzing a dataset of </w:t>
      </w:r>
      <w:r w:rsidR="0068542B">
        <w:t>our</w:t>
      </w:r>
      <w:r w:rsidRPr="0068542B">
        <w:t xml:space="preserve"> choice</w:t>
      </w:r>
    </w:p>
    <w:p w14:paraId="3A1A0472" w14:textId="5351DF55" w:rsidR="000C5076" w:rsidRDefault="004373B4" w:rsidP="00DF423D">
      <w:r w:rsidRPr="0068542B">
        <w:rPr>
          <w:b/>
          <w:bCs/>
        </w:rPr>
        <w:t>Project idea</w:t>
      </w:r>
      <w:r>
        <w:t xml:space="preserve">: </w:t>
      </w:r>
      <w:r w:rsidRPr="004373B4">
        <w:t xml:space="preserve">Analysis of </w:t>
      </w:r>
      <w:r w:rsidR="0043388F">
        <w:t>p</w:t>
      </w:r>
      <w:r w:rsidRPr="004373B4">
        <w:t xml:space="preserve">hysical </w:t>
      </w:r>
      <w:r w:rsidR="0043388F">
        <w:t>a</w:t>
      </w:r>
      <w:r w:rsidRPr="004373B4">
        <w:t xml:space="preserve">ctivity </w:t>
      </w:r>
      <w:r w:rsidR="0043388F">
        <w:t>a</w:t>
      </w:r>
      <w:r w:rsidRPr="004373B4">
        <w:t xml:space="preserve">cross </w:t>
      </w:r>
      <w:r w:rsidR="000A2B43">
        <w:t>different a</w:t>
      </w:r>
      <w:r w:rsidRPr="004373B4">
        <w:t xml:space="preserve">ge </w:t>
      </w:r>
      <w:r w:rsidR="000A2B43">
        <w:t>g</w:t>
      </w:r>
      <w:r w:rsidRPr="004373B4">
        <w:t>roups</w:t>
      </w:r>
      <w:r w:rsidR="00073E21">
        <w:t xml:space="preserve"> </w:t>
      </w:r>
      <w:r w:rsidR="00A608A0">
        <w:t xml:space="preserve">in the years 2020, 2021, and 2022 </w:t>
      </w:r>
      <w:r w:rsidR="00BA5305">
        <w:t>in</w:t>
      </w:r>
      <w:r w:rsidR="00073E21">
        <w:t xml:space="preserve"> </w:t>
      </w:r>
      <w:r w:rsidR="00A02B1A">
        <w:t>the</w:t>
      </w:r>
      <w:r w:rsidR="00073E21">
        <w:t xml:space="preserve"> US.</w:t>
      </w:r>
      <w:r w:rsidR="00A02B1A">
        <w:t xml:space="preserve"> The scope of our analysis </w:t>
      </w:r>
      <w:r w:rsidR="00C33195">
        <w:t>will focus</w:t>
      </w:r>
      <w:r w:rsidR="008D78EA">
        <w:t xml:space="preserve"> on </w:t>
      </w:r>
      <w:r w:rsidRPr="004373B4">
        <w:t xml:space="preserve">physical activity </w:t>
      </w:r>
      <w:r w:rsidR="00C851BB">
        <w:t xml:space="preserve">in relation to obesity </w:t>
      </w:r>
      <w:r w:rsidR="00EA4A19">
        <w:t>and</w:t>
      </w:r>
      <w:r w:rsidR="00C851BB">
        <w:t xml:space="preserve"> overweigh</w:t>
      </w:r>
      <w:r w:rsidR="00E8765E">
        <w:t>t</w:t>
      </w:r>
      <w:r w:rsidR="00477CF9">
        <w:t xml:space="preserve"> </w:t>
      </w:r>
      <w:r w:rsidR="00D12663">
        <w:t>conditions</w:t>
      </w:r>
      <w:r w:rsidR="00E8765E">
        <w:t>,</w:t>
      </w:r>
      <w:r w:rsidR="005A22A4">
        <w:t xml:space="preserve"> percent </w:t>
      </w:r>
      <w:r w:rsidR="001B31BB" w:rsidRPr="001B31BB">
        <w:t>of adults who engage in no leisure-time physical activity</w:t>
      </w:r>
      <w:r w:rsidR="005A22A4">
        <w:t xml:space="preserve">, </w:t>
      </w:r>
      <w:r w:rsidR="00477CF9">
        <w:t xml:space="preserve">and </w:t>
      </w:r>
      <w:r w:rsidR="007D650F">
        <w:t xml:space="preserve">eating </w:t>
      </w:r>
      <w:r w:rsidR="00A24F19">
        <w:t>habits</w:t>
      </w:r>
      <w:r w:rsidR="00452F3F">
        <w:t xml:space="preserve"> in relation to </w:t>
      </w:r>
      <w:r w:rsidR="00452F3F" w:rsidRPr="00452F3F">
        <w:t>fruit and vegetable</w:t>
      </w:r>
      <w:r w:rsidR="00452F3F">
        <w:t>s c</w:t>
      </w:r>
      <w:r w:rsidR="00452F3F" w:rsidRPr="00452F3F">
        <w:t>onsumption</w:t>
      </w:r>
      <w:r w:rsidR="00452F3F">
        <w:t xml:space="preserve">. </w:t>
      </w:r>
      <w:r w:rsidR="00797182">
        <w:t xml:space="preserve">Our findings </w:t>
      </w:r>
      <w:r w:rsidR="005D3A8B">
        <w:t>will identify</w:t>
      </w:r>
      <w:r w:rsidR="00797182">
        <w:t xml:space="preserve"> </w:t>
      </w:r>
      <w:r w:rsidR="002E7D45">
        <w:t>where</w:t>
      </w:r>
      <w:r w:rsidR="00705930">
        <w:t xml:space="preserve"> the US, as a whole, </w:t>
      </w:r>
      <w:r w:rsidR="002E7D45">
        <w:t xml:space="preserve">falls in </w:t>
      </w:r>
      <w:r w:rsidR="00DF4DF2">
        <w:t>obesity and overweight, and</w:t>
      </w:r>
      <w:r w:rsidR="00DF4DF2" w:rsidRPr="00DF4DF2">
        <w:t xml:space="preserve"> fruit and vegetables consumption. </w:t>
      </w:r>
      <w:r w:rsidR="00E27DD8">
        <w:t xml:space="preserve">It </w:t>
      </w:r>
      <w:r w:rsidR="00C33195">
        <w:t xml:space="preserve">will </w:t>
      </w:r>
      <w:r w:rsidR="00E27DD8">
        <w:t>also identif</w:t>
      </w:r>
      <w:r w:rsidR="00C33195">
        <w:t>y</w:t>
      </w:r>
      <w:r w:rsidR="00E27DD8">
        <w:t xml:space="preserve"> the highest and lowest ranking US state in these</w:t>
      </w:r>
      <w:r w:rsidR="00FF69E4">
        <w:t xml:space="preserve"> two</w:t>
      </w:r>
      <w:r w:rsidR="00E27DD8">
        <w:t xml:space="preserve"> categories</w:t>
      </w:r>
      <w:r w:rsidR="00DF423D">
        <w:t xml:space="preserve"> </w:t>
      </w:r>
      <w:r w:rsidR="001F51D3">
        <w:t>among</w:t>
      </w:r>
      <w:r w:rsidR="00DF423D">
        <w:t xml:space="preserve"> </w:t>
      </w:r>
      <w:r w:rsidR="00DF423D" w:rsidRPr="00DF423D">
        <w:t>different</w:t>
      </w:r>
      <w:r w:rsidR="008D3D77" w:rsidRPr="00DF423D">
        <w:t xml:space="preserve"> age group</w:t>
      </w:r>
      <w:r w:rsidR="00DF423D" w:rsidRPr="00DF423D">
        <w:t>s.</w:t>
      </w:r>
      <w:r w:rsidR="00DF423D">
        <w:t xml:space="preserve"> </w:t>
      </w:r>
      <w:r w:rsidR="00A21298">
        <w:t xml:space="preserve">The data findings will be used to identify a possible correlation between physical activity and eating habits. </w:t>
      </w:r>
      <w:r w:rsidR="008A0D16">
        <w:t>This analysis</w:t>
      </w:r>
      <w:r w:rsidR="001524D7">
        <w:t xml:space="preserve"> </w:t>
      </w:r>
      <w:r w:rsidR="00EB49DE">
        <w:t>could</w:t>
      </w:r>
      <w:r w:rsidR="001524D7">
        <w:t xml:space="preserve"> be </w:t>
      </w:r>
      <w:r w:rsidR="001F51D3">
        <w:t xml:space="preserve">a useful tool </w:t>
      </w:r>
      <w:r w:rsidR="006A27C8">
        <w:t xml:space="preserve">for </w:t>
      </w:r>
      <w:r w:rsidR="00FF5D61">
        <w:t xml:space="preserve">US </w:t>
      </w:r>
      <w:r w:rsidR="003215EF">
        <w:t xml:space="preserve">federal </w:t>
      </w:r>
      <w:r w:rsidR="00FD7DBD">
        <w:t xml:space="preserve">and state </w:t>
      </w:r>
      <w:r w:rsidR="003215EF">
        <w:t xml:space="preserve">agencies </w:t>
      </w:r>
      <w:r w:rsidR="001F51D3">
        <w:t xml:space="preserve">to </w:t>
      </w:r>
      <w:r w:rsidR="002D0BA3">
        <w:t>develop customized</w:t>
      </w:r>
      <w:r w:rsidR="00881EDE">
        <w:t xml:space="preserve"> programs to</w:t>
      </w:r>
      <w:r w:rsidR="002F48DE">
        <w:t xml:space="preserve"> </w:t>
      </w:r>
      <w:r w:rsidR="00881EDE">
        <w:t xml:space="preserve">support </w:t>
      </w:r>
      <w:r w:rsidR="00681D69">
        <w:t xml:space="preserve">states </w:t>
      </w:r>
      <w:r w:rsidR="00881EDE">
        <w:t>with</w:t>
      </w:r>
      <w:r w:rsidR="00EB49DE">
        <w:t xml:space="preserve"> a </w:t>
      </w:r>
      <w:r w:rsidR="006B7821">
        <w:t>higher risk of developing obesity-related conditions</w:t>
      </w:r>
      <w:r w:rsidR="00C41FFA">
        <w:t xml:space="preserve">. </w:t>
      </w:r>
      <w:r w:rsidR="00EB49DE">
        <w:t xml:space="preserve"> </w:t>
      </w:r>
    </w:p>
    <w:p w14:paraId="2F32C48C" w14:textId="6EB53E5B" w:rsidR="002F2710" w:rsidRDefault="00BC3A7B" w:rsidP="00DF423D">
      <w:r>
        <w:t xml:space="preserve">Our analysis was </w:t>
      </w:r>
      <w:r w:rsidR="008F48EA">
        <w:t>r</w:t>
      </w:r>
      <w:r w:rsidR="0009620B">
        <w:t>u</w:t>
      </w:r>
      <w:r w:rsidR="008F48EA">
        <w:t>n</w:t>
      </w:r>
      <w:r>
        <w:t xml:space="preserve"> </w:t>
      </w:r>
      <w:r w:rsidR="00C31129">
        <w:t>by</w:t>
      </w:r>
      <w:r>
        <w:t xml:space="preserve"> the API from T</w:t>
      </w:r>
      <w:r w:rsidR="002F2710" w:rsidRPr="002F2710">
        <w:t>he Behavioral Risk Factor Surveillance System (BRFSS)</w:t>
      </w:r>
      <w:r w:rsidR="0009620B">
        <w:t>. The BRFSS is the</w:t>
      </w:r>
      <w:r w:rsidR="002F2710" w:rsidRPr="002F2710">
        <w:t xml:space="preserve"> </w:t>
      </w:r>
      <w:r w:rsidR="00B700BD">
        <w:t>US</w:t>
      </w:r>
      <w:r w:rsidR="002F2710" w:rsidRPr="002F2710">
        <w:t xml:space="preserve"> system of health-related telephone surveys that collect</w:t>
      </w:r>
      <w:r w:rsidR="0009620B">
        <w:t>s</w:t>
      </w:r>
      <w:r w:rsidR="002F2710" w:rsidRPr="002F2710">
        <w:t xml:space="preserve"> state data about U.S. residents regarding their health-related risk behaviors, chronic health conditions, and use of preventive services. </w:t>
      </w:r>
    </w:p>
    <w:p w14:paraId="56F56442" w14:textId="668C4B58" w:rsidR="00C22FDE" w:rsidRDefault="00C22FDE" w:rsidP="00F86E4C">
      <w:pPr>
        <w:pStyle w:val="ListParagraph"/>
        <w:numPr>
          <w:ilvl w:val="0"/>
          <w:numId w:val="17"/>
        </w:numPr>
      </w:pPr>
      <w:r>
        <w:t>P</w:t>
      </w:r>
      <w:r w:rsidR="009B54BE" w:rsidRPr="009B54BE">
        <w:t>hysical activity in relation to obesity and overweight conditions</w:t>
      </w:r>
      <w:r w:rsidR="00023727">
        <w:t xml:space="preserve"> - </w:t>
      </w:r>
      <w:r w:rsidR="00023727" w:rsidRPr="00023727">
        <w:rPr>
          <w:b/>
          <w:bCs/>
        </w:rPr>
        <w:t>Sadaf</w:t>
      </w:r>
    </w:p>
    <w:p w14:paraId="0D3643F3" w14:textId="0F9702DF" w:rsidR="00CB37FF" w:rsidRDefault="00DB0DBF" w:rsidP="00CB37FF">
      <w:pPr>
        <w:pStyle w:val="ListParagraph"/>
        <w:ind w:left="1440"/>
      </w:pPr>
      <w:r>
        <w:t>Overall,</w:t>
      </w:r>
      <w:r w:rsidR="00CB37FF">
        <w:t xml:space="preserve"> the </w:t>
      </w:r>
      <w:r>
        <w:t>statistical</w:t>
      </w:r>
      <w:r w:rsidR="00CB37FF">
        <w:t xml:space="preserve"> summary and visualizations of Obesity and overweight classification on different age-groups indicates:</w:t>
      </w:r>
    </w:p>
    <w:p w14:paraId="75D9853C" w14:textId="5EB25F5C" w:rsidR="00CB37FF" w:rsidRDefault="00CB37FF" w:rsidP="00CB37FF">
      <w:pPr>
        <w:pStyle w:val="ListParagraph"/>
        <w:ind w:left="1440"/>
      </w:pPr>
      <w:r>
        <w:t xml:space="preserve">a) Observing the mean value of Obesity percentage for different age-groups we can see that obesity percentage generally increase with age especially peaking in the 45 - 54 age range. (The higher the mean value the </w:t>
      </w:r>
      <w:r w:rsidR="00D377CD">
        <w:t>possibilities</w:t>
      </w:r>
      <w:r>
        <w:t xml:space="preserve"> of obesity </w:t>
      </w:r>
      <w:proofErr w:type="gramStart"/>
      <w:r>
        <w:t>is</w:t>
      </w:r>
      <w:proofErr w:type="gramEnd"/>
      <w:r>
        <w:t xml:space="preserve"> more on that age-group)</w:t>
      </w:r>
    </w:p>
    <w:p w14:paraId="34D94556" w14:textId="77777777" w:rsidR="00CB37FF" w:rsidRDefault="00CB37FF" w:rsidP="00CB37FF">
      <w:pPr>
        <w:pStyle w:val="ListParagraph"/>
        <w:ind w:left="1440"/>
      </w:pPr>
      <w:r>
        <w:t>b) Distribution Symmetry: Median values are close to the mean in most age groups, suggesting a generally symmetric distribution of obesity percentages. Slight deviations indicate possible skewness in some groups like 45-54 and 65-older.</w:t>
      </w:r>
    </w:p>
    <w:p w14:paraId="26B1CAC5" w14:textId="0E45B582" w:rsidR="00D055A4" w:rsidRPr="009E6044" w:rsidRDefault="00CB37FF" w:rsidP="00CB37FF">
      <w:pPr>
        <w:pStyle w:val="ListParagraph"/>
        <w:ind w:left="1440"/>
      </w:pPr>
      <w:r>
        <w:t>C) Variability: The 45-54 and 65+ age groups have the most variation in obesity percentages, showing the widest range of obesity rates among individuals in these groups.</w:t>
      </w:r>
    </w:p>
    <w:p w14:paraId="04CA1D50" w14:textId="15856E49" w:rsidR="00D055A4" w:rsidRPr="00CE798F" w:rsidRDefault="00D055A4" w:rsidP="00312A50">
      <w:pPr>
        <w:pStyle w:val="ListParagraph"/>
        <w:keepNext/>
        <w:keepLines/>
        <w:numPr>
          <w:ilvl w:val="0"/>
          <w:numId w:val="17"/>
        </w:numPr>
      </w:pPr>
      <w:r w:rsidRPr="00514AF9">
        <w:t>Percent of adults who engage in no leisure-time physical activity</w:t>
      </w:r>
      <w:r>
        <w:t xml:space="preserve"> </w:t>
      </w:r>
      <w:r w:rsidR="00CE798F">
        <w:t>–</w:t>
      </w:r>
      <w:r>
        <w:t xml:space="preserve"> </w:t>
      </w:r>
      <w:r w:rsidRPr="00514AF9">
        <w:rPr>
          <w:b/>
          <w:bCs/>
        </w:rPr>
        <w:t>Roger</w:t>
      </w:r>
    </w:p>
    <w:p w14:paraId="7EB8F6EA" w14:textId="77777777" w:rsidR="00D377CD" w:rsidRPr="00514AF9" w:rsidRDefault="00D377CD" w:rsidP="00312A50">
      <w:pPr>
        <w:pStyle w:val="ListParagraph"/>
        <w:keepNext/>
        <w:keepLines/>
        <w:numPr>
          <w:ilvl w:val="1"/>
          <w:numId w:val="17"/>
        </w:numPr>
      </w:pPr>
      <w:r>
        <w:t xml:space="preserve">The sample comprises the 50 USA states with a sample size 12,000 per state based on each age group.  A pie chart was used to show the number of individuals with little or no activity leading to obesity. </w:t>
      </w:r>
    </w:p>
    <w:p w14:paraId="301C0DD9" w14:textId="77777777" w:rsidR="00CE798F" w:rsidRDefault="00CE798F" w:rsidP="00312A50">
      <w:pPr>
        <w:pStyle w:val="ListParagraph"/>
        <w:keepNext/>
        <w:keepLines/>
        <w:numPr>
          <w:ilvl w:val="1"/>
          <w:numId w:val="17"/>
        </w:numPr>
      </w:pPr>
      <w:r>
        <w:t>Pie-Chart:</w:t>
      </w:r>
    </w:p>
    <w:p w14:paraId="7CF786F0" w14:textId="45C0FDDE" w:rsidR="00CE798F" w:rsidRDefault="00CE798F" w:rsidP="00312A50">
      <w:pPr>
        <w:pStyle w:val="ListParagraph"/>
        <w:keepNext/>
        <w:keepLines/>
        <w:numPr>
          <w:ilvl w:val="1"/>
          <w:numId w:val="20"/>
        </w:numPr>
        <w:ind w:left="1800"/>
      </w:pPr>
      <w:r>
        <w:t>Showed a sample size of 12,000 individuals who had little or no exercise</w:t>
      </w:r>
    </w:p>
    <w:p w14:paraId="1D152125" w14:textId="495D5811" w:rsidR="006571B0" w:rsidRDefault="00C22FDE" w:rsidP="00F86E4C">
      <w:pPr>
        <w:pStyle w:val="ListParagraph"/>
        <w:numPr>
          <w:ilvl w:val="0"/>
          <w:numId w:val="17"/>
        </w:numPr>
      </w:pPr>
      <w:r>
        <w:t>E</w:t>
      </w:r>
      <w:r w:rsidR="006571B0" w:rsidRPr="006571B0">
        <w:t>ating habits in relation to fruit and vegetables consumption</w:t>
      </w:r>
      <w:r w:rsidR="00D0013E">
        <w:t xml:space="preserve"> –</w:t>
      </w:r>
      <w:r w:rsidR="00381B99">
        <w:t xml:space="preserve"> </w:t>
      </w:r>
      <w:r w:rsidR="00701C70" w:rsidRPr="00701C70">
        <w:rPr>
          <w:b/>
          <w:bCs/>
        </w:rPr>
        <w:t>Paola</w:t>
      </w:r>
      <w:r w:rsidR="00701C70">
        <w:t xml:space="preserve">, </w:t>
      </w:r>
      <w:r w:rsidR="00D0013E">
        <w:t xml:space="preserve">dataset only </w:t>
      </w:r>
      <w:r w:rsidR="006F60AC">
        <w:t>provided</w:t>
      </w:r>
      <w:r w:rsidR="00FD0478">
        <w:t xml:space="preserve"> </w:t>
      </w:r>
      <w:r w:rsidR="00D0013E">
        <w:t>information for the year 2021</w:t>
      </w:r>
    </w:p>
    <w:p w14:paraId="2B9B092D" w14:textId="5FF4DC88" w:rsidR="00EB6D7F" w:rsidRDefault="00EC29CC" w:rsidP="00F86E4C">
      <w:pPr>
        <w:pStyle w:val="ListParagraph"/>
        <w:numPr>
          <w:ilvl w:val="1"/>
          <w:numId w:val="17"/>
        </w:numPr>
      </w:pPr>
      <w:r>
        <w:t xml:space="preserve">The </w:t>
      </w:r>
      <w:r w:rsidR="00EB6D7F">
        <w:t xml:space="preserve">US </w:t>
      </w:r>
      <w:r w:rsidR="00511C40">
        <w:t xml:space="preserve">does </w:t>
      </w:r>
      <w:r>
        <w:t xml:space="preserve">not </w:t>
      </w:r>
      <w:r w:rsidR="000C10BF">
        <w:t>meet</w:t>
      </w:r>
      <w:r>
        <w:t xml:space="preserve"> </w:t>
      </w:r>
      <w:r w:rsidR="000C10BF">
        <w:t>minimum</w:t>
      </w:r>
      <w:r>
        <w:t xml:space="preserve"> requirements of </w:t>
      </w:r>
      <w:r w:rsidR="000C10BF">
        <w:t xml:space="preserve">fruit and vegetables as </w:t>
      </w:r>
      <w:r w:rsidR="00FB246A">
        <w:t>recommended</w:t>
      </w:r>
      <w:r w:rsidR="000C10BF">
        <w:t xml:space="preserve"> by </w:t>
      </w:r>
      <w:r w:rsidR="00C475E1" w:rsidRPr="00C475E1">
        <w:t>The U.S. Departments of Agriculture (USDA) and Health and Human Services (HHS)</w:t>
      </w:r>
      <w:r w:rsidR="00423F32">
        <w:t xml:space="preserve">. </w:t>
      </w:r>
      <w:r w:rsidR="00FF2016" w:rsidRPr="0087111C">
        <w:t xml:space="preserve">The 2020–2025 Dietary Guidelines for Americans advise </w:t>
      </w:r>
      <w:r w:rsidR="00FF2016">
        <w:t>a</w:t>
      </w:r>
      <w:r w:rsidR="00FF2016" w:rsidRPr="0087111C">
        <w:t xml:space="preserve">dults should consume 1.5–2 cup-equivalents of fruits </w:t>
      </w:r>
      <w:r w:rsidR="00FF2016">
        <w:t xml:space="preserve">and </w:t>
      </w:r>
      <w:r w:rsidR="00FF2016" w:rsidRPr="00FB246A">
        <w:t xml:space="preserve">2–3 cup-equivalents of vegetables </w:t>
      </w:r>
      <w:r w:rsidR="00FF2016" w:rsidRPr="0087111C">
        <w:t>daily.</w:t>
      </w:r>
      <w:r w:rsidR="00FF2016" w:rsidRPr="00FB246A">
        <w:t xml:space="preserve"> </w:t>
      </w:r>
      <w:r w:rsidR="00212643">
        <w:t xml:space="preserve">Only </w:t>
      </w:r>
      <w:r w:rsidR="00891400">
        <w:t xml:space="preserve">12-10% of surveyed adults met fruit and vegetables intake recommendations. </w:t>
      </w:r>
      <w:r w:rsidR="0087111C">
        <w:t xml:space="preserve"> </w:t>
      </w:r>
    </w:p>
    <w:p w14:paraId="6040919C" w14:textId="271BF982" w:rsidR="00B31B2F" w:rsidRDefault="0073203F" w:rsidP="00782234">
      <w:pPr>
        <w:pStyle w:val="ListParagraph"/>
        <w:numPr>
          <w:ilvl w:val="1"/>
          <w:numId w:val="17"/>
        </w:numPr>
      </w:pPr>
      <w:r>
        <w:t xml:space="preserve">On average, </w:t>
      </w:r>
      <w:r w:rsidR="00D65B92">
        <w:t>29.97% of</w:t>
      </w:r>
      <w:r w:rsidR="00592FF6">
        <w:t xml:space="preserve"> the </w:t>
      </w:r>
      <w:r>
        <w:t>US</w:t>
      </w:r>
      <w:r w:rsidR="003B1F6F">
        <w:t xml:space="preserve"> </w:t>
      </w:r>
      <w:r w:rsidR="00626610">
        <w:t>respondents</w:t>
      </w:r>
      <w:r w:rsidR="00592FF6">
        <w:t xml:space="preserve"> </w:t>
      </w:r>
      <w:r w:rsidR="00782234">
        <w:t>consumes</w:t>
      </w:r>
      <w:r w:rsidR="00FB51A2">
        <w:t xml:space="preserve"> </w:t>
      </w:r>
      <w:r w:rsidR="002358CF">
        <w:t>daily recommendations</w:t>
      </w:r>
      <w:r w:rsidR="004D62C0">
        <w:t xml:space="preserve"> </w:t>
      </w:r>
      <w:r w:rsidR="002358CF">
        <w:t xml:space="preserve">of </w:t>
      </w:r>
      <w:r w:rsidR="00FB51A2" w:rsidRPr="00FB51A2">
        <w:t>fruit and vegetables</w:t>
      </w:r>
      <w:r w:rsidR="002358CF">
        <w:t xml:space="preserve">. </w:t>
      </w:r>
      <w:r w:rsidR="00782234">
        <w:t xml:space="preserve">The </w:t>
      </w:r>
      <w:r w:rsidR="00F355DF" w:rsidRPr="00F355DF">
        <w:t>standard deviation</w:t>
      </w:r>
      <w:r w:rsidR="00782234">
        <w:t xml:space="preserve"> on this average is </w:t>
      </w:r>
      <w:r w:rsidR="00EC3B8B">
        <w:t>8.98%</w:t>
      </w:r>
      <w:r w:rsidR="00B31B2F">
        <w:t xml:space="preserve"> which</w:t>
      </w:r>
      <w:r w:rsidR="00F355DF" w:rsidRPr="00F355DF">
        <w:t xml:space="preserve"> </w:t>
      </w:r>
      <w:r w:rsidR="007C7997">
        <w:t>may suggest</w:t>
      </w:r>
      <w:r w:rsidR="00F355DF" w:rsidRPr="00F355DF">
        <w:t xml:space="preserve"> that </w:t>
      </w:r>
    </w:p>
    <w:p w14:paraId="484A943B" w14:textId="63A5BEF0" w:rsidR="00B31B2F" w:rsidRDefault="00ED21D5" w:rsidP="00ED21D5">
      <w:pPr>
        <w:pStyle w:val="ListParagraph"/>
        <w:ind w:left="1440"/>
      </w:pPr>
      <w:r w:rsidRPr="00A12B38">
        <w:t>the values in the dataset are fairly reliable</w:t>
      </w:r>
      <w:r>
        <w:t>.</w:t>
      </w:r>
    </w:p>
    <w:p w14:paraId="41F6A10E" w14:textId="77777777" w:rsidR="00290728" w:rsidRDefault="00255A8C" w:rsidP="00360BBA">
      <w:pPr>
        <w:pStyle w:val="ListParagraph"/>
        <w:numPr>
          <w:ilvl w:val="1"/>
          <w:numId w:val="17"/>
        </w:numPr>
      </w:pPr>
      <w:r w:rsidRPr="006345BD">
        <w:t xml:space="preserve">US states with the highest and lowest levels of fruit and vegetable consumption </w:t>
      </w:r>
    </w:p>
    <w:p w14:paraId="601F4728" w14:textId="3E7C4F2F" w:rsidR="00EB6D7F" w:rsidRDefault="00255A8C" w:rsidP="00650BE5">
      <w:pPr>
        <w:pStyle w:val="ListParagraph"/>
        <w:ind w:left="1440"/>
      </w:pPr>
      <w:r w:rsidRPr="006345BD">
        <w:t>among different age groups</w:t>
      </w:r>
      <w:r w:rsidR="00AE1889">
        <w:t xml:space="preserve">: </w:t>
      </w:r>
    </w:p>
    <w:p w14:paraId="6EFDDF75" w14:textId="641F9BAE" w:rsidR="00CC3E57" w:rsidRPr="00EB6D7F" w:rsidRDefault="00EB6D7F" w:rsidP="005812AC">
      <w:pPr>
        <w:pStyle w:val="ListParagraph"/>
        <w:numPr>
          <w:ilvl w:val="2"/>
          <w:numId w:val="17"/>
        </w:numPr>
      </w:pPr>
      <w:r>
        <w:lastRenderedPageBreak/>
        <w:t xml:space="preserve">Adults </w:t>
      </w:r>
      <w:r w:rsidRPr="00EB6D7F">
        <w:t>who report</w:t>
      </w:r>
      <w:r>
        <w:t>ed</w:t>
      </w:r>
      <w:r w:rsidRPr="00EB6D7F">
        <w:t xml:space="preserve"> consuming </w:t>
      </w:r>
      <w:r w:rsidRPr="00916863">
        <w:rPr>
          <w:b/>
          <w:bCs/>
        </w:rPr>
        <w:t>fruit</w:t>
      </w:r>
      <w:r w:rsidRPr="00EB6D7F">
        <w:t xml:space="preserve"> less than once time daily (</w:t>
      </w:r>
      <w:r w:rsidR="00CD5C05">
        <w:t>the t</w:t>
      </w:r>
      <w:r w:rsidR="00CD5C05" w:rsidRPr="00CD5C05">
        <w:t>otal daily fruit consumption was calculated based on responses to questions 1 and 2</w:t>
      </w:r>
      <w:r w:rsidR="00CD5C05">
        <w:t>:</w:t>
      </w:r>
      <w:r w:rsidR="00CD5C05" w:rsidRPr="00CD5C05">
        <w:t xml:space="preserve"> </w:t>
      </w:r>
      <w:r w:rsidR="00EF7D13">
        <w:t xml:space="preserve">      </w:t>
      </w:r>
      <w:r w:rsidR="00CD5C05" w:rsidRPr="006E7E67">
        <w:rPr>
          <w:b/>
          <w:bCs/>
        </w:rPr>
        <w:t>1) 100% pure fruit juices; 2) fruit</w:t>
      </w:r>
      <w:r w:rsidR="00CD5C05" w:rsidRPr="00CD5C05">
        <w:t>; 3) green salad; 4) fried potatoes; 5) other potatoes; and 6) other vegetables.</w:t>
      </w:r>
      <w:r w:rsidR="00CD5C05">
        <w:t>)</w:t>
      </w:r>
    </w:p>
    <w:p w14:paraId="701F7AAD" w14:textId="6DE2F807" w:rsidR="0058106A" w:rsidRDefault="000F5B39" w:rsidP="0058106A">
      <w:pPr>
        <w:pStyle w:val="ListParagraph"/>
        <w:ind w:left="2160"/>
      </w:pPr>
      <w:r w:rsidRPr="000F5B39">
        <w:rPr>
          <w:noProof/>
        </w:rPr>
        <w:drawing>
          <wp:inline distT="0" distB="0" distL="0" distR="0" wp14:anchorId="55C24404" wp14:editId="0CAD42A9">
            <wp:extent cx="3451860" cy="1508760"/>
            <wp:effectExtent l="0" t="0" r="0" b="0"/>
            <wp:docPr id="1649059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508760"/>
                    </a:xfrm>
                    <a:prstGeom prst="rect">
                      <a:avLst/>
                    </a:prstGeom>
                    <a:noFill/>
                    <a:ln>
                      <a:noFill/>
                    </a:ln>
                  </pic:spPr>
                </pic:pic>
              </a:graphicData>
            </a:graphic>
          </wp:inline>
        </w:drawing>
      </w:r>
    </w:p>
    <w:p w14:paraId="58EAF603" w14:textId="77777777" w:rsidR="005812AC" w:rsidRDefault="005812AC" w:rsidP="0058106A">
      <w:pPr>
        <w:pStyle w:val="ListParagraph"/>
        <w:ind w:left="2160"/>
      </w:pPr>
    </w:p>
    <w:p w14:paraId="15BD78C2" w14:textId="2BA44B56" w:rsidR="00AC1C9C" w:rsidRDefault="009243F5" w:rsidP="0058106A">
      <w:pPr>
        <w:pStyle w:val="ListParagraph"/>
        <w:ind w:left="2160"/>
      </w:pPr>
      <w:bookmarkStart w:id="0" w:name="_Hlk169523633"/>
      <w:r>
        <w:t>West</w:t>
      </w:r>
      <w:r>
        <w:tab/>
      </w:r>
      <w:r>
        <w:tab/>
        <w:t>SE</w:t>
      </w:r>
      <w:r w:rsidR="00357E0F">
        <w:tab/>
      </w:r>
      <w:r w:rsidR="00357E0F">
        <w:tab/>
      </w:r>
      <w:r w:rsidR="00357E0F">
        <w:tab/>
      </w:r>
      <w:r w:rsidR="0010538A">
        <w:tab/>
      </w:r>
      <w:r w:rsidR="00357E0F">
        <w:t>SW</w:t>
      </w:r>
    </w:p>
    <w:p w14:paraId="1A4A3D20" w14:textId="70C5F92A" w:rsidR="009243F5" w:rsidRDefault="009243F5" w:rsidP="0058106A">
      <w:pPr>
        <w:pStyle w:val="ListParagraph"/>
        <w:ind w:left="2160"/>
      </w:pPr>
      <w:r>
        <w:t>Hawaii 18-24</w:t>
      </w:r>
      <w:r>
        <w:tab/>
        <w:t>Louisiana 53.30%</w:t>
      </w:r>
      <w:r w:rsidR="0010538A">
        <w:t xml:space="preserve"> 25-34</w:t>
      </w:r>
      <w:r w:rsidR="00357E0F">
        <w:tab/>
      </w:r>
      <w:r w:rsidR="0010538A">
        <w:tab/>
      </w:r>
      <w:r w:rsidR="00357E0F">
        <w:t>Oklahoma 51.60%</w:t>
      </w:r>
      <w:r w:rsidR="0010538A">
        <w:t xml:space="preserve"> 45-54</w:t>
      </w:r>
      <w:r w:rsidR="00FC7829">
        <w:t xml:space="preserve"> (</w:t>
      </w:r>
      <w:r w:rsidR="001F5ABB">
        <w:t xml:space="preserve">next </w:t>
      </w:r>
    </w:p>
    <w:p w14:paraId="29BA5C5F" w14:textId="607B00AE" w:rsidR="00357E0F" w:rsidRDefault="00B406D3" w:rsidP="0058106A">
      <w:pPr>
        <w:pStyle w:val="ListParagraph"/>
        <w:ind w:left="2160"/>
      </w:pPr>
      <w:r>
        <w:t>56.50%</w:t>
      </w:r>
      <w:r w:rsidR="00357E0F">
        <w:tab/>
      </w:r>
      <w:r w:rsidR="00357E0F">
        <w:tab/>
      </w:r>
      <w:r w:rsidR="0010538A">
        <w:t>Louisiana 51.80% 35-44</w:t>
      </w:r>
      <w:r w:rsidR="002E5166">
        <w:tab/>
      </w:r>
      <w:r w:rsidR="001F5ABB">
        <w:tab/>
        <w:t xml:space="preserve">to Arkansas and Louisiana </w:t>
      </w:r>
      <w:r w:rsidR="002E5166">
        <w:tab/>
      </w:r>
    </w:p>
    <w:p w14:paraId="624A46E9" w14:textId="7723895E" w:rsidR="009243F5" w:rsidRDefault="002E5166" w:rsidP="0058106A">
      <w:pPr>
        <w:pStyle w:val="ListParagraph"/>
        <w:ind w:left="2160"/>
      </w:pPr>
      <w:r>
        <w:tab/>
      </w:r>
      <w:r>
        <w:tab/>
        <w:t>Arkansas 51.50% 55-64</w:t>
      </w:r>
    </w:p>
    <w:p w14:paraId="6DB32B3C" w14:textId="7FE4E2B4" w:rsidR="002E5166" w:rsidRDefault="002E5166" w:rsidP="0058106A">
      <w:pPr>
        <w:pStyle w:val="ListParagraph"/>
        <w:ind w:left="2160"/>
      </w:pPr>
      <w:r>
        <w:tab/>
      </w:r>
      <w:r>
        <w:tab/>
        <w:t>Mississippi 45% 65 older</w:t>
      </w:r>
    </w:p>
    <w:bookmarkEnd w:id="0"/>
    <w:p w14:paraId="748F5556" w14:textId="77777777" w:rsidR="009243F5" w:rsidRDefault="009243F5" w:rsidP="0058106A">
      <w:pPr>
        <w:pStyle w:val="ListParagraph"/>
        <w:ind w:left="2160"/>
      </w:pPr>
    </w:p>
    <w:p w14:paraId="64882C3F" w14:textId="77777777" w:rsidR="00F04C20" w:rsidRDefault="00F04C20" w:rsidP="0058106A">
      <w:pPr>
        <w:pStyle w:val="ListParagraph"/>
        <w:ind w:left="2160"/>
      </w:pPr>
    </w:p>
    <w:p w14:paraId="2A726EBC" w14:textId="4881EFF4" w:rsidR="00AC1C9C" w:rsidRDefault="00AC1C9C" w:rsidP="0058106A">
      <w:pPr>
        <w:pStyle w:val="ListParagraph"/>
        <w:ind w:left="2160"/>
      </w:pPr>
      <w:r w:rsidRPr="00AC1C9C">
        <w:rPr>
          <w:noProof/>
        </w:rPr>
        <w:drawing>
          <wp:inline distT="0" distB="0" distL="0" distR="0" wp14:anchorId="744DE674" wp14:editId="5634F403">
            <wp:extent cx="3451860" cy="1508760"/>
            <wp:effectExtent l="0" t="0" r="0" b="0"/>
            <wp:docPr id="939231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1508760"/>
                    </a:xfrm>
                    <a:prstGeom prst="rect">
                      <a:avLst/>
                    </a:prstGeom>
                    <a:noFill/>
                    <a:ln>
                      <a:noFill/>
                    </a:ln>
                  </pic:spPr>
                </pic:pic>
              </a:graphicData>
            </a:graphic>
          </wp:inline>
        </w:drawing>
      </w:r>
    </w:p>
    <w:p w14:paraId="25803708" w14:textId="77777777" w:rsidR="00DD049F" w:rsidRDefault="00DD049F" w:rsidP="0058106A">
      <w:pPr>
        <w:pStyle w:val="ListParagraph"/>
        <w:ind w:left="2160"/>
      </w:pPr>
    </w:p>
    <w:p w14:paraId="10C6F008" w14:textId="52D072E5" w:rsidR="00DD049F" w:rsidRDefault="00DD049F" w:rsidP="00DD049F">
      <w:pPr>
        <w:pStyle w:val="ListParagraph"/>
        <w:ind w:left="2160"/>
      </w:pPr>
      <w:bookmarkStart w:id="1" w:name="_Hlk169525774"/>
      <w:r>
        <w:t>West</w:t>
      </w:r>
      <w:r>
        <w:tab/>
      </w:r>
      <w:r>
        <w:tab/>
        <w:t>SE</w:t>
      </w:r>
      <w:r>
        <w:tab/>
      </w:r>
      <w:r>
        <w:tab/>
      </w:r>
      <w:r>
        <w:tab/>
      </w:r>
      <w:r>
        <w:tab/>
      </w:r>
      <w:r w:rsidR="00D9068A">
        <w:t xml:space="preserve">NE </w:t>
      </w:r>
    </w:p>
    <w:p w14:paraId="3AF30EAA" w14:textId="3161CA07" w:rsidR="00DD049F" w:rsidRDefault="00ED60DC" w:rsidP="00DD049F">
      <w:pPr>
        <w:pStyle w:val="ListParagraph"/>
        <w:ind w:left="2160"/>
      </w:pPr>
      <w:r>
        <w:t>CA 55-64</w:t>
      </w:r>
      <w:r w:rsidR="00DD049F">
        <w:tab/>
      </w:r>
      <w:r w:rsidR="00F375BA">
        <w:t xml:space="preserve">DC </w:t>
      </w:r>
      <w:r w:rsidR="00DD049F">
        <w:t>25-34</w:t>
      </w:r>
      <w:r w:rsidR="00D9068A">
        <w:t xml:space="preserve"> 34.70%</w:t>
      </w:r>
      <w:r w:rsidR="00DD049F">
        <w:tab/>
      </w:r>
      <w:r w:rsidR="00DD049F">
        <w:tab/>
      </w:r>
      <w:r w:rsidR="009603FF">
        <w:t>NJ 18-24 36.90%</w:t>
      </w:r>
    </w:p>
    <w:p w14:paraId="19866C99" w14:textId="29535683" w:rsidR="00DD049F" w:rsidRDefault="00ED60DC" w:rsidP="00DD049F">
      <w:pPr>
        <w:pStyle w:val="ListParagraph"/>
        <w:ind w:left="2160"/>
      </w:pPr>
      <w:r>
        <w:t>32.20</w:t>
      </w:r>
      <w:r w:rsidR="00DD049F">
        <w:t>%</w:t>
      </w:r>
      <w:r w:rsidR="00DD049F">
        <w:tab/>
      </w:r>
      <w:r w:rsidR="00DD049F">
        <w:tab/>
      </w:r>
      <w:r w:rsidR="00E82CC7">
        <w:t>DC</w:t>
      </w:r>
      <w:r w:rsidR="0038085F">
        <w:t xml:space="preserve"> </w:t>
      </w:r>
      <w:r w:rsidR="00E82CC7">
        <w:t>45-54 33.80</w:t>
      </w:r>
      <w:r w:rsidR="0038085F">
        <w:t xml:space="preserve">% </w:t>
      </w:r>
      <w:r w:rsidR="0038085F">
        <w:tab/>
      </w:r>
      <w:r w:rsidR="0038085F">
        <w:tab/>
      </w:r>
      <w:r w:rsidR="009603FF" w:rsidRPr="009603FF">
        <w:t>CT 35-44 31.40%</w:t>
      </w:r>
      <w:r w:rsidR="00DD049F">
        <w:tab/>
      </w:r>
    </w:p>
    <w:p w14:paraId="249A86DE" w14:textId="1A77F162" w:rsidR="00DD049F" w:rsidRDefault="00DD049F" w:rsidP="00695F13">
      <w:pPr>
        <w:pStyle w:val="ListParagraph"/>
        <w:ind w:left="2160"/>
      </w:pPr>
      <w:r>
        <w:tab/>
      </w:r>
      <w:r>
        <w:tab/>
      </w:r>
      <w:r w:rsidR="00D37F4A">
        <w:t xml:space="preserve">DC </w:t>
      </w:r>
      <w:r w:rsidR="005E3424">
        <w:t>65 or older 26.60%</w:t>
      </w:r>
      <w:bookmarkEnd w:id="1"/>
    </w:p>
    <w:p w14:paraId="31FDFDA9" w14:textId="37D501E7" w:rsidR="00CD5C05" w:rsidRPr="00CD5C05" w:rsidRDefault="00EB6D7F" w:rsidP="00935ABD">
      <w:pPr>
        <w:pStyle w:val="ListParagraph"/>
        <w:numPr>
          <w:ilvl w:val="2"/>
          <w:numId w:val="17"/>
        </w:numPr>
      </w:pPr>
      <w:r>
        <w:t xml:space="preserve">Adults </w:t>
      </w:r>
      <w:r w:rsidRPr="00EB6D7F">
        <w:t>who report</w:t>
      </w:r>
      <w:r>
        <w:t>ed</w:t>
      </w:r>
      <w:r w:rsidRPr="00EB6D7F">
        <w:t xml:space="preserve"> consuming </w:t>
      </w:r>
      <w:r w:rsidRPr="00916863">
        <w:rPr>
          <w:b/>
          <w:bCs/>
        </w:rPr>
        <w:t>vegetables</w:t>
      </w:r>
      <w:r w:rsidRPr="00EB6D7F">
        <w:t xml:space="preserve"> less than one time </w:t>
      </w:r>
      <w:r w:rsidR="00CD5C05" w:rsidRPr="00EB6D7F">
        <w:t>daily (</w:t>
      </w:r>
      <w:r w:rsidR="00CD5C05" w:rsidRPr="00CD5C05">
        <w:t xml:space="preserve">the total </w:t>
      </w:r>
      <w:r w:rsidR="00CD5C05">
        <w:t>vegetables</w:t>
      </w:r>
      <w:r w:rsidR="00CD5C05" w:rsidRPr="00CD5C05">
        <w:t xml:space="preserve"> consumption was calculated based on responses to questions </w:t>
      </w:r>
      <w:r w:rsidR="00935ABD">
        <w:t>3-6</w:t>
      </w:r>
      <w:r w:rsidR="00CD5C05" w:rsidRPr="00CD5C05">
        <w:t xml:space="preserve">: </w:t>
      </w:r>
      <w:r w:rsidR="0036148B">
        <w:t xml:space="preserve">   </w:t>
      </w:r>
      <w:r w:rsidR="00CD5C05" w:rsidRPr="00CD5C05">
        <w:t xml:space="preserve">1) 100% pure fruit juices; 2) fruit; </w:t>
      </w:r>
      <w:r w:rsidR="00CD5C05" w:rsidRPr="006E7E67">
        <w:rPr>
          <w:b/>
          <w:bCs/>
        </w:rPr>
        <w:t>3) green salad; 4) fried potatoes; 5) other potatoes; and 6) other vegetables</w:t>
      </w:r>
      <w:r w:rsidR="00CD5C05" w:rsidRPr="00CD5C05">
        <w:t>.)</w:t>
      </w:r>
    </w:p>
    <w:p w14:paraId="3AE37FEB" w14:textId="4D1B5679" w:rsidR="00EB6D7F" w:rsidRPr="00EB6D7F" w:rsidRDefault="00EB6D7F" w:rsidP="00935ABD">
      <w:pPr>
        <w:pStyle w:val="ListParagraph"/>
        <w:ind w:left="1440"/>
        <w:rPr>
          <w:b/>
          <w:bCs/>
        </w:rPr>
      </w:pPr>
    </w:p>
    <w:p w14:paraId="3C12F66B" w14:textId="46261534" w:rsidR="00695F13" w:rsidRDefault="001B1C15" w:rsidP="00695F13">
      <w:pPr>
        <w:pStyle w:val="ListParagraph"/>
        <w:ind w:left="2160"/>
      </w:pPr>
      <w:r w:rsidRPr="001B1C15">
        <w:rPr>
          <w:noProof/>
        </w:rPr>
        <w:lastRenderedPageBreak/>
        <w:drawing>
          <wp:inline distT="0" distB="0" distL="0" distR="0" wp14:anchorId="0390B038" wp14:editId="3B1D4B19">
            <wp:extent cx="3451860" cy="1508760"/>
            <wp:effectExtent l="0" t="0" r="0" b="0"/>
            <wp:docPr id="128083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1508760"/>
                    </a:xfrm>
                    <a:prstGeom prst="rect">
                      <a:avLst/>
                    </a:prstGeom>
                    <a:noFill/>
                    <a:ln>
                      <a:noFill/>
                    </a:ln>
                  </pic:spPr>
                </pic:pic>
              </a:graphicData>
            </a:graphic>
          </wp:inline>
        </w:drawing>
      </w:r>
    </w:p>
    <w:p w14:paraId="3E84346C" w14:textId="639C8E58" w:rsidR="00695F13" w:rsidRDefault="00695F13" w:rsidP="00695F13">
      <w:pPr>
        <w:pStyle w:val="ListParagraph"/>
        <w:ind w:left="2160"/>
      </w:pPr>
      <w:bookmarkStart w:id="2" w:name="_Hlk169527025"/>
      <w:r>
        <w:t>West</w:t>
      </w:r>
      <w:r>
        <w:tab/>
      </w:r>
      <w:r>
        <w:tab/>
        <w:t>SE</w:t>
      </w:r>
      <w:r>
        <w:tab/>
      </w:r>
      <w:r>
        <w:tab/>
      </w:r>
      <w:r>
        <w:tab/>
      </w:r>
      <w:r w:rsidR="001479AC">
        <w:t>Midwest</w:t>
      </w:r>
      <w:r>
        <w:tab/>
      </w:r>
      <w:r w:rsidR="00C1703B">
        <w:t xml:space="preserve"> </w:t>
      </w:r>
    </w:p>
    <w:p w14:paraId="70DBECFF" w14:textId="7F98984A" w:rsidR="00695F13" w:rsidRDefault="005B5321" w:rsidP="00695F13">
      <w:pPr>
        <w:pStyle w:val="ListParagraph"/>
        <w:ind w:left="2160"/>
      </w:pPr>
      <w:r>
        <w:t>Nevada</w:t>
      </w:r>
      <w:r>
        <w:tab/>
        <w:t>25.30%</w:t>
      </w:r>
      <w:r w:rsidR="00695F13">
        <w:tab/>
        <w:t xml:space="preserve">DC </w:t>
      </w:r>
      <w:r w:rsidR="001479AC">
        <w:t>36.90%</w:t>
      </w:r>
      <w:r w:rsidR="00695F13">
        <w:tab/>
      </w:r>
      <w:r w:rsidR="00695F13">
        <w:tab/>
      </w:r>
      <w:r w:rsidR="001479AC">
        <w:t>Iowa 22.90%</w:t>
      </w:r>
    </w:p>
    <w:p w14:paraId="401FE3B4" w14:textId="072E82A0" w:rsidR="00695F13" w:rsidRDefault="005B5321" w:rsidP="00695F13">
      <w:pPr>
        <w:pStyle w:val="ListParagraph"/>
        <w:ind w:left="2160"/>
      </w:pPr>
      <w:r>
        <w:tab/>
      </w:r>
      <w:r w:rsidR="00695F13">
        <w:tab/>
      </w:r>
      <w:r w:rsidR="00C1703B">
        <w:t>Louisiana 27%</w:t>
      </w:r>
      <w:r w:rsidR="00695F13">
        <w:t xml:space="preserve"> </w:t>
      </w:r>
      <w:r w:rsidR="00695F13">
        <w:tab/>
      </w:r>
      <w:r w:rsidR="00695F13">
        <w:tab/>
      </w:r>
      <w:r w:rsidR="00C1703B">
        <w:t xml:space="preserve"> </w:t>
      </w:r>
      <w:r w:rsidR="00695F13">
        <w:tab/>
      </w:r>
    </w:p>
    <w:p w14:paraId="226F4DFA" w14:textId="73EF72F4" w:rsidR="00695F13" w:rsidRDefault="00695F13" w:rsidP="00695F13">
      <w:pPr>
        <w:pStyle w:val="ListParagraph"/>
        <w:ind w:left="2160"/>
      </w:pPr>
      <w:r>
        <w:tab/>
      </w:r>
      <w:r>
        <w:tab/>
      </w:r>
      <w:r w:rsidR="00C1703B">
        <w:t>Louisiana 26.20%</w:t>
      </w:r>
    </w:p>
    <w:p w14:paraId="2FDC2EB4" w14:textId="33CB5142" w:rsidR="00C1703B" w:rsidRDefault="00C1703B" w:rsidP="00695F13">
      <w:pPr>
        <w:pStyle w:val="ListParagraph"/>
        <w:ind w:left="2160"/>
      </w:pPr>
      <w:r>
        <w:tab/>
      </w:r>
      <w:r>
        <w:tab/>
        <w:t>Louisiana 26.50%</w:t>
      </w:r>
    </w:p>
    <w:bookmarkEnd w:id="2"/>
    <w:p w14:paraId="6076C952" w14:textId="77777777" w:rsidR="00695F13" w:rsidRDefault="00695F13" w:rsidP="001B1C15">
      <w:pPr>
        <w:pStyle w:val="ListParagraph"/>
        <w:ind w:left="2160"/>
      </w:pPr>
    </w:p>
    <w:p w14:paraId="05DE0367" w14:textId="77777777" w:rsidR="00695F13" w:rsidRDefault="00695F13" w:rsidP="001B1C15">
      <w:pPr>
        <w:pStyle w:val="ListParagraph"/>
        <w:ind w:left="2160"/>
      </w:pPr>
    </w:p>
    <w:p w14:paraId="118C8213" w14:textId="74DB9CF3" w:rsidR="001B1C15" w:rsidRDefault="001B1C15" w:rsidP="001B1C15">
      <w:pPr>
        <w:pStyle w:val="ListParagraph"/>
        <w:ind w:left="2160"/>
      </w:pPr>
      <w:r w:rsidRPr="001B1C15">
        <w:rPr>
          <w:noProof/>
        </w:rPr>
        <w:drawing>
          <wp:inline distT="0" distB="0" distL="0" distR="0" wp14:anchorId="6DCF516A" wp14:editId="7130B6A4">
            <wp:extent cx="3451860" cy="1508760"/>
            <wp:effectExtent l="0" t="0" r="0" b="0"/>
            <wp:docPr id="114643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1508760"/>
                    </a:xfrm>
                    <a:prstGeom prst="rect">
                      <a:avLst/>
                    </a:prstGeom>
                    <a:noFill/>
                    <a:ln>
                      <a:noFill/>
                    </a:ln>
                  </pic:spPr>
                </pic:pic>
              </a:graphicData>
            </a:graphic>
          </wp:inline>
        </w:drawing>
      </w:r>
    </w:p>
    <w:p w14:paraId="65E36C65" w14:textId="77777777" w:rsidR="00BE5904" w:rsidRDefault="00BE5904" w:rsidP="001B1C15">
      <w:pPr>
        <w:pStyle w:val="ListParagraph"/>
        <w:ind w:left="2160"/>
      </w:pPr>
    </w:p>
    <w:p w14:paraId="516CD1DE" w14:textId="77777777" w:rsidR="00BE5904" w:rsidRDefault="00BE5904" w:rsidP="00BE5904">
      <w:pPr>
        <w:pStyle w:val="ListParagraph"/>
        <w:ind w:left="2160"/>
      </w:pPr>
    </w:p>
    <w:p w14:paraId="4AA71503" w14:textId="2C4AD1CC" w:rsidR="00BE5904" w:rsidRDefault="00BE5904" w:rsidP="001F4FDC">
      <w:pPr>
        <w:pStyle w:val="ListParagraph"/>
        <w:ind w:left="2160"/>
      </w:pPr>
      <w:r>
        <w:t>West</w:t>
      </w:r>
      <w:r>
        <w:tab/>
      </w:r>
      <w:r>
        <w:tab/>
      </w:r>
      <w:r w:rsidR="001F4FDC">
        <w:tab/>
        <w:t>NE</w:t>
      </w:r>
      <w:r>
        <w:tab/>
      </w:r>
      <w:r>
        <w:tab/>
      </w:r>
      <w:r w:rsidR="00B36528">
        <w:t>(new England region)</w:t>
      </w:r>
      <w:r>
        <w:tab/>
      </w:r>
      <w:r w:rsidR="001F4FDC">
        <w:t xml:space="preserve"> </w:t>
      </w:r>
      <w:r>
        <w:t xml:space="preserve"> </w:t>
      </w:r>
    </w:p>
    <w:p w14:paraId="3404CAC3" w14:textId="5C2D3D33" w:rsidR="00BE5904" w:rsidRDefault="001F4FDC" w:rsidP="001F4FDC">
      <w:pPr>
        <w:pStyle w:val="ListParagraph"/>
        <w:ind w:left="2160"/>
      </w:pPr>
      <w:r>
        <w:t>Idaho 13.10%</w:t>
      </w:r>
      <w:r w:rsidR="00BE5904">
        <w:tab/>
      </w:r>
      <w:r>
        <w:t xml:space="preserve"> </w:t>
      </w:r>
      <w:r>
        <w:tab/>
      </w:r>
      <w:r w:rsidR="00D14843">
        <w:t>VT 16%</w:t>
      </w:r>
    </w:p>
    <w:p w14:paraId="1A85F6F6" w14:textId="62A7546D" w:rsidR="00BE5904" w:rsidRDefault="00D14843" w:rsidP="001B1C15">
      <w:pPr>
        <w:pStyle w:val="ListParagraph"/>
        <w:ind w:left="2160"/>
      </w:pPr>
      <w:r>
        <w:tab/>
      </w:r>
      <w:r>
        <w:tab/>
      </w:r>
      <w:r>
        <w:tab/>
        <w:t>Maine 13.50%</w:t>
      </w:r>
    </w:p>
    <w:p w14:paraId="76D401CD" w14:textId="1965E734" w:rsidR="00D14843" w:rsidRDefault="00D14843" w:rsidP="001B1C15">
      <w:pPr>
        <w:pStyle w:val="ListParagraph"/>
        <w:ind w:left="2160"/>
      </w:pPr>
      <w:r>
        <w:tab/>
      </w:r>
      <w:r>
        <w:tab/>
      </w:r>
      <w:r>
        <w:tab/>
        <w:t>Maine 10.80%</w:t>
      </w:r>
    </w:p>
    <w:p w14:paraId="03241D6F" w14:textId="6AAB1F8A" w:rsidR="00D14843" w:rsidRDefault="00D14843" w:rsidP="001B1C15">
      <w:pPr>
        <w:pStyle w:val="ListParagraph"/>
        <w:ind w:left="2160"/>
      </w:pPr>
      <w:r>
        <w:tab/>
      </w:r>
      <w:r>
        <w:tab/>
      </w:r>
      <w:r>
        <w:tab/>
        <w:t>Maine 11%</w:t>
      </w:r>
    </w:p>
    <w:p w14:paraId="2A9102A3" w14:textId="74C099B3" w:rsidR="00D14843" w:rsidRDefault="00D14843" w:rsidP="001B1C15">
      <w:pPr>
        <w:pStyle w:val="ListParagraph"/>
        <w:ind w:left="2160"/>
      </w:pPr>
      <w:r>
        <w:tab/>
      </w:r>
      <w:r>
        <w:tab/>
      </w:r>
      <w:r>
        <w:tab/>
        <w:t>Maine 12.50%</w:t>
      </w:r>
    </w:p>
    <w:p w14:paraId="1750220A" w14:textId="3AEA8F41" w:rsidR="00255A8C" w:rsidRDefault="00255A8C" w:rsidP="00F86E4C">
      <w:pPr>
        <w:pStyle w:val="ListParagraph"/>
        <w:numPr>
          <w:ilvl w:val="1"/>
          <w:numId w:val="17"/>
        </w:numPr>
      </w:pPr>
      <w:r w:rsidRPr="006F3948">
        <w:t>Correlation between fruit /vegetable consumption and age group</w:t>
      </w:r>
    </w:p>
    <w:p w14:paraId="0A1C97FA" w14:textId="4249DF19" w:rsidR="007C7C51" w:rsidRDefault="001709FB" w:rsidP="009021F6">
      <w:pPr>
        <w:pStyle w:val="ListParagraph"/>
        <w:numPr>
          <w:ilvl w:val="2"/>
          <w:numId w:val="17"/>
        </w:numPr>
      </w:pPr>
      <w:r w:rsidRPr="001709FB">
        <w:t>Adults who reported consuming fruit less than once time daily</w:t>
      </w:r>
      <w:r w:rsidR="00164651">
        <w:t xml:space="preserve"> are mainly located in the southeast of the US</w:t>
      </w:r>
      <w:r w:rsidR="00E46FAE">
        <w:t xml:space="preserve"> (</w:t>
      </w:r>
      <w:r w:rsidR="0017156E">
        <w:t>Oklahoma</w:t>
      </w:r>
      <w:r w:rsidR="00BD34F7">
        <w:t xml:space="preserve"> </w:t>
      </w:r>
      <w:r w:rsidR="000A2BE7">
        <w:t xml:space="preserve">– southwest, right next to AR and LA). </w:t>
      </w:r>
      <w:r w:rsidR="007C7C51">
        <w:t xml:space="preserve">Age seems to play a role in the </w:t>
      </w:r>
      <w:r w:rsidR="006D1BF5">
        <w:t>high-ranking</w:t>
      </w:r>
      <w:r w:rsidR="007C7C51">
        <w:t xml:space="preserve"> states</w:t>
      </w:r>
      <w:r w:rsidR="006D1BF5">
        <w:t xml:space="preserve">. It seems that the older you get, the </w:t>
      </w:r>
      <w:r w:rsidR="007C7C51">
        <w:t>healthier</w:t>
      </w:r>
      <w:r w:rsidR="006D1BF5">
        <w:t xml:space="preserve"> choices you make in your fruit/vegetable consumption</w:t>
      </w:r>
      <w:r w:rsidR="009227B2">
        <w:t xml:space="preserve"> </w:t>
      </w:r>
      <w:r w:rsidR="008867F2">
        <w:t xml:space="preserve">as there is a decrease in percentages. </w:t>
      </w:r>
    </w:p>
    <w:p w14:paraId="1BF9DB68" w14:textId="2A0A9FD8" w:rsidR="001709FB" w:rsidRDefault="009341CC" w:rsidP="009021F6">
      <w:pPr>
        <w:pStyle w:val="ListParagraph"/>
        <w:numPr>
          <w:ilvl w:val="2"/>
          <w:numId w:val="17"/>
        </w:numPr>
      </w:pPr>
      <w:r>
        <w:t>The</w:t>
      </w:r>
      <w:r w:rsidR="00D64E10">
        <w:t xml:space="preserve"> </w:t>
      </w:r>
      <w:r w:rsidR="005961B0">
        <w:t xml:space="preserve">lowest ranking states in the fruit intake group are also mainly located in the </w:t>
      </w:r>
      <w:r w:rsidR="004903D3">
        <w:t>southeast</w:t>
      </w:r>
      <w:r w:rsidR="005961B0">
        <w:t xml:space="preserve"> of the US. </w:t>
      </w:r>
      <w:r w:rsidR="004903D3">
        <w:t>T</w:t>
      </w:r>
      <w:r w:rsidR="005961B0">
        <w:t xml:space="preserve">he </w:t>
      </w:r>
      <w:r w:rsidR="004903D3">
        <w:t xml:space="preserve">main </w:t>
      </w:r>
      <w:r w:rsidR="005961B0">
        <w:t xml:space="preserve">difference </w:t>
      </w:r>
      <w:r w:rsidR="004903D3">
        <w:t>is</w:t>
      </w:r>
      <w:r w:rsidR="00AB74F0">
        <w:t xml:space="preserve"> being geographically located to the east of the </w:t>
      </w:r>
      <w:r w:rsidR="00EF1452">
        <w:t xml:space="preserve">country (DC). </w:t>
      </w:r>
      <w:r w:rsidR="00D64E10">
        <w:t xml:space="preserve"> </w:t>
      </w:r>
      <w:r w:rsidR="00296D18">
        <w:t xml:space="preserve">Here we also see a pattern of </w:t>
      </w:r>
      <w:r w:rsidR="009923A0">
        <w:t xml:space="preserve">decreasing percentages as </w:t>
      </w:r>
      <w:r w:rsidR="009678DA">
        <w:t>respondents get older</w:t>
      </w:r>
      <w:r w:rsidR="00A7467F">
        <w:t>, that with the exception of the 45-54 age group.</w:t>
      </w:r>
    </w:p>
    <w:p w14:paraId="2B566C50" w14:textId="77777777" w:rsidR="00E34BBA" w:rsidRDefault="00E34BBA" w:rsidP="00E34BBA">
      <w:pPr>
        <w:pStyle w:val="ListParagraph"/>
        <w:numPr>
          <w:ilvl w:val="2"/>
          <w:numId w:val="17"/>
        </w:numPr>
      </w:pPr>
      <w:r>
        <w:t>Maybe covid had something to do with the results?</w:t>
      </w:r>
    </w:p>
    <w:p w14:paraId="2D85FA7A" w14:textId="77777777" w:rsidR="00E34BBA" w:rsidRDefault="00E34BBA" w:rsidP="00E34BBA">
      <w:pPr>
        <w:pStyle w:val="ListParagraph"/>
        <w:numPr>
          <w:ilvl w:val="2"/>
          <w:numId w:val="17"/>
        </w:numPr>
      </w:pPr>
      <w:r>
        <w:t xml:space="preserve">Maybe natural disasters such as Katrina and climate change has some effect on the southern states compared to the rest of the US. </w:t>
      </w:r>
    </w:p>
    <w:p w14:paraId="39EFBACB" w14:textId="5E2729AE" w:rsidR="00A44760" w:rsidRDefault="00DA5EFB" w:rsidP="009021F6">
      <w:pPr>
        <w:pStyle w:val="ListParagraph"/>
        <w:numPr>
          <w:ilvl w:val="2"/>
          <w:numId w:val="17"/>
        </w:numPr>
      </w:pPr>
      <w:r>
        <w:lastRenderedPageBreak/>
        <w:t>From a cultural perspective, s</w:t>
      </w:r>
      <w:r w:rsidR="00A44760">
        <w:t xml:space="preserve">outhern states are known for </w:t>
      </w:r>
      <w:r w:rsidR="00B20137">
        <w:t xml:space="preserve">their traditional “southern style” foods which often are high in calories and saturated fats. </w:t>
      </w:r>
      <w:r>
        <w:t xml:space="preserve">This may be the leading cause of the lack of fruit and vegetables intake. </w:t>
      </w:r>
    </w:p>
    <w:p w14:paraId="77A80F23" w14:textId="413339A7" w:rsidR="00EE6408" w:rsidRDefault="003F5430" w:rsidP="00EE6408">
      <w:pPr>
        <w:pStyle w:val="ListParagraph"/>
        <w:numPr>
          <w:ilvl w:val="2"/>
          <w:numId w:val="17"/>
        </w:numPr>
      </w:pPr>
      <w:r>
        <w:t xml:space="preserve">The </w:t>
      </w:r>
      <w:r w:rsidR="00C371BC">
        <w:t>highest ranking</w:t>
      </w:r>
      <w:r w:rsidR="00B43EF6">
        <w:t xml:space="preserve"> was among the </w:t>
      </w:r>
      <w:r>
        <w:t xml:space="preserve">youngest </w:t>
      </w:r>
      <w:r w:rsidR="00B43EF6">
        <w:t>of the group</w:t>
      </w:r>
      <w:r w:rsidR="00FE24FD">
        <w:t xml:space="preserve">, and located on the West of the US (Hawaii). One factor that may have </w:t>
      </w:r>
      <w:r w:rsidR="009A0466">
        <w:t>an</w:t>
      </w:r>
      <w:r w:rsidR="00FE24FD">
        <w:t xml:space="preserve"> effect on this statistic is </w:t>
      </w:r>
      <w:r w:rsidR="00D1190C">
        <w:t xml:space="preserve">the lack of resources because </w:t>
      </w:r>
      <w:r w:rsidR="009A0466">
        <w:t>Hawaii is</w:t>
      </w:r>
      <w:r w:rsidR="00D1190C">
        <w:t xml:space="preserve"> an island. Most </w:t>
      </w:r>
      <w:r w:rsidR="009A0466">
        <w:t xml:space="preserve">islands lack of own resources and </w:t>
      </w:r>
      <w:r w:rsidR="002C75A3">
        <w:t>need to get products, such as food from the mainland which increases the price. Most 18</w:t>
      </w:r>
      <w:r w:rsidR="000B793C">
        <w:t xml:space="preserve">-24 y/o are in school or just incorporating themselves in the work force which leads to low earnings. </w:t>
      </w:r>
    </w:p>
    <w:p w14:paraId="4C3E5246" w14:textId="7DD109F6" w:rsidR="00DB3058" w:rsidRDefault="00EE6408" w:rsidP="00BD3218">
      <w:pPr>
        <w:pStyle w:val="ListParagraph"/>
        <w:numPr>
          <w:ilvl w:val="2"/>
          <w:numId w:val="17"/>
        </w:numPr>
      </w:pPr>
      <w:r w:rsidRPr="001709FB">
        <w:t xml:space="preserve">Adults who reported consuming </w:t>
      </w:r>
      <w:r>
        <w:t>vegetables</w:t>
      </w:r>
      <w:r w:rsidRPr="001709FB">
        <w:t xml:space="preserve"> less than once time daily</w:t>
      </w:r>
      <w:r>
        <w:t xml:space="preserve"> are </w:t>
      </w:r>
      <w:r w:rsidR="00DB3058">
        <w:t>also</w:t>
      </w:r>
      <w:r>
        <w:t xml:space="preserve"> located in the southeast of the US. </w:t>
      </w:r>
      <w:r w:rsidR="00625CAE">
        <w:t>In the contrary, the least number of adults who reported consuming vegetables less than once time daily are located in the New England region of the US (most of them being in Maine).</w:t>
      </w:r>
    </w:p>
    <w:p w14:paraId="6B8CB052" w14:textId="29019BB9" w:rsidR="00601080" w:rsidRDefault="009F4894" w:rsidP="00BD3218">
      <w:pPr>
        <w:pStyle w:val="ListParagraph"/>
        <w:numPr>
          <w:ilvl w:val="2"/>
          <w:numId w:val="17"/>
        </w:numPr>
      </w:pPr>
      <w:r>
        <w:t>A</w:t>
      </w:r>
      <w:r w:rsidR="00EE6408">
        <w:t xml:space="preserve">ge </w:t>
      </w:r>
      <w:r w:rsidR="00B85921">
        <w:t xml:space="preserve">seems to be a factor of </w:t>
      </w:r>
      <w:r w:rsidR="00EA5F3E">
        <w:t>trend</w:t>
      </w:r>
      <w:r w:rsidR="00B85921">
        <w:t xml:space="preserve">ing down percentages from </w:t>
      </w:r>
      <w:r w:rsidR="00EA5F3E">
        <w:t>the age groups 18-25 until 35-44.</w:t>
      </w:r>
      <w:r w:rsidR="003107A1">
        <w:t xml:space="preserve"> Location may play an important part on this as it is noted that in the state of </w:t>
      </w:r>
      <w:r w:rsidR="001C7A79">
        <w:t>Louisiana the</w:t>
      </w:r>
      <w:r w:rsidR="00246659">
        <w:t xml:space="preserve"> percentages went up (27%), and then went down</w:t>
      </w:r>
      <w:r w:rsidR="001C7A79">
        <w:t xml:space="preserve"> very little </w:t>
      </w:r>
      <w:r w:rsidR="00891E49">
        <w:t>in 45</w:t>
      </w:r>
      <w:r w:rsidR="001C7A79">
        <w:t xml:space="preserve">-54 to 65 or older. </w:t>
      </w:r>
    </w:p>
    <w:p w14:paraId="1F595AC9" w14:textId="0F38231F" w:rsidR="009021F6" w:rsidRDefault="009021F6" w:rsidP="009021F6">
      <w:pPr>
        <w:pStyle w:val="ListParagraph"/>
        <w:numPr>
          <w:ilvl w:val="2"/>
          <w:numId w:val="17"/>
        </w:numPr>
      </w:pPr>
      <w:r>
        <w:t>Taste preference when it comes to fruit over veggies</w:t>
      </w:r>
      <w:r w:rsidR="00A957AB">
        <w:t xml:space="preserve"> (not all fruits</w:t>
      </w:r>
      <w:r w:rsidR="0081067E">
        <w:t xml:space="preserve"> taste the same unlike other processed foods)</w:t>
      </w:r>
    </w:p>
    <w:p w14:paraId="630B48F1" w14:textId="025E99EB" w:rsidR="00371FB0" w:rsidRDefault="00371FB0" w:rsidP="009021F6">
      <w:pPr>
        <w:pStyle w:val="ListParagraph"/>
        <w:numPr>
          <w:ilvl w:val="2"/>
          <w:numId w:val="17"/>
        </w:numPr>
      </w:pPr>
      <w:r>
        <w:t xml:space="preserve">The misconception that fruits as they are sweet may have more sugars and provide a less nutritional value compared to </w:t>
      </w:r>
      <w:r w:rsidR="005E6A60">
        <w:t xml:space="preserve">veggies </w:t>
      </w:r>
      <w:r w:rsidR="00BD3218">
        <w:t xml:space="preserve"> </w:t>
      </w:r>
    </w:p>
    <w:p w14:paraId="41879E32" w14:textId="67869A10" w:rsidR="007E64DF" w:rsidRDefault="00FE2AB8" w:rsidP="009021F6">
      <w:pPr>
        <w:pStyle w:val="ListParagraph"/>
        <w:numPr>
          <w:ilvl w:val="2"/>
          <w:numId w:val="17"/>
        </w:numPr>
      </w:pPr>
      <w:r>
        <w:t xml:space="preserve">Barriers that prevent adults to </w:t>
      </w:r>
      <w:r w:rsidR="007E64DF">
        <w:t>consume more fruit &amp; veg</w:t>
      </w:r>
    </w:p>
    <w:p w14:paraId="031A4313" w14:textId="77777777" w:rsidR="00BD3218" w:rsidRDefault="00BD3218" w:rsidP="00BD3218">
      <w:pPr>
        <w:pStyle w:val="ListParagraph"/>
        <w:numPr>
          <w:ilvl w:val="3"/>
          <w:numId w:val="17"/>
        </w:numPr>
      </w:pPr>
      <w:r>
        <w:t>Level of education</w:t>
      </w:r>
    </w:p>
    <w:p w14:paraId="5726DE4B" w14:textId="52614C47" w:rsidR="008A22BF" w:rsidRDefault="008A22BF" w:rsidP="008A22BF">
      <w:pPr>
        <w:pStyle w:val="ListParagraph"/>
        <w:numPr>
          <w:ilvl w:val="3"/>
          <w:numId w:val="17"/>
        </w:numPr>
      </w:pPr>
      <w:r>
        <w:t xml:space="preserve">Socio-economic status, higher income, better nutrition </w:t>
      </w:r>
    </w:p>
    <w:p w14:paraId="50F1B93E" w14:textId="25430A82" w:rsidR="00002582" w:rsidRDefault="00002582" w:rsidP="007E64DF">
      <w:pPr>
        <w:pStyle w:val="ListParagraph"/>
        <w:numPr>
          <w:ilvl w:val="3"/>
          <w:numId w:val="17"/>
        </w:numPr>
      </w:pPr>
      <w:r>
        <w:t>The cost</w:t>
      </w:r>
      <w:r w:rsidR="007E0B40">
        <w:t xml:space="preserve">, the wealthier the healthier </w:t>
      </w:r>
    </w:p>
    <w:p w14:paraId="461C2F48" w14:textId="4977FD52" w:rsidR="007E64DF" w:rsidRDefault="007E64DF" w:rsidP="007E64DF">
      <w:pPr>
        <w:pStyle w:val="ListParagraph"/>
        <w:numPr>
          <w:ilvl w:val="3"/>
          <w:numId w:val="17"/>
        </w:numPr>
      </w:pPr>
      <w:r>
        <w:t xml:space="preserve">Variety </w:t>
      </w:r>
    </w:p>
    <w:p w14:paraId="369CAC7B" w14:textId="4ECAEABF" w:rsidR="007E64DF" w:rsidRDefault="007E64DF" w:rsidP="007E64DF">
      <w:pPr>
        <w:pStyle w:val="ListParagraph"/>
        <w:numPr>
          <w:ilvl w:val="3"/>
          <w:numId w:val="17"/>
        </w:numPr>
      </w:pPr>
      <w:r>
        <w:t xml:space="preserve">Quality </w:t>
      </w:r>
    </w:p>
    <w:p w14:paraId="174C3DF3" w14:textId="76374305" w:rsidR="00B652E8" w:rsidRDefault="00B652E8" w:rsidP="007E64DF">
      <w:pPr>
        <w:pStyle w:val="ListParagraph"/>
        <w:numPr>
          <w:ilvl w:val="3"/>
          <w:numId w:val="17"/>
        </w:numPr>
      </w:pPr>
      <w:r>
        <w:t xml:space="preserve">Access </w:t>
      </w:r>
    </w:p>
    <w:p w14:paraId="4CA1ACCA" w14:textId="54090B92" w:rsidR="00130514" w:rsidRDefault="00130514" w:rsidP="007E64DF">
      <w:pPr>
        <w:pStyle w:val="ListParagraph"/>
        <w:numPr>
          <w:ilvl w:val="3"/>
          <w:numId w:val="17"/>
        </w:numPr>
      </w:pPr>
      <w:r>
        <w:t xml:space="preserve">Awareness of the </w:t>
      </w:r>
      <w:r w:rsidR="0040740B">
        <w:t xml:space="preserve">intake recommendation </w:t>
      </w:r>
    </w:p>
    <w:p w14:paraId="6D2B9F23" w14:textId="3AD9C39C" w:rsidR="00401C49" w:rsidRDefault="00401C49" w:rsidP="009021F6">
      <w:pPr>
        <w:pStyle w:val="ListParagraph"/>
        <w:numPr>
          <w:ilvl w:val="2"/>
          <w:numId w:val="17"/>
        </w:numPr>
      </w:pPr>
      <w:r>
        <w:t xml:space="preserve">Health outcome expectations </w:t>
      </w:r>
    </w:p>
    <w:p w14:paraId="4C743C52" w14:textId="23AE9903" w:rsidR="00905511" w:rsidRDefault="00905511" w:rsidP="009021F6">
      <w:pPr>
        <w:pStyle w:val="ListParagraph"/>
        <w:numPr>
          <w:ilvl w:val="2"/>
          <w:numId w:val="17"/>
        </w:numPr>
      </w:pPr>
      <w:r>
        <w:t xml:space="preserve">The consumption of fruit and vegetables will decrease the chances of adults developing chronic diseases </w:t>
      </w:r>
    </w:p>
    <w:p w14:paraId="4CB69763" w14:textId="2638FE53" w:rsidR="00514AF9" w:rsidRPr="00BD3218" w:rsidRDefault="00D43AE9" w:rsidP="00F86E4C">
      <w:pPr>
        <w:pStyle w:val="ListParagraph"/>
        <w:numPr>
          <w:ilvl w:val="2"/>
          <w:numId w:val="17"/>
        </w:numPr>
      </w:pPr>
      <w:r>
        <w:t>The</w:t>
      </w:r>
      <w:r w:rsidR="00871106">
        <w:t xml:space="preserve"> low consumption of fruit and vegetables</w:t>
      </w:r>
      <w:r>
        <w:t xml:space="preserve"> leads to </w:t>
      </w:r>
      <w:r w:rsidR="003654DE">
        <w:t xml:space="preserve">a higher risk of getting a chronic disease which could eventually lead to </w:t>
      </w:r>
      <w:r w:rsidR="00653835">
        <w:t xml:space="preserve">death. </w:t>
      </w:r>
    </w:p>
    <w:p w14:paraId="269A3111" w14:textId="77777777" w:rsidR="00DD55E9" w:rsidRDefault="00DD55E9" w:rsidP="00DD55E9">
      <w:pPr>
        <w:pStyle w:val="ListParagraph"/>
        <w:numPr>
          <w:ilvl w:val="0"/>
          <w:numId w:val="17"/>
        </w:numPr>
      </w:pPr>
      <w:r>
        <w:t xml:space="preserve">Making the call: Based on our analysis, our recommendation includes conducting a more thorough investigation. Running statistical tests such (T-tests and ANOVA) would assist in comparing these different groups to better evaluate a solution to the </w:t>
      </w:r>
      <w:r w:rsidRPr="00825F3A">
        <w:t>higher risk of developing obesity-related conditions</w:t>
      </w:r>
      <w:r>
        <w:t xml:space="preserve"> such as type 2 diabetes, high blood pressure, and coronary artery disease. Introducing food hubs, nutrition education, involving food policy councils, policies and laws would be a first good step to approach this issue. A healthy eating habit supports the health of our immune system to prevent chronic diseases that can become costly to the population as well as to the states.</w:t>
      </w:r>
      <w:r w:rsidRPr="00BF4BD1">
        <w:t xml:space="preserve"> </w:t>
      </w:r>
    </w:p>
    <w:p w14:paraId="11982101" w14:textId="1FE9F7A6" w:rsidR="004373B4" w:rsidRDefault="004373B4" w:rsidP="00EC71F7">
      <w:r w:rsidRPr="00EC71F7">
        <w:rPr>
          <w:b/>
          <w:bCs/>
        </w:rPr>
        <w:lastRenderedPageBreak/>
        <w:t>API</w:t>
      </w:r>
      <w:r>
        <w:t xml:space="preserve">: </w:t>
      </w:r>
      <w:hyperlink r:id="rId11" w:history="1">
        <w:r w:rsidRPr="002523C6">
          <w:rPr>
            <w:rStyle w:val="Hyperlink"/>
          </w:rPr>
          <w:t>https://catalog.data.gov/dataset/nutrition-physical-activity-and-obesity-behavioral-risk-factor-surveillance-system</w:t>
        </w:r>
      </w:hyperlink>
    </w:p>
    <w:p w14:paraId="5A841B54" w14:textId="4BCFDE4A" w:rsidR="0068542B" w:rsidRDefault="0068542B" w:rsidP="004373B4">
      <w:r w:rsidRPr="00A868A2">
        <w:rPr>
          <w:b/>
          <w:bCs/>
        </w:rPr>
        <w:t>Group milestones to stay on track: due dates</w:t>
      </w:r>
    </w:p>
    <w:p w14:paraId="1D757D58" w14:textId="796F5F44" w:rsidR="0068542B" w:rsidRDefault="0068542B" w:rsidP="0068542B">
      <w:pPr>
        <w:pStyle w:val="ListParagraph"/>
        <w:numPr>
          <w:ilvl w:val="0"/>
          <w:numId w:val="4"/>
        </w:numPr>
      </w:pPr>
      <w:r>
        <w:t>Project ideation</w:t>
      </w:r>
      <w:r w:rsidR="00E145F1">
        <w:t xml:space="preserve"> – </w:t>
      </w:r>
      <w:r w:rsidR="00E145F1" w:rsidRPr="0066207B">
        <w:rPr>
          <w:color w:val="00CC00"/>
        </w:rPr>
        <w:t>done</w:t>
      </w:r>
      <w:r w:rsidR="00E145F1">
        <w:t xml:space="preserve"> </w:t>
      </w:r>
    </w:p>
    <w:p w14:paraId="6C9A24C4" w14:textId="67C92BEA" w:rsidR="0068542B" w:rsidRDefault="0068542B" w:rsidP="0068542B">
      <w:pPr>
        <w:pStyle w:val="ListParagraph"/>
        <w:numPr>
          <w:ilvl w:val="0"/>
          <w:numId w:val="4"/>
        </w:numPr>
      </w:pPr>
      <w:r>
        <w:t>Data fetching/API integration</w:t>
      </w:r>
      <w:r w:rsidR="00E145F1">
        <w:t xml:space="preserve"> – </w:t>
      </w:r>
      <w:r w:rsidR="00E145F1" w:rsidRPr="0066207B">
        <w:rPr>
          <w:color w:val="00CC00"/>
        </w:rPr>
        <w:t xml:space="preserve">done </w:t>
      </w:r>
    </w:p>
    <w:p w14:paraId="2DABB731" w14:textId="68BA0402" w:rsidR="0068542B" w:rsidRPr="00DD55E9" w:rsidRDefault="0068542B" w:rsidP="0068542B">
      <w:pPr>
        <w:pStyle w:val="ListParagraph"/>
        <w:numPr>
          <w:ilvl w:val="0"/>
          <w:numId w:val="4"/>
        </w:numPr>
      </w:pPr>
      <w:r w:rsidRPr="00DD55E9">
        <w:t>Data analysis</w:t>
      </w:r>
      <w:r w:rsidR="00A8796A" w:rsidRPr="00DD55E9">
        <w:t xml:space="preserve"> – due 6/13</w:t>
      </w:r>
    </w:p>
    <w:p w14:paraId="1AB1ECA2" w14:textId="360E13BF" w:rsidR="0068542B" w:rsidRPr="00DD55E9" w:rsidRDefault="0068542B" w:rsidP="0068542B">
      <w:pPr>
        <w:pStyle w:val="ListParagraph"/>
        <w:numPr>
          <w:ilvl w:val="0"/>
          <w:numId w:val="4"/>
        </w:numPr>
      </w:pPr>
      <w:r w:rsidRPr="00DD55E9">
        <w:t>Testing</w:t>
      </w:r>
      <w:r w:rsidR="00A8796A" w:rsidRPr="00DD55E9">
        <w:t xml:space="preserve"> – due 6/13</w:t>
      </w:r>
    </w:p>
    <w:p w14:paraId="5C1C28F5" w14:textId="5A79462D" w:rsidR="0068542B" w:rsidRPr="00DD55E9" w:rsidRDefault="0068542B" w:rsidP="0068542B">
      <w:pPr>
        <w:pStyle w:val="ListParagraph"/>
        <w:numPr>
          <w:ilvl w:val="0"/>
          <w:numId w:val="4"/>
        </w:numPr>
      </w:pPr>
      <w:r w:rsidRPr="00DD55E9">
        <w:t>Creating documentation</w:t>
      </w:r>
      <w:r w:rsidR="006208B0" w:rsidRPr="00DD55E9">
        <w:t xml:space="preserve"> – 6/14</w:t>
      </w:r>
    </w:p>
    <w:p w14:paraId="6541954D" w14:textId="7B398506" w:rsidR="00F86E4C" w:rsidRPr="00DD55E9" w:rsidRDefault="0068542B" w:rsidP="0018175D">
      <w:pPr>
        <w:pStyle w:val="ListParagraph"/>
        <w:numPr>
          <w:ilvl w:val="0"/>
          <w:numId w:val="4"/>
        </w:numPr>
      </w:pPr>
      <w:r w:rsidRPr="00DD55E9">
        <w:t>Creating the presentation</w:t>
      </w:r>
      <w:r w:rsidR="006208B0" w:rsidRPr="00DD55E9">
        <w:t xml:space="preserve"> – 6/1</w:t>
      </w:r>
      <w:r w:rsidR="00DD55E9" w:rsidRPr="00DD55E9">
        <w:t>4</w:t>
      </w:r>
    </w:p>
    <w:p w14:paraId="67E946AF" w14:textId="3539C2B4" w:rsidR="0029241E" w:rsidRDefault="00BD3218" w:rsidP="00BD3218">
      <w:pPr>
        <w:keepNext/>
        <w:keepLines/>
        <w:rPr>
          <w:b/>
          <w:bCs/>
        </w:rPr>
      </w:pPr>
      <w:r>
        <w:rPr>
          <w:b/>
          <w:bCs/>
        </w:rPr>
        <w:t xml:space="preserve">Citations: </w:t>
      </w:r>
    </w:p>
    <w:p w14:paraId="4CE90BFB" w14:textId="237D8323" w:rsidR="00BD3218" w:rsidRDefault="00BD3218" w:rsidP="00BD3218">
      <w:pPr>
        <w:keepNext/>
        <w:keepLines/>
      </w:pPr>
      <w:hyperlink r:id="rId12" w:history="1">
        <w:r w:rsidRPr="002523C6">
          <w:rPr>
            <w:rStyle w:val="Hyperlink"/>
          </w:rPr>
          <w:t>https://catalog.data.gov/dataset/nutrition-physical-activity-and-obesity-behavioral-risk-factor-surveillance-system</w:t>
        </w:r>
      </w:hyperlink>
    </w:p>
    <w:p w14:paraId="4CB4CDBC" w14:textId="06D0B7D3" w:rsidR="0029241E" w:rsidRDefault="00DD55E9" w:rsidP="0029241E">
      <w:hyperlink r:id="rId13" w:anchor=":~:text=Adult%20Body%20Mass%20Index%20or%20BMI&amp;text=Or%20determine%20your%20BMI%20by,falls%20within%20the%20overweight%20range" w:history="1">
        <w:r w:rsidR="0029241E" w:rsidRPr="000D0208">
          <w:rPr>
            <w:rStyle w:val="Hyperlink"/>
          </w:rPr>
          <w:t>https://www.cdc.gov/healthyweight/assessing/index.html#:~:text=Adult%20Body%20Mass%20Index%20or%20BMI&amp;text=Or%20determine%20your%20BMI%20by,falls%20within%20the%20overweight%20range</w:t>
        </w:r>
      </w:hyperlink>
      <w:r w:rsidR="0029241E" w:rsidRPr="0029241E">
        <w:t>.</w:t>
      </w:r>
    </w:p>
    <w:p w14:paraId="06171759" w14:textId="6AD205FB" w:rsidR="004B44AC" w:rsidRDefault="00DD55E9" w:rsidP="0029241E">
      <w:hyperlink r:id="rId14" w:anchor="FV1" w:history="1">
        <w:r w:rsidR="004B44AC" w:rsidRPr="00247639">
          <w:rPr>
            <w:rStyle w:val="Hyperlink"/>
          </w:rPr>
          <w:t>https://www.cdc.gov/nccdphp/dnpao/data-trends-maps/help/npao_dtm/definitions.html#FV1</w:t>
        </w:r>
      </w:hyperlink>
    </w:p>
    <w:p w14:paraId="5FB2E681" w14:textId="5E1EC75E" w:rsidR="00B64FAD" w:rsidRDefault="00DD55E9" w:rsidP="0029241E">
      <w:hyperlink r:id="rId15" w:history="1">
        <w:r w:rsidR="009E0D9C" w:rsidRPr="00247639">
          <w:rPr>
            <w:rStyle w:val="Hyperlink"/>
          </w:rPr>
          <w:t>https://www.cdc.gov/brfss/</w:t>
        </w:r>
      </w:hyperlink>
      <w:r w:rsidR="009E0D9C">
        <w:t xml:space="preserve"> </w:t>
      </w:r>
    </w:p>
    <w:p w14:paraId="5B46C786" w14:textId="79005D34" w:rsidR="004B44AC" w:rsidRDefault="00DD55E9" w:rsidP="0029241E">
      <w:hyperlink r:id="rId16" w:anchor=":~:text=The%202020%E2%80%932025%20Dietary%20Guidelines,cup%2Dequivalents%20of%20vegetables%20daily" w:history="1">
        <w:r w:rsidR="006F7131" w:rsidRPr="00A533BC">
          <w:rPr>
            <w:rStyle w:val="Hyperlink"/>
          </w:rPr>
          <w:t>https://www.cdc.gov/mmwr/volumes/71/wr/mm7101a1.htm#:~:text=The%202020%E2%80%932025%20Dietary%20Guidelines,cup%2Dequivalents%20of%20vegetables%20daily</w:t>
        </w:r>
      </w:hyperlink>
      <w:r w:rsidR="006F7131" w:rsidRPr="006F7131">
        <w:t>.</w:t>
      </w:r>
    </w:p>
    <w:p w14:paraId="0521DBC3" w14:textId="5F306EC4" w:rsidR="008B7B36" w:rsidRDefault="008B7B36" w:rsidP="0029241E"/>
    <w:sectPr w:rsidR="008B7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D4C09" w14:textId="77777777" w:rsidR="00A53E78" w:rsidRDefault="00A53E78" w:rsidP="004373B4">
      <w:pPr>
        <w:spacing w:after="0" w:line="240" w:lineRule="auto"/>
      </w:pPr>
      <w:r>
        <w:separator/>
      </w:r>
    </w:p>
  </w:endnote>
  <w:endnote w:type="continuationSeparator" w:id="0">
    <w:p w14:paraId="0C1E4775" w14:textId="77777777" w:rsidR="00A53E78" w:rsidRDefault="00A53E78" w:rsidP="0043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CABAB" w14:textId="77777777" w:rsidR="00A53E78" w:rsidRDefault="00A53E78" w:rsidP="004373B4">
      <w:pPr>
        <w:spacing w:after="0" w:line="240" w:lineRule="auto"/>
      </w:pPr>
      <w:r>
        <w:separator/>
      </w:r>
    </w:p>
  </w:footnote>
  <w:footnote w:type="continuationSeparator" w:id="0">
    <w:p w14:paraId="1E338EEE" w14:textId="77777777" w:rsidR="00A53E78" w:rsidRDefault="00A53E78" w:rsidP="0043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4517"/>
    <w:multiLevelType w:val="multilevel"/>
    <w:tmpl w:val="910A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421F"/>
    <w:multiLevelType w:val="hybridMultilevel"/>
    <w:tmpl w:val="C8366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E0252"/>
    <w:multiLevelType w:val="multilevel"/>
    <w:tmpl w:val="837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4697F"/>
    <w:multiLevelType w:val="hybridMultilevel"/>
    <w:tmpl w:val="DA883C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82464"/>
    <w:multiLevelType w:val="hybridMultilevel"/>
    <w:tmpl w:val="B3100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B681D"/>
    <w:multiLevelType w:val="hybridMultilevel"/>
    <w:tmpl w:val="D9EC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6DFC"/>
    <w:multiLevelType w:val="hybridMultilevel"/>
    <w:tmpl w:val="67A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77950"/>
    <w:multiLevelType w:val="hybridMultilevel"/>
    <w:tmpl w:val="6D364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715B5"/>
    <w:multiLevelType w:val="multilevel"/>
    <w:tmpl w:val="F27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F7F02"/>
    <w:multiLevelType w:val="multilevel"/>
    <w:tmpl w:val="935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7010D"/>
    <w:multiLevelType w:val="hybridMultilevel"/>
    <w:tmpl w:val="0B4CA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57647"/>
    <w:multiLevelType w:val="hybridMultilevel"/>
    <w:tmpl w:val="F684A848"/>
    <w:lvl w:ilvl="0" w:tplc="6CB02A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D65EE"/>
    <w:multiLevelType w:val="hybridMultilevel"/>
    <w:tmpl w:val="52C6EB0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907EB"/>
    <w:multiLevelType w:val="hybridMultilevel"/>
    <w:tmpl w:val="0450BC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357CB"/>
    <w:multiLevelType w:val="hybridMultilevel"/>
    <w:tmpl w:val="B6C2C5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E6EC3"/>
    <w:multiLevelType w:val="hybridMultilevel"/>
    <w:tmpl w:val="E65264F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C33934"/>
    <w:multiLevelType w:val="multilevel"/>
    <w:tmpl w:val="5E1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772DD"/>
    <w:multiLevelType w:val="multilevel"/>
    <w:tmpl w:val="D52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40C6B"/>
    <w:multiLevelType w:val="hybridMultilevel"/>
    <w:tmpl w:val="0DB89D14"/>
    <w:lvl w:ilvl="0" w:tplc="6CB02A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22E3E"/>
    <w:multiLevelType w:val="hybridMultilevel"/>
    <w:tmpl w:val="7B90C8F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22332">
    <w:abstractNumId w:val="1"/>
  </w:num>
  <w:num w:numId="2" w16cid:durableId="746994642">
    <w:abstractNumId w:val="11"/>
  </w:num>
  <w:num w:numId="3" w16cid:durableId="752550263">
    <w:abstractNumId w:val="12"/>
  </w:num>
  <w:num w:numId="4" w16cid:durableId="511115297">
    <w:abstractNumId w:val="6"/>
  </w:num>
  <w:num w:numId="5" w16cid:durableId="1367295476">
    <w:abstractNumId w:val="18"/>
  </w:num>
  <w:num w:numId="6" w16cid:durableId="1832210472">
    <w:abstractNumId w:val="10"/>
  </w:num>
  <w:num w:numId="7" w16cid:durableId="1889680014">
    <w:abstractNumId w:val="14"/>
  </w:num>
  <w:num w:numId="8" w16cid:durableId="2012219933">
    <w:abstractNumId w:val="3"/>
  </w:num>
  <w:num w:numId="9" w16cid:durableId="167331907">
    <w:abstractNumId w:val="0"/>
  </w:num>
  <w:num w:numId="10" w16cid:durableId="1707755957">
    <w:abstractNumId w:val="16"/>
  </w:num>
  <w:num w:numId="11" w16cid:durableId="965700782">
    <w:abstractNumId w:val="17"/>
  </w:num>
  <w:num w:numId="12" w16cid:durableId="1518348792">
    <w:abstractNumId w:val="2"/>
  </w:num>
  <w:num w:numId="13" w16cid:durableId="683173357">
    <w:abstractNumId w:val="8"/>
  </w:num>
  <w:num w:numId="14" w16cid:durableId="557128318">
    <w:abstractNumId w:val="9"/>
  </w:num>
  <w:num w:numId="15" w16cid:durableId="824004920">
    <w:abstractNumId w:val="5"/>
  </w:num>
  <w:num w:numId="16" w16cid:durableId="422918241">
    <w:abstractNumId w:val="4"/>
  </w:num>
  <w:num w:numId="17" w16cid:durableId="1418549909">
    <w:abstractNumId w:val="13"/>
  </w:num>
  <w:num w:numId="18" w16cid:durableId="596064143">
    <w:abstractNumId w:val="7"/>
  </w:num>
  <w:num w:numId="19" w16cid:durableId="1887452737">
    <w:abstractNumId w:val="15"/>
  </w:num>
  <w:num w:numId="20" w16cid:durableId="8193460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B4"/>
    <w:rsid w:val="00002582"/>
    <w:rsid w:val="000030F8"/>
    <w:rsid w:val="00020E5A"/>
    <w:rsid w:val="00023727"/>
    <w:rsid w:val="00034523"/>
    <w:rsid w:val="00041EE2"/>
    <w:rsid w:val="00042CC8"/>
    <w:rsid w:val="00045DAD"/>
    <w:rsid w:val="00056194"/>
    <w:rsid w:val="0006464B"/>
    <w:rsid w:val="0006523B"/>
    <w:rsid w:val="00073A07"/>
    <w:rsid w:val="00073E21"/>
    <w:rsid w:val="00074D87"/>
    <w:rsid w:val="00083A1A"/>
    <w:rsid w:val="0009620B"/>
    <w:rsid w:val="000A2B43"/>
    <w:rsid w:val="000A2BE7"/>
    <w:rsid w:val="000B793C"/>
    <w:rsid w:val="000C10BF"/>
    <w:rsid w:val="000C5076"/>
    <w:rsid w:val="000C7CAB"/>
    <w:rsid w:val="000D499F"/>
    <w:rsid w:val="000E15AB"/>
    <w:rsid w:val="000F5B39"/>
    <w:rsid w:val="0010538A"/>
    <w:rsid w:val="0011233D"/>
    <w:rsid w:val="00117043"/>
    <w:rsid w:val="0012425E"/>
    <w:rsid w:val="00126E50"/>
    <w:rsid w:val="00130514"/>
    <w:rsid w:val="00135B0D"/>
    <w:rsid w:val="00147549"/>
    <w:rsid w:val="001479AC"/>
    <w:rsid w:val="001524D7"/>
    <w:rsid w:val="00156A09"/>
    <w:rsid w:val="00164651"/>
    <w:rsid w:val="001709FB"/>
    <w:rsid w:val="0017156E"/>
    <w:rsid w:val="001757FE"/>
    <w:rsid w:val="00182317"/>
    <w:rsid w:val="00194DBF"/>
    <w:rsid w:val="0019522D"/>
    <w:rsid w:val="001A052C"/>
    <w:rsid w:val="001A17A8"/>
    <w:rsid w:val="001A4C83"/>
    <w:rsid w:val="001B1C15"/>
    <w:rsid w:val="001B31BB"/>
    <w:rsid w:val="001B784B"/>
    <w:rsid w:val="001C7A79"/>
    <w:rsid w:val="001D2A70"/>
    <w:rsid w:val="001D4E6E"/>
    <w:rsid w:val="001F0F03"/>
    <w:rsid w:val="001F4FDC"/>
    <w:rsid w:val="001F51D3"/>
    <w:rsid w:val="001F5ABB"/>
    <w:rsid w:val="00205A74"/>
    <w:rsid w:val="00206C1E"/>
    <w:rsid w:val="00206C71"/>
    <w:rsid w:val="00212643"/>
    <w:rsid w:val="00213615"/>
    <w:rsid w:val="00214746"/>
    <w:rsid w:val="002358CF"/>
    <w:rsid w:val="00236A8D"/>
    <w:rsid w:val="00246659"/>
    <w:rsid w:val="00247D7B"/>
    <w:rsid w:val="0025017F"/>
    <w:rsid w:val="00255A8C"/>
    <w:rsid w:val="002575E9"/>
    <w:rsid w:val="00277E69"/>
    <w:rsid w:val="002818E5"/>
    <w:rsid w:val="00290728"/>
    <w:rsid w:val="00290E30"/>
    <w:rsid w:val="0029241E"/>
    <w:rsid w:val="00296D18"/>
    <w:rsid w:val="002971F1"/>
    <w:rsid w:val="002A17DF"/>
    <w:rsid w:val="002B173B"/>
    <w:rsid w:val="002C1A56"/>
    <w:rsid w:val="002C2FFD"/>
    <w:rsid w:val="002C75A3"/>
    <w:rsid w:val="002D0BA3"/>
    <w:rsid w:val="002D0C84"/>
    <w:rsid w:val="002E0955"/>
    <w:rsid w:val="002E5166"/>
    <w:rsid w:val="002E7D45"/>
    <w:rsid w:val="002F104F"/>
    <w:rsid w:val="002F2710"/>
    <w:rsid w:val="002F46B8"/>
    <w:rsid w:val="002F48DE"/>
    <w:rsid w:val="002F7941"/>
    <w:rsid w:val="003067C4"/>
    <w:rsid w:val="003107A1"/>
    <w:rsid w:val="003126BF"/>
    <w:rsid w:val="00312A50"/>
    <w:rsid w:val="00312FF4"/>
    <w:rsid w:val="003136B1"/>
    <w:rsid w:val="0031402C"/>
    <w:rsid w:val="003215EF"/>
    <w:rsid w:val="003238BD"/>
    <w:rsid w:val="003342A4"/>
    <w:rsid w:val="00337D6D"/>
    <w:rsid w:val="003433D3"/>
    <w:rsid w:val="00345B33"/>
    <w:rsid w:val="00357E0F"/>
    <w:rsid w:val="0036148B"/>
    <w:rsid w:val="003654DE"/>
    <w:rsid w:val="0036756A"/>
    <w:rsid w:val="00371E55"/>
    <w:rsid w:val="00371FB0"/>
    <w:rsid w:val="003766FA"/>
    <w:rsid w:val="0038085F"/>
    <w:rsid w:val="00381B99"/>
    <w:rsid w:val="00387F0A"/>
    <w:rsid w:val="003A0783"/>
    <w:rsid w:val="003B1F6F"/>
    <w:rsid w:val="003B2651"/>
    <w:rsid w:val="003D2EB1"/>
    <w:rsid w:val="003E4B29"/>
    <w:rsid w:val="003E6FB5"/>
    <w:rsid w:val="003F5430"/>
    <w:rsid w:val="003F6DED"/>
    <w:rsid w:val="00401612"/>
    <w:rsid w:val="00401C49"/>
    <w:rsid w:val="0040740B"/>
    <w:rsid w:val="00412EFF"/>
    <w:rsid w:val="00423F32"/>
    <w:rsid w:val="0043388F"/>
    <w:rsid w:val="00436257"/>
    <w:rsid w:val="004373B4"/>
    <w:rsid w:val="004418BC"/>
    <w:rsid w:val="00450368"/>
    <w:rsid w:val="0045065B"/>
    <w:rsid w:val="00452F3F"/>
    <w:rsid w:val="0045476F"/>
    <w:rsid w:val="004561E2"/>
    <w:rsid w:val="00462F5B"/>
    <w:rsid w:val="004775D5"/>
    <w:rsid w:val="00477CF9"/>
    <w:rsid w:val="0048462C"/>
    <w:rsid w:val="00484EA0"/>
    <w:rsid w:val="004852BB"/>
    <w:rsid w:val="004903D3"/>
    <w:rsid w:val="00493F41"/>
    <w:rsid w:val="00495A74"/>
    <w:rsid w:val="004A58F6"/>
    <w:rsid w:val="004B0069"/>
    <w:rsid w:val="004B44AC"/>
    <w:rsid w:val="004D2BAC"/>
    <w:rsid w:val="004D62C0"/>
    <w:rsid w:val="004E43A6"/>
    <w:rsid w:val="004F3ABF"/>
    <w:rsid w:val="0050243D"/>
    <w:rsid w:val="00511C40"/>
    <w:rsid w:val="00514AF9"/>
    <w:rsid w:val="00516E48"/>
    <w:rsid w:val="005226D8"/>
    <w:rsid w:val="005231EF"/>
    <w:rsid w:val="0054076B"/>
    <w:rsid w:val="00541DBA"/>
    <w:rsid w:val="0054464B"/>
    <w:rsid w:val="00545ABC"/>
    <w:rsid w:val="00561418"/>
    <w:rsid w:val="00563949"/>
    <w:rsid w:val="00565212"/>
    <w:rsid w:val="00567EA5"/>
    <w:rsid w:val="0057232C"/>
    <w:rsid w:val="005749FE"/>
    <w:rsid w:val="0058106A"/>
    <w:rsid w:val="005812AC"/>
    <w:rsid w:val="00592162"/>
    <w:rsid w:val="0059235D"/>
    <w:rsid w:val="00592FF6"/>
    <w:rsid w:val="005961B0"/>
    <w:rsid w:val="005A22A4"/>
    <w:rsid w:val="005B5321"/>
    <w:rsid w:val="005D3A8B"/>
    <w:rsid w:val="005D68D5"/>
    <w:rsid w:val="005D6C7F"/>
    <w:rsid w:val="005E3424"/>
    <w:rsid w:val="005E3E5A"/>
    <w:rsid w:val="005E6A60"/>
    <w:rsid w:val="005F3337"/>
    <w:rsid w:val="005F7308"/>
    <w:rsid w:val="00601080"/>
    <w:rsid w:val="006041BD"/>
    <w:rsid w:val="0060484C"/>
    <w:rsid w:val="006063C8"/>
    <w:rsid w:val="00613B57"/>
    <w:rsid w:val="006208B0"/>
    <w:rsid w:val="006227C6"/>
    <w:rsid w:val="00623D2B"/>
    <w:rsid w:val="00625CAE"/>
    <w:rsid w:val="00626610"/>
    <w:rsid w:val="00632A8A"/>
    <w:rsid w:val="006345BD"/>
    <w:rsid w:val="00634AEE"/>
    <w:rsid w:val="00646910"/>
    <w:rsid w:val="00647A37"/>
    <w:rsid w:val="00650BE5"/>
    <w:rsid w:val="00653835"/>
    <w:rsid w:val="00654585"/>
    <w:rsid w:val="006571B0"/>
    <w:rsid w:val="0066207B"/>
    <w:rsid w:val="0066212B"/>
    <w:rsid w:val="00676E71"/>
    <w:rsid w:val="00681D69"/>
    <w:rsid w:val="0068542B"/>
    <w:rsid w:val="00695F13"/>
    <w:rsid w:val="006A27C8"/>
    <w:rsid w:val="006A2C69"/>
    <w:rsid w:val="006B4C1F"/>
    <w:rsid w:val="006B52BB"/>
    <w:rsid w:val="006B66CF"/>
    <w:rsid w:val="006B7821"/>
    <w:rsid w:val="006C5E53"/>
    <w:rsid w:val="006D1BF5"/>
    <w:rsid w:val="006D4E52"/>
    <w:rsid w:val="006E041E"/>
    <w:rsid w:val="006E7577"/>
    <w:rsid w:val="006E7E67"/>
    <w:rsid w:val="006F1EFD"/>
    <w:rsid w:val="006F3948"/>
    <w:rsid w:val="006F4C79"/>
    <w:rsid w:val="006F60AC"/>
    <w:rsid w:val="006F7131"/>
    <w:rsid w:val="00701C70"/>
    <w:rsid w:val="00705930"/>
    <w:rsid w:val="00710CD0"/>
    <w:rsid w:val="00710DFA"/>
    <w:rsid w:val="0071388B"/>
    <w:rsid w:val="00720922"/>
    <w:rsid w:val="00721FB8"/>
    <w:rsid w:val="0073203F"/>
    <w:rsid w:val="00733680"/>
    <w:rsid w:val="00737DE5"/>
    <w:rsid w:val="00742B75"/>
    <w:rsid w:val="00745D7B"/>
    <w:rsid w:val="007576CF"/>
    <w:rsid w:val="00763AB9"/>
    <w:rsid w:val="00770953"/>
    <w:rsid w:val="00773D71"/>
    <w:rsid w:val="00773E32"/>
    <w:rsid w:val="007808A4"/>
    <w:rsid w:val="00782234"/>
    <w:rsid w:val="00785647"/>
    <w:rsid w:val="0078579A"/>
    <w:rsid w:val="00797182"/>
    <w:rsid w:val="007B581F"/>
    <w:rsid w:val="007C51DC"/>
    <w:rsid w:val="007C7997"/>
    <w:rsid w:val="007C7C51"/>
    <w:rsid w:val="007D650F"/>
    <w:rsid w:val="007D7657"/>
    <w:rsid w:val="007E07A0"/>
    <w:rsid w:val="007E0B40"/>
    <w:rsid w:val="007E270B"/>
    <w:rsid w:val="007E459B"/>
    <w:rsid w:val="007E64DF"/>
    <w:rsid w:val="007F23F9"/>
    <w:rsid w:val="007F6E4B"/>
    <w:rsid w:val="00803D85"/>
    <w:rsid w:val="008049F5"/>
    <w:rsid w:val="0081067E"/>
    <w:rsid w:val="00817277"/>
    <w:rsid w:val="00820BF2"/>
    <w:rsid w:val="00820D4D"/>
    <w:rsid w:val="00825F3A"/>
    <w:rsid w:val="00827577"/>
    <w:rsid w:val="00831374"/>
    <w:rsid w:val="008627B2"/>
    <w:rsid w:val="00863DC3"/>
    <w:rsid w:val="00866A16"/>
    <w:rsid w:val="00871106"/>
    <w:rsid w:val="0087111C"/>
    <w:rsid w:val="00881EDE"/>
    <w:rsid w:val="008867F2"/>
    <w:rsid w:val="00891400"/>
    <w:rsid w:val="00891E49"/>
    <w:rsid w:val="008967DD"/>
    <w:rsid w:val="008969E4"/>
    <w:rsid w:val="008A0D16"/>
    <w:rsid w:val="008A22BF"/>
    <w:rsid w:val="008A645C"/>
    <w:rsid w:val="008B7B36"/>
    <w:rsid w:val="008C630A"/>
    <w:rsid w:val="008D3D77"/>
    <w:rsid w:val="008D4C48"/>
    <w:rsid w:val="008D78EA"/>
    <w:rsid w:val="008E122B"/>
    <w:rsid w:val="008E1541"/>
    <w:rsid w:val="008E2E76"/>
    <w:rsid w:val="008E3629"/>
    <w:rsid w:val="008E4BE6"/>
    <w:rsid w:val="008E534F"/>
    <w:rsid w:val="008F48EA"/>
    <w:rsid w:val="009021F6"/>
    <w:rsid w:val="00905511"/>
    <w:rsid w:val="00906FAA"/>
    <w:rsid w:val="009140C6"/>
    <w:rsid w:val="00916863"/>
    <w:rsid w:val="009178FC"/>
    <w:rsid w:val="00920F5C"/>
    <w:rsid w:val="00921F0D"/>
    <w:rsid w:val="009227B2"/>
    <w:rsid w:val="009243F5"/>
    <w:rsid w:val="009320FE"/>
    <w:rsid w:val="00933584"/>
    <w:rsid w:val="009341CC"/>
    <w:rsid w:val="00935ABD"/>
    <w:rsid w:val="00943E30"/>
    <w:rsid w:val="00945837"/>
    <w:rsid w:val="009557A2"/>
    <w:rsid w:val="009603FF"/>
    <w:rsid w:val="009678DA"/>
    <w:rsid w:val="00990ED2"/>
    <w:rsid w:val="009923A0"/>
    <w:rsid w:val="0099382B"/>
    <w:rsid w:val="009A0466"/>
    <w:rsid w:val="009B54BE"/>
    <w:rsid w:val="009D3814"/>
    <w:rsid w:val="009E0D9C"/>
    <w:rsid w:val="009E50AF"/>
    <w:rsid w:val="009E6044"/>
    <w:rsid w:val="009F078D"/>
    <w:rsid w:val="009F4894"/>
    <w:rsid w:val="00A02B1A"/>
    <w:rsid w:val="00A05CEB"/>
    <w:rsid w:val="00A12B38"/>
    <w:rsid w:val="00A21076"/>
    <w:rsid w:val="00A21298"/>
    <w:rsid w:val="00A21D43"/>
    <w:rsid w:val="00A24F19"/>
    <w:rsid w:val="00A26453"/>
    <w:rsid w:val="00A27FD6"/>
    <w:rsid w:val="00A37C74"/>
    <w:rsid w:val="00A44760"/>
    <w:rsid w:val="00A509AE"/>
    <w:rsid w:val="00A51FDB"/>
    <w:rsid w:val="00A53E78"/>
    <w:rsid w:val="00A55AB7"/>
    <w:rsid w:val="00A5782A"/>
    <w:rsid w:val="00A578B3"/>
    <w:rsid w:val="00A57C29"/>
    <w:rsid w:val="00A608A0"/>
    <w:rsid w:val="00A63CBB"/>
    <w:rsid w:val="00A71448"/>
    <w:rsid w:val="00A7467F"/>
    <w:rsid w:val="00A74F5A"/>
    <w:rsid w:val="00A77060"/>
    <w:rsid w:val="00A82AF5"/>
    <w:rsid w:val="00A868A2"/>
    <w:rsid w:val="00A8796A"/>
    <w:rsid w:val="00A9410F"/>
    <w:rsid w:val="00A957AB"/>
    <w:rsid w:val="00A95E9F"/>
    <w:rsid w:val="00A9757E"/>
    <w:rsid w:val="00AA1005"/>
    <w:rsid w:val="00AB69B6"/>
    <w:rsid w:val="00AB6A49"/>
    <w:rsid w:val="00AB74F0"/>
    <w:rsid w:val="00AC0037"/>
    <w:rsid w:val="00AC1C9C"/>
    <w:rsid w:val="00AC281E"/>
    <w:rsid w:val="00AD5B3B"/>
    <w:rsid w:val="00AE1889"/>
    <w:rsid w:val="00AE70CF"/>
    <w:rsid w:val="00B04D75"/>
    <w:rsid w:val="00B0762C"/>
    <w:rsid w:val="00B20137"/>
    <w:rsid w:val="00B2447C"/>
    <w:rsid w:val="00B31B2F"/>
    <w:rsid w:val="00B36528"/>
    <w:rsid w:val="00B406D3"/>
    <w:rsid w:val="00B4372A"/>
    <w:rsid w:val="00B43A0D"/>
    <w:rsid w:val="00B43EF6"/>
    <w:rsid w:val="00B50135"/>
    <w:rsid w:val="00B6282F"/>
    <w:rsid w:val="00B64233"/>
    <w:rsid w:val="00B64FAD"/>
    <w:rsid w:val="00B652E8"/>
    <w:rsid w:val="00B700BD"/>
    <w:rsid w:val="00B73CBF"/>
    <w:rsid w:val="00B767C0"/>
    <w:rsid w:val="00B836D5"/>
    <w:rsid w:val="00B85921"/>
    <w:rsid w:val="00B932F4"/>
    <w:rsid w:val="00B97089"/>
    <w:rsid w:val="00BA2F09"/>
    <w:rsid w:val="00BA4F03"/>
    <w:rsid w:val="00BA5305"/>
    <w:rsid w:val="00BB1B6C"/>
    <w:rsid w:val="00BB388A"/>
    <w:rsid w:val="00BB5C55"/>
    <w:rsid w:val="00BC3A7B"/>
    <w:rsid w:val="00BC4BB8"/>
    <w:rsid w:val="00BD1EA8"/>
    <w:rsid w:val="00BD3218"/>
    <w:rsid w:val="00BD34F7"/>
    <w:rsid w:val="00BD62E1"/>
    <w:rsid w:val="00BD654E"/>
    <w:rsid w:val="00BE0FFB"/>
    <w:rsid w:val="00BE1989"/>
    <w:rsid w:val="00BE5904"/>
    <w:rsid w:val="00BF108D"/>
    <w:rsid w:val="00BF4BD1"/>
    <w:rsid w:val="00C1703B"/>
    <w:rsid w:val="00C17C9F"/>
    <w:rsid w:val="00C22FDE"/>
    <w:rsid w:val="00C306C7"/>
    <w:rsid w:val="00C31129"/>
    <w:rsid w:val="00C31834"/>
    <w:rsid w:val="00C33195"/>
    <w:rsid w:val="00C371BC"/>
    <w:rsid w:val="00C41FFA"/>
    <w:rsid w:val="00C475E1"/>
    <w:rsid w:val="00C51A36"/>
    <w:rsid w:val="00C53710"/>
    <w:rsid w:val="00C53F7F"/>
    <w:rsid w:val="00C572E9"/>
    <w:rsid w:val="00C6063C"/>
    <w:rsid w:val="00C851BB"/>
    <w:rsid w:val="00C95F1C"/>
    <w:rsid w:val="00CA716D"/>
    <w:rsid w:val="00CB0C8B"/>
    <w:rsid w:val="00CB37FF"/>
    <w:rsid w:val="00CC3E57"/>
    <w:rsid w:val="00CD0739"/>
    <w:rsid w:val="00CD5C05"/>
    <w:rsid w:val="00CE0612"/>
    <w:rsid w:val="00CE1A1A"/>
    <w:rsid w:val="00CE798F"/>
    <w:rsid w:val="00CF0807"/>
    <w:rsid w:val="00CF71DF"/>
    <w:rsid w:val="00D0013E"/>
    <w:rsid w:val="00D04DBB"/>
    <w:rsid w:val="00D055A4"/>
    <w:rsid w:val="00D07BC4"/>
    <w:rsid w:val="00D1190C"/>
    <w:rsid w:val="00D12663"/>
    <w:rsid w:val="00D12A66"/>
    <w:rsid w:val="00D14843"/>
    <w:rsid w:val="00D2045E"/>
    <w:rsid w:val="00D23A32"/>
    <w:rsid w:val="00D23CBC"/>
    <w:rsid w:val="00D30A3A"/>
    <w:rsid w:val="00D377CD"/>
    <w:rsid w:val="00D37F4A"/>
    <w:rsid w:val="00D37F71"/>
    <w:rsid w:val="00D419A9"/>
    <w:rsid w:val="00D43AE9"/>
    <w:rsid w:val="00D44510"/>
    <w:rsid w:val="00D5189A"/>
    <w:rsid w:val="00D5247E"/>
    <w:rsid w:val="00D64E10"/>
    <w:rsid w:val="00D65B92"/>
    <w:rsid w:val="00D65DCE"/>
    <w:rsid w:val="00D6772E"/>
    <w:rsid w:val="00D815D2"/>
    <w:rsid w:val="00D9068A"/>
    <w:rsid w:val="00D92912"/>
    <w:rsid w:val="00DA1149"/>
    <w:rsid w:val="00DA58EE"/>
    <w:rsid w:val="00DA5EFB"/>
    <w:rsid w:val="00DB0DBF"/>
    <w:rsid w:val="00DB3058"/>
    <w:rsid w:val="00DB53EA"/>
    <w:rsid w:val="00DC4325"/>
    <w:rsid w:val="00DD049F"/>
    <w:rsid w:val="00DD4B1B"/>
    <w:rsid w:val="00DD55E9"/>
    <w:rsid w:val="00DE1230"/>
    <w:rsid w:val="00DF16D6"/>
    <w:rsid w:val="00DF423D"/>
    <w:rsid w:val="00DF4DF2"/>
    <w:rsid w:val="00DF4E36"/>
    <w:rsid w:val="00DF533D"/>
    <w:rsid w:val="00E03609"/>
    <w:rsid w:val="00E077D4"/>
    <w:rsid w:val="00E11F9B"/>
    <w:rsid w:val="00E145F1"/>
    <w:rsid w:val="00E1708B"/>
    <w:rsid w:val="00E171FB"/>
    <w:rsid w:val="00E27DD8"/>
    <w:rsid w:val="00E308B4"/>
    <w:rsid w:val="00E34BBA"/>
    <w:rsid w:val="00E46FAE"/>
    <w:rsid w:val="00E64147"/>
    <w:rsid w:val="00E756D0"/>
    <w:rsid w:val="00E77CA5"/>
    <w:rsid w:val="00E82B2F"/>
    <w:rsid w:val="00E82CC7"/>
    <w:rsid w:val="00E8765E"/>
    <w:rsid w:val="00E93BD7"/>
    <w:rsid w:val="00EA4A19"/>
    <w:rsid w:val="00EA5F3E"/>
    <w:rsid w:val="00EB49DE"/>
    <w:rsid w:val="00EB4D28"/>
    <w:rsid w:val="00EB6D7F"/>
    <w:rsid w:val="00EC29CC"/>
    <w:rsid w:val="00EC3B8B"/>
    <w:rsid w:val="00EC53FE"/>
    <w:rsid w:val="00EC71F7"/>
    <w:rsid w:val="00ED21D5"/>
    <w:rsid w:val="00ED37FF"/>
    <w:rsid w:val="00ED60DC"/>
    <w:rsid w:val="00EE3D58"/>
    <w:rsid w:val="00EE6408"/>
    <w:rsid w:val="00EF1452"/>
    <w:rsid w:val="00EF48EC"/>
    <w:rsid w:val="00EF7C69"/>
    <w:rsid w:val="00EF7D13"/>
    <w:rsid w:val="00F0102D"/>
    <w:rsid w:val="00F03A29"/>
    <w:rsid w:val="00F04C20"/>
    <w:rsid w:val="00F17CD8"/>
    <w:rsid w:val="00F302A0"/>
    <w:rsid w:val="00F33A64"/>
    <w:rsid w:val="00F355DF"/>
    <w:rsid w:val="00F375BA"/>
    <w:rsid w:val="00F50FEB"/>
    <w:rsid w:val="00F61310"/>
    <w:rsid w:val="00F752AD"/>
    <w:rsid w:val="00F86E4C"/>
    <w:rsid w:val="00FA5BE3"/>
    <w:rsid w:val="00FB246A"/>
    <w:rsid w:val="00FB51A2"/>
    <w:rsid w:val="00FC0D61"/>
    <w:rsid w:val="00FC7383"/>
    <w:rsid w:val="00FC7829"/>
    <w:rsid w:val="00FC7B0F"/>
    <w:rsid w:val="00FD0478"/>
    <w:rsid w:val="00FD7DBD"/>
    <w:rsid w:val="00FE24FD"/>
    <w:rsid w:val="00FE2AB8"/>
    <w:rsid w:val="00FE4BFF"/>
    <w:rsid w:val="00FF2016"/>
    <w:rsid w:val="00FF5D61"/>
    <w:rsid w:val="00FF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7D68D"/>
  <w15:chartTrackingRefBased/>
  <w15:docId w15:val="{AFABBF92-24C2-45A8-8AA1-C12F4D02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B4"/>
    <w:pPr>
      <w:ind w:left="720"/>
      <w:contextualSpacing/>
    </w:pPr>
  </w:style>
  <w:style w:type="character" w:styleId="Hyperlink">
    <w:name w:val="Hyperlink"/>
    <w:basedOn w:val="DefaultParagraphFont"/>
    <w:uiPriority w:val="99"/>
    <w:unhideWhenUsed/>
    <w:rsid w:val="004373B4"/>
    <w:rPr>
      <w:color w:val="0563C1" w:themeColor="hyperlink"/>
      <w:u w:val="single"/>
    </w:rPr>
  </w:style>
  <w:style w:type="character" w:styleId="UnresolvedMention">
    <w:name w:val="Unresolved Mention"/>
    <w:basedOn w:val="DefaultParagraphFont"/>
    <w:uiPriority w:val="99"/>
    <w:semiHidden/>
    <w:unhideWhenUsed/>
    <w:rsid w:val="004373B4"/>
    <w:rPr>
      <w:color w:val="605E5C"/>
      <w:shd w:val="clear" w:color="auto" w:fill="E1DFDD"/>
    </w:rPr>
  </w:style>
  <w:style w:type="paragraph" w:styleId="Header">
    <w:name w:val="header"/>
    <w:basedOn w:val="Normal"/>
    <w:link w:val="HeaderChar"/>
    <w:uiPriority w:val="99"/>
    <w:unhideWhenUsed/>
    <w:rsid w:val="00437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B4"/>
  </w:style>
  <w:style w:type="paragraph" w:styleId="Footer">
    <w:name w:val="footer"/>
    <w:basedOn w:val="Normal"/>
    <w:link w:val="FooterChar"/>
    <w:uiPriority w:val="99"/>
    <w:unhideWhenUsed/>
    <w:rsid w:val="00437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B4"/>
  </w:style>
  <w:style w:type="character" w:styleId="CommentReference">
    <w:name w:val="annotation reference"/>
    <w:basedOn w:val="DefaultParagraphFont"/>
    <w:uiPriority w:val="99"/>
    <w:semiHidden/>
    <w:unhideWhenUsed/>
    <w:rsid w:val="0025017F"/>
    <w:rPr>
      <w:sz w:val="16"/>
      <w:szCs w:val="16"/>
    </w:rPr>
  </w:style>
  <w:style w:type="paragraph" w:styleId="CommentText">
    <w:name w:val="annotation text"/>
    <w:basedOn w:val="Normal"/>
    <w:link w:val="CommentTextChar"/>
    <w:uiPriority w:val="99"/>
    <w:unhideWhenUsed/>
    <w:rsid w:val="0025017F"/>
    <w:pPr>
      <w:spacing w:line="240" w:lineRule="auto"/>
    </w:pPr>
    <w:rPr>
      <w:sz w:val="20"/>
      <w:szCs w:val="20"/>
    </w:rPr>
  </w:style>
  <w:style w:type="character" w:customStyle="1" w:styleId="CommentTextChar">
    <w:name w:val="Comment Text Char"/>
    <w:basedOn w:val="DefaultParagraphFont"/>
    <w:link w:val="CommentText"/>
    <w:uiPriority w:val="99"/>
    <w:rsid w:val="0025017F"/>
    <w:rPr>
      <w:sz w:val="20"/>
      <w:szCs w:val="20"/>
    </w:rPr>
  </w:style>
  <w:style w:type="paragraph" w:styleId="CommentSubject">
    <w:name w:val="annotation subject"/>
    <w:basedOn w:val="CommentText"/>
    <w:next w:val="CommentText"/>
    <w:link w:val="CommentSubjectChar"/>
    <w:uiPriority w:val="99"/>
    <w:semiHidden/>
    <w:unhideWhenUsed/>
    <w:rsid w:val="0025017F"/>
    <w:rPr>
      <w:b/>
      <w:bCs/>
    </w:rPr>
  </w:style>
  <w:style w:type="character" w:customStyle="1" w:styleId="CommentSubjectChar">
    <w:name w:val="Comment Subject Char"/>
    <w:basedOn w:val="CommentTextChar"/>
    <w:link w:val="CommentSubject"/>
    <w:uiPriority w:val="99"/>
    <w:semiHidden/>
    <w:rsid w:val="0025017F"/>
    <w:rPr>
      <w:b/>
      <w:bCs/>
      <w:sz w:val="20"/>
      <w:szCs w:val="20"/>
    </w:rPr>
  </w:style>
  <w:style w:type="character" w:styleId="FollowedHyperlink">
    <w:name w:val="FollowedHyperlink"/>
    <w:basedOn w:val="DefaultParagraphFont"/>
    <w:uiPriority w:val="99"/>
    <w:semiHidden/>
    <w:unhideWhenUsed/>
    <w:rsid w:val="00742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0346">
      <w:bodyDiv w:val="1"/>
      <w:marLeft w:val="0"/>
      <w:marRight w:val="0"/>
      <w:marTop w:val="0"/>
      <w:marBottom w:val="0"/>
      <w:divBdr>
        <w:top w:val="none" w:sz="0" w:space="0" w:color="auto"/>
        <w:left w:val="none" w:sz="0" w:space="0" w:color="auto"/>
        <w:bottom w:val="none" w:sz="0" w:space="0" w:color="auto"/>
        <w:right w:val="none" w:sz="0" w:space="0" w:color="auto"/>
      </w:divBdr>
    </w:div>
    <w:div w:id="168445951">
      <w:bodyDiv w:val="1"/>
      <w:marLeft w:val="0"/>
      <w:marRight w:val="0"/>
      <w:marTop w:val="0"/>
      <w:marBottom w:val="0"/>
      <w:divBdr>
        <w:top w:val="none" w:sz="0" w:space="0" w:color="auto"/>
        <w:left w:val="none" w:sz="0" w:space="0" w:color="auto"/>
        <w:bottom w:val="none" w:sz="0" w:space="0" w:color="auto"/>
        <w:right w:val="none" w:sz="0" w:space="0" w:color="auto"/>
      </w:divBdr>
    </w:div>
    <w:div w:id="6356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dc.gov/healthyweight/assessing/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catalog.data.gov/dataset/nutrition-physical-activity-and-obesity-behavioral-risk-factor-surveillance-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mmwr/volumes/71/wr/mm7101a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ata.gov/dataset/nutrition-physical-activity-and-obesity-behavioral-risk-factor-surveillance-system" TargetMode="External"/><Relationship Id="rId5" Type="http://schemas.openxmlformats.org/officeDocument/2006/relationships/footnotes" Target="footnotes.xml"/><Relationship Id="rId15" Type="http://schemas.openxmlformats.org/officeDocument/2006/relationships/hyperlink" Target="https://www.cdc.gov/brfss/"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cdc.gov/nccdphp/dnpao/data-trends-maps/help/npao_dtm/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1352</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Van de Weyer</dc:creator>
  <cp:keywords/>
  <dc:description/>
  <cp:lastModifiedBy>Paola Van de Weyer</cp:lastModifiedBy>
  <cp:revision>141</cp:revision>
  <dcterms:created xsi:type="dcterms:W3CDTF">2024-06-17T14:50:00Z</dcterms:created>
  <dcterms:modified xsi:type="dcterms:W3CDTF">2024-06-18T02:19:00Z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1b7ecdc5c09e6e300bf75c7737f985adc26817a0dae8ce8126091f9f3ad92808</vt:lpwstr>
  </property>
</Properties>
</file>