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2D50" w14:textId="77777777" w:rsidR="00F86FD3" w:rsidRDefault="00F86FD3" w:rsidP="00F86FD3">
      <w:pPr>
        <w:ind w:left="720" w:hanging="360"/>
      </w:pPr>
    </w:p>
    <w:p w14:paraId="6EFC5397" w14:textId="1CB9DB87" w:rsidR="001A654C" w:rsidRPr="001A654C" w:rsidRDefault="001A654C" w:rsidP="001A654C">
      <w:pPr>
        <w:rPr>
          <w:rFonts w:eastAsia="Times New Roman"/>
          <w:b/>
          <w:bCs/>
          <w:sz w:val="28"/>
          <w:szCs w:val="28"/>
        </w:rPr>
      </w:pPr>
      <w:r w:rsidRPr="001A654C">
        <w:rPr>
          <w:rFonts w:eastAsia="Times New Roman"/>
          <w:b/>
          <w:bCs/>
          <w:sz w:val="28"/>
          <w:szCs w:val="28"/>
        </w:rPr>
        <w:t>Nota incontro 24/03/2023</w:t>
      </w:r>
    </w:p>
    <w:p w14:paraId="212781F1" w14:textId="51EFBC03" w:rsidR="001A654C" w:rsidRPr="001A654C" w:rsidRDefault="001A654C" w:rsidP="001A654C">
      <w:pPr>
        <w:rPr>
          <w:rFonts w:eastAsia="Times New Roman"/>
          <w:b/>
          <w:bCs/>
          <w:sz w:val="28"/>
          <w:szCs w:val="28"/>
        </w:rPr>
      </w:pPr>
      <w:r w:rsidRPr="001A654C">
        <w:rPr>
          <w:rFonts w:eastAsia="Times New Roman"/>
          <w:b/>
          <w:bCs/>
          <w:sz w:val="28"/>
          <w:szCs w:val="28"/>
        </w:rPr>
        <w:t>FSE – Vaccinazioni</w:t>
      </w:r>
    </w:p>
    <w:p w14:paraId="33A194BD" w14:textId="77777777" w:rsidR="001A654C" w:rsidRPr="001A654C" w:rsidRDefault="001A654C" w:rsidP="001A654C">
      <w:pPr>
        <w:rPr>
          <w:rFonts w:eastAsia="Times New Roman"/>
          <w:i/>
          <w:iCs/>
        </w:rPr>
      </w:pPr>
    </w:p>
    <w:p w14:paraId="43BC55AF" w14:textId="791BB238" w:rsidR="00F86FD3" w:rsidRPr="00F86FD3" w:rsidRDefault="0010758A" w:rsidP="00F86FD3">
      <w:pPr>
        <w:pStyle w:val="Paragrafoelenco"/>
        <w:numPr>
          <w:ilvl w:val="0"/>
          <w:numId w:val="1"/>
        </w:numPr>
        <w:rPr>
          <w:rFonts w:eastAsia="Times New Roman"/>
          <w:i/>
          <w:iCs/>
          <w:lang w:eastAsia="it-IT"/>
        </w:rPr>
      </w:pPr>
      <w:r>
        <w:rPr>
          <w:rFonts w:eastAsia="Times New Roman"/>
          <w:i/>
          <w:iCs/>
          <w:lang w:eastAsia="it-IT"/>
        </w:rPr>
        <w:t xml:space="preserve">Processo di </w:t>
      </w:r>
      <w:r w:rsidR="00F86FD3" w:rsidRPr="00F86FD3">
        <w:rPr>
          <w:rFonts w:eastAsia="Times New Roman"/>
          <w:i/>
          <w:iCs/>
          <w:lang w:eastAsia="it-IT"/>
        </w:rPr>
        <w:t>Accreditamento</w:t>
      </w:r>
    </w:p>
    <w:p w14:paraId="53B47D9B" w14:textId="4A102E11" w:rsidR="00664F06" w:rsidRDefault="00994EE9" w:rsidP="00043ED0">
      <w:pPr>
        <w:pStyle w:val="Paragrafoelenco"/>
        <w:jc w:val="both"/>
      </w:pPr>
      <w:r>
        <w:t xml:space="preserve">Il piano che SORESA ha comunicato </w:t>
      </w:r>
      <w:r w:rsidR="00F86FD3">
        <w:t xml:space="preserve">al DTD </w:t>
      </w:r>
      <w:r>
        <w:t xml:space="preserve">prevede il 31 </w:t>
      </w:r>
      <w:proofErr w:type="gramStart"/>
      <w:r>
        <w:t>Marzo</w:t>
      </w:r>
      <w:proofErr w:type="gramEnd"/>
      <w:r>
        <w:t xml:space="preserve"> come </w:t>
      </w:r>
      <w:r w:rsidR="00F86FD3">
        <w:t>data di accreditamento relativa al sistema vaccinale. Stante a</w:t>
      </w:r>
      <w:r w:rsidR="00664F06">
        <w:t xml:space="preserve">lla data dell’incontro (24/03/2023) </w:t>
      </w:r>
      <w:r w:rsidR="00F86FD3">
        <w:t xml:space="preserve">tuttavia le </w:t>
      </w:r>
      <w:r w:rsidR="00664F06">
        <w:t xml:space="preserve">attività non risultano avviate pertanto tale data risulta disattesa. Alla luce di questo e data l’urgenza di tale attività, DXC e </w:t>
      </w:r>
      <w:proofErr w:type="spellStart"/>
      <w:r w:rsidR="00664F06">
        <w:t>Soresa</w:t>
      </w:r>
      <w:proofErr w:type="spellEnd"/>
      <w:r w:rsidR="00664F06">
        <w:t xml:space="preserve"> </w:t>
      </w:r>
      <w:r>
        <w:t>devono</w:t>
      </w:r>
      <w:r w:rsidR="00664F06">
        <w:t xml:space="preserve"> concordare </w:t>
      </w:r>
      <w:r w:rsidR="00C44FD9">
        <w:t xml:space="preserve">quanto prima la nuova data di accreditamento </w:t>
      </w:r>
      <w:r w:rsidR="0010758A">
        <w:t xml:space="preserve">da comunicare </w:t>
      </w:r>
      <w:r w:rsidR="00C44FD9">
        <w:t xml:space="preserve">e il nome da fornire al DTD come società che richiede l’accreditamento (se </w:t>
      </w:r>
      <w:proofErr w:type="spellStart"/>
      <w:r w:rsidR="00C44FD9">
        <w:t>Soresa</w:t>
      </w:r>
      <w:proofErr w:type="spellEnd"/>
      <w:r w:rsidR="00C44FD9">
        <w:t xml:space="preserve"> o DXC)</w:t>
      </w:r>
      <w:r w:rsidR="00664F06">
        <w:t xml:space="preserve">. </w:t>
      </w:r>
    </w:p>
    <w:p w14:paraId="74C11991" w14:textId="50FDEB5E" w:rsidR="00664F06" w:rsidRDefault="00664F06" w:rsidP="00043ED0">
      <w:pPr>
        <w:pStyle w:val="Paragrafoelenco"/>
        <w:jc w:val="both"/>
      </w:pPr>
      <w:r>
        <w:t xml:space="preserve">Contestualmente il fornitore DXC dovrà attivarsi </w:t>
      </w:r>
      <w:r w:rsidR="0010758A">
        <w:t xml:space="preserve">immediatamente per </w:t>
      </w:r>
      <w:r>
        <w:t>svolgere gli step necessari come da procedura di accreditamento indicata su “Developers Italia/FSE”.</w:t>
      </w:r>
    </w:p>
    <w:p w14:paraId="19837F9F" w14:textId="77777777" w:rsidR="00664F06" w:rsidRDefault="00664F06" w:rsidP="00F86FD3">
      <w:pPr>
        <w:pStyle w:val="Paragrafoelenco"/>
      </w:pPr>
    </w:p>
    <w:p w14:paraId="69E159E2" w14:textId="33319658" w:rsidR="00F86FD3" w:rsidRPr="00F86FD3" w:rsidRDefault="00664F06" w:rsidP="00664F06">
      <w:pPr>
        <w:pStyle w:val="Paragrafoelenco"/>
        <w:rPr>
          <w:rFonts w:eastAsia="Times New Roman"/>
        </w:rPr>
      </w:pPr>
      <w:r>
        <w:t xml:space="preserve"> </w:t>
      </w:r>
    </w:p>
    <w:p w14:paraId="2E54F018" w14:textId="66587084" w:rsidR="00F86FD3" w:rsidRPr="00F86FD3" w:rsidRDefault="00F86FD3" w:rsidP="00F86FD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i/>
          <w:iCs/>
        </w:rPr>
        <w:t>Overview attuali applicativi coinvolti nel processo di vaccinazioni</w:t>
      </w:r>
    </w:p>
    <w:p w14:paraId="768AFC11" w14:textId="0DA38C22" w:rsidR="00F86FD3" w:rsidRDefault="00F86FD3" w:rsidP="005E4118">
      <w:pPr>
        <w:ind w:left="720"/>
        <w:jc w:val="both"/>
      </w:pPr>
      <w:r>
        <w:t xml:space="preserve">L’attuale applicativo regionale che gestisce il processo di vaccinazione è integrato con Sinfonia ed è stato avviato </w:t>
      </w:r>
      <w:r w:rsidR="00EC060B">
        <w:t xml:space="preserve">a dicembre 2020 </w:t>
      </w:r>
      <w:r>
        <w:t>durante il periodo di emergenza covid.</w:t>
      </w:r>
    </w:p>
    <w:p w14:paraId="1F3039FB" w14:textId="05B3684A" w:rsidR="00F86FD3" w:rsidRDefault="00F86FD3" w:rsidP="005E4118">
      <w:pPr>
        <w:ind w:left="720"/>
        <w:jc w:val="both"/>
      </w:pPr>
      <w:r>
        <w:t>Si evidenzia che i dati disponibili e attualmente presenti sulla base dati Sinfonia sono relativi alle seguenti tipologie di vaccinazioni con distinta profondità storica:</w:t>
      </w:r>
    </w:p>
    <w:p w14:paraId="05D08E51" w14:textId="77777777" w:rsidR="00F86FD3" w:rsidRDefault="00F86FD3" w:rsidP="005E4118">
      <w:pPr>
        <w:pStyle w:val="Paragrafoelenco"/>
        <w:numPr>
          <w:ilvl w:val="0"/>
          <w:numId w:val="3"/>
        </w:numPr>
        <w:jc w:val="both"/>
      </w:pPr>
      <w:r>
        <w:t>Vaccinazioni Covid a partire dal 2021</w:t>
      </w:r>
    </w:p>
    <w:p w14:paraId="1B8E0069" w14:textId="77777777" w:rsidR="00F86FD3" w:rsidRDefault="00F86FD3" w:rsidP="005E4118">
      <w:pPr>
        <w:pStyle w:val="Paragrafoelenco"/>
        <w:numPr>
          <w:ilvl w:val="0"/>
          <w:numId w:val="3"/>
        </w:numPr>
        <w:jc w:val="both"/>
      </w:pPr>
      <w:r>
        <w:t>Antinfluenzale 2021, 2022, e 2023</w:t>
      </w:r>
    </w:p>
    <w:p w14:paraId="63606375" w14:textId="77777777" w:rsidR="00F86FD3" w:rsidRDefault="00F86FD3" w:rsidP="005E4118">
      <w:pPr>
        <w:pStyle w:val="Paragrafoelenco"/>
        <w:numPr>
          <w:ilvl w:val="0"/>
          <w:numId w:val="3"/>
        </w:numPr>
        <w:jc w:val="both"/>
      </w:pPr>
      <w:r>
        <w:t xml:space="preserve">Zoster e pneumococcica relative agli ultimi </w:t>
      </w:r>
      <w:proofErr w:type="gramStart"/>
      <w:r>
        <w:t>2</w:t>
      </w:r>
      <w:proofErr w:type="gramEnd"/>
      <w:r>
        <w:t xml:space="preserve"> anni</w:t>
      </w:r>
    </w:p>
    <w:p w14:paraId="70F07723" w14:textId="01E538B7" w:rsidR="00FA7B75" w:rsidRDefault="00375DE1" w:rsidP="005E4118">
      <w:pPr>
        <w:ind w:left="720"/>
        <w:jc w:val="both"/>
      </w:pPr>
      <w:r>
        <w:t>Per quest</w:t>
      </w:r>
      <w:r w:rsidR="00FA7B75">
        <w:t>e</w:t>
      </w:r>
      <w:r>
        <w:t xml:space="preserve"> </w:t>
      </w:r>
      <w:r w:rsidR="00FA7B75">
        <w:t>tipologie di vaccino sono disponibili tutti i dati per produrre il certificato vaccinale in CDA2.</w:t>
      </w:r>
    </w:p>
    <w:p w14:paraId="160EB0F0" w14:textId="581D5C43" w:rsidR="00D72E6D" w:rsidRDefault="008F2F51" w:rsidP="005E4118">
      <w:pPr>
        <w:ind w:left="720"/>
        <w:jc w:val="both"/>
      </w:pPr>
      <w:r>
        <w:t xml:space="preserve">I </w:t>
      </w:r>
      <w:r w:rsidR="00F86FD3">
        <w:t xml:space="preserve">dati delle vaccinazioni dei cittadini campani prima del 2021 sono </w:t>
      </w:r>
      <w:r>
        <w:t xml:space="preserve">invece </w:t>
      </w:r>
      <w:r w:rsidR="00F86FD3">
        <w:t xml:space="preserve">storicizzati nel precedente applicativo vaccinale, ma non sono stati ancora migrati sul nuovo sistema vaccinale. </w:t>
      </w:r>
    </w:p>
    <w:p w14:paraId="23FD01D6" w14:textId="5D32DC76" w:rsidR="00D72E6D" w:rsidRDefault="00D72E6D" w:rsidP="005E4118">
      <w:pPr>
        <w:ind w:left="720"/>
        <w:jc w:val="both"/>
      </w:pPr>
      <w:r>
        <w:t>L</w:t>
      </w:r>
      <w:r>
        <w:t>’attuale applicativo non gestisce le vaccinazioni pediatriche</w:t>
      </w:r>
      <w:r w:rsidR="0087011D">
        <w:t xml:space="preserve"> ma sono presenti su un applicativo dedicato che verrà migrato sul sistema attuale entro </w:t>
      </w:r>
      <w:r>
        <w:t>giugno 2023</w:t>
      </w:r>
      <w:r w:rsidR="0087011D">
        <w:t xml:space="preserve">, per cui, per i vaccini </w:t>
      </w:r>
      <w:r w:rsidR="00705833">
        <w:t>che hanno tutti i dati necessari per la popolazione del CDA2 verranno inclusi nel certificato vaccinale che verrà prodotto entro il 30 giugno.</w:t>
      </w:r>
      <w:r>
        <w:t xml:space="preserve"> </w:t>
      </w:r>
    </w:p>
    <w:p w14:paraId="2ECA5A75" w14:textId="77777777" w:rsidR="00D72E6D" w:rsidRDefault="00D72E6D" w:rsidP="005E4118">
      <w:pPr>
        <w:ind w:left="720"/>
        <w:jc w:val="both"/>
      </w:pPr>
    </w:p>
    <w:p w14:paraId="0B8B9D77" w14:textId="396E9AB4" w:rsidR="00F86FD3" w:rsidRDefault="00F86FD3" w:rsidP="005E4118">
      <w:pPr>
        <w:ind w:left="720"/>
        <w:jc w:val="both"/>
      </w:pPr>
      <w:r>
        <w:t xml:space="preserve">Da una prima analisi, le informazioni relative alle vaccinazioni “storiche” </w:t>
      </w:r>
      <w:r w:rsidR="009B5F6B">
        <w:t xml:space="preserve">(quindi </w:t>
      </w:r>
      <w:proofErr w:type="spellStart"/>
      <w:r w:rsidR="009B5F6B">
        <w:t>pre</w:t>
      </w:r>
      <w:proofErr w:type="spellEnd"/>
      <w:r w:rsidR="009B5F6B">
        <w:t xml:space="preserve"> 2021) </w:t>
      </w:r>
      <w:r>
        <w:t>risultano incomplete di alcuni dati obbligatori per la produzione dei DCE vaccinali in formato CDA</w:t>
      </w:r>
      <w:r w:rsidR="009C4F5A">
        <w:t>2</w:t>
      </w:r>
      <w:r>
        <w:t xml:space="preserve"> quali ad esempio lotto, codifica AIC, CF del medico iniettore.</w:t>
      </w:r>
    </w:p>
    <w:p w14:paraId="1CC9B29B" w14:textId="77777777" w:rsidR="00690E6F" w:rsidRDefault="00690E6F" w:rsidP="005E4118">
      <w:pPr>
        <w:ind w:left="720"/>
        <w:jc w:val="both"/>
      </w:pPr>
    </w:p>
    <w:p w14:paraId="1EC7D933" w14:textId="70D3C3ED" w:rsidR="00690E6F" w:rsidRPr="00345E02" w:rsidRDefault="005E4118" w:rsidP="005E4118">
      <w:pPr>
        <w:ind w:left="720"/>
        <w:jc w:val="both"/>
        <w:rPr>
          <w:i/>
          <w:iCs/>
          <w:u w:val="single"/>
        </w:rPr>
      </w:pPr>
      <w:r w:rsidRPr="004C0127">
        <w:rPr>
          <w:i/>
          <w:iCs/>
          <w:u w:val="single"/>
        </w:rPr>
        <w:t xml:space="preserve">Alla luce di quanto indicato sopra, </w:t>
      </w:r>
      <w:r w:rsidR="00AD6D70" w:rsidRPr="004C0127">
        <w:rPr>
          <w:i/>
          <w:iCs/>
          <w:u w:val="single"/>
        </w:rPr>
        <w:t xml:space="preserve">è necessario individuare una soluzione </w:t>
      </w:r>
      <w:r w:rsidR="0063592F" w:rsidRPr="004C0127">
        <w:rPr>
          <w:i/>
          <w:iCs/>
          <w:u w:val="single"/>
        </w:rPr>
        <w:t xml:space="preserve">in merito ai vaccini che non contengano </w:t>
      </w:r>
      <w:r w:rsidR="006A0F37" w:rsidRPr="004C0127">
        <w:rPr>
          <w:i/>
          <w:iCs/>
          <w:u w:val="single"/>
        </w:rPr>
        <w:t xml:space="preserve">tutti i dati obbligatori, a tal proposito Regione </w:t>
      </w:r>
      <w:r w:rsidR="005065B7" w:rsidRPr="004C0127">
        <w:rPr>
          <w:i/>
          <w:iCs/>
          <w:u w:val="single"/>
        </w:rPr>
        <w:t>ha richiesto</w:t>
      </w:r>
      <w:r w:rsidR="006A0F37" w:rsidRPr="004C0127">
        <w:rPr>
          <w:i/>
          <w:iCs/>
          <w:u w:val="single"/>
        </w:rPr>
        <w:t xml:space="preserve"> una </w:t>
      </w:r>
      <w:r w:rsidR="00042A43">
        <w:rPr>
          <w:i/>
          <w:iCs/>
          <w:u w:val="single"/>
        </w:rPr>
        <w:t>mappatura</w:t>
      </w:r>
      <w:r w:rsidR="006A0F37" w:rsidRPr="004C0127">
        <w:rPr>
          <w:i/>
          <w:iCs/>
          <w:u w:val="single"/>
        </w:rPr>
        <w:t xml:space="preserve"> </w:t>
      </w:r>
      <w:r w:rsidR="006A0F37" w:rsidRPr="004C0127">
        <w:rPr>
          <w:b/>
          <w:bCs/>
          <w:i/>
          <w:iCs/>
          <w:u w:val="single"/>
        </w:rPr>
        <w:t>puntuale</w:t>
      </w:r>
      <w:r w:rsidR="006A0F37" w:rsidRPr="004C0127">
        <w:rPr>
          <w:i/>
          <w:iCs/>
          <w:u w:val="single"/>
        </w:rPr>
        <w:t xml:space="preserve"> dei dati presenti e dei dati manca</w:t>
      </w:r>
      <w:r w:rsidR="005065B7" w:rsidRPr="004C0127">
        <w:rPr>
          <w:i/>
          <w:iCs/>
          <w:u w:val="single"/>
        </w:rPr>
        <w:t>n</w:t>
      </w:r>
      <w:r w:rsidR="006A0F37" w:rsidRPr="004C0127">
        <w:rPr>
          <w:i/>
          <w:iCs/>
          <w:u w:val="single"/>
        </w:rPr>
        <w:t xml:space="preserve">ti per </w:t>
      </w:r>
      <w:r w:rsidR="004C0127">
        <w:rPr>
          <w:i/>
          <w:iCs/>
          <w:u w:val="single"/>
        </w:rPr>
        <w:t>OGNI</w:t>
      </w:r>
      <w:r w:rsidR="006A0F37" w:rsidRPr="004C0127">
        <w:rPr>
          <w:i/>
          <w:iCs/>
          <w:u w:val="single"/>
        </w:rPr>
        <w:t xml:space="preserve"> tipologia di vaccino</w:t>
      </w:r>
      <w:r w:rsidR="005065B7" w:rsidRPr="004C0127">
        <w:rPr>
          <w:i/>
          <w:iCs/>
          <w:u w:val="single"/>
        </w:rPr>
        <w:t xml:space="preserve"> </w:t>
      </w:r>
      <w:r w:rsidR="00E85942" w:rsidRPr="004C0127">
        <w:rPr>
          <w:i/>
          <w:iCs/>
          <w:u w:val="single"/>
        </w:rPr>
        <w:t>affinché</w:t>
      </w:r>
      <w:r w:rsidR="005065B7" w:rsidRPr="004C0127">
        <w:rPr>
          <w:i/>
          <w:iCs/>
          <w:u w:val="single"/>
        </w:rPr>
        <w:t xml:space="preserve"> </w:t>
      </w:r>
      <w:r w:rsidR="00E85942" w:rsidRPr="004C0127">
        <w:rPr>
          <w:i/>
          <w:iCs/>
          <w:u w:val="single"/>
        </w:rPr>
        <w:t xml:space="preserve">Regione </w:t>
      </w:r>
      <w:r w:rsidR="005065B7" w:rsidRPr="004C0127">
        <w:rPr>
          <w:i/>
          <w:iCs/>
          <w:u w:val="single"/>
        </w:rPr>
        <w:t xml:space="preserve">abbia tutti gli elementi per </w:t>
      </w:r>
      <w:r w:rsidR="00E85942" w:rsidRPr="004C0127">
        <w:rPr>
          <w:i/>
          <w:iCs/>
          <w:u w:val="single"/>
        </w:rPr>
        <w:t>definire una soluzione</w:t>
      </w:r>
      <w:r w:rsidR="00E85942">
        <w:rPr>
          <w:i/>
          <w:iCs/>
          <w:u w:val="single"/>
        </w:rPr>
        <w:t>.</w:t>
      </w:r>
    </w:p>
    <w:p w14:paraId="7A625959" w14:textId="77777777" w:rsidR="00F86FD3" w:rsidRDefault="00F86FD3" w:rsidP="0048264B"/>
    <w:p w14:paraId="2A0AB1D4" w14:textId="77777777" w:rsidR="00F86FD3" w:rsidRDefault="00F86FD3" w:rsidP="00F86FD3">
      <w:pPr>
        <w:ind w:left="720"/>
      </w:pPr>
    </w:p>
    <w:p w14:paraId="7754EDA6" w14:textId="77777777" w:rsidR="00F86FD3" w:rsidRDefault="00F86FD3" w:rsidP="00F86FD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i/>
          <w:iCs/>
        </w:rPr>
        <w:t>Soluzione implementativa</w:t>
      </w:r>
    </w:p>
    <w:p w14:paraId="65064421" w14:textId="329AE171" w:rsidR="007E0AEC" w:rsidRPr="006C014F" w:rsidRDefault="00F86FD3" w:rsidP="00F86FD3">
      <w:pPr>
        <w:pStyle w:val="Paragrafoelenco"/>
        <w:jc w:val="both"/>
      </w:pPr>
      <w:r w:rsidRPr="006C014F">
        <w:t>I requisiti di massima e gli step di processo</w:t>
      </w:r>
      <w:r w:rsidR="00664F06" w:rsidRPr="006C014F">
        <w:t xml:space="preserve"> presentati</w:t>
      </w:r>
      <w:r w:rsidR="007E0AEC" w:rsidRPr="006C014F">
        <w:t xml:space="preserve"> a fronte di precedenti analisi svolte dal fornitore DXC</w:t>
      </w:r>
      <w:r w:rsidR="00C7530B">
        <w:t xml:space="preserve">, </w:t>
      </w:r>
      <w:r w:rsidR="001536DE" w:rsidRPr="00FD238C">
        <w:rPr>
          <w:u w:val="single"/>
        </w:rPr>
        <w:t>di cui nessuno</w:t>
      </w:r>
      <w:r w:rsidR="00C7530B" w:rsidRPr="00FD238C">
        <w:rPr>
          <w:u w:val="single"/>
        </w:rPr>
        <w:t xml:space="preserve"> ancora implementat</w:t>
      </w:r>
      <w:r w:rsidR="001536DE" w:rsidRPr="00FD238C">
        <w:rPr>
          <w:u w:val="single"/>
        </w:rPr>
        <w:t>o</w:t>
      </w:r>
      <w:r w:rsidR="00C7530B">
        <w:t xml:space="preserve">, </w:t>
      </w:r>
      <w:r w:rsidR="007E0AEC" w:rsidRPr="006C014F">
        <w:t>sono i seguenti:</w:t>
      </w:r>
    </w:p>
    <w:p w14:paraId="447FC732" w14:textId="77777777" w:rsidR="007E0AEC" w:rsidRPr="006C014F" w:rsidRDefault="007E0AEC" w:rsidP="00F86FD3">
      <w:pPr>
        <w:pStyle w:val="Paragrafoelenco"/>
        <w:jc w:val="both"/>
      </w:pPr>
    </w:p>
    <w:p w14:paraId="7BC7337B" w14:textId="44769485" w:rsidR="00F86FD3" w:rsidRPr="006C014F" w:rsidRDefault="006C014F" w:rsidP="00F86FD3">
      <w:pPr>
        <w:pStyle w:val="Paragrafoelenco"/>
        <w:numPr>
          <w:ilvl w:val="1"/>
          <w:numId w:val="1"/>
        </w:numPr>
        <w:contextualSpacing/>
        <w:jc w:val="both"/>
        <w:rPr>
          <w:rFonts w:ascii="Helvetica" w:hAnsi="Helvetica"/>
        </w:rPr>
      </w:pPr>
      <w:r w:rsidRPr="006C014F">
        <w:t>Realizzare</w:t>
      </w:r>
      <w:r w:rsidR="00F86FD3" w:rsidRPr="006C014F">
        <w:t xml:space="preserve"> nella modalità CDA2 della scheda e del certificato vaccinale</w:t>
      </w:r>
    </w:p>
    <w:p w14:paraId="240EFE21" w14:textId="5EB6C7E5" w:rsidR="00F86FD3" w:rsidRPr="006C014F" w:rsidRDefault="00010664" w:rsidP="00F86FD3">
      <w:pPr>
        <w:pStyle w:val="Paragrafoelenco"/>
        <w:numPr>
          <w:ilvl w:val="1"/>
          <w:numId w:val="1"/>
        </w:numPr>
        <w:contextualSpacing/>
        <w:jc w:val="both"/>
      </w:pPr>
      <w:r>
        <w:lastRenderedPageBreak/>
        <w:t>G</w:t>
      </w:r>
      <w:r w:rsidR="00F86FD3" w:rsidRPr="006C014F">
        <w:t>enerazione del PDFA-3 con CDA2 iniettato</w:t>
      </w:r>
    </w:p>
    <w:p w14:paraId="7CC30B42" w14:textId="324803B7" w:rsidR="007E0AEC" w:rsidRPr="007E0AEC" w:rsidRDefault="00921556" w:rsidP="00F86FD3">
      <w:pPr>
        <w:pStyle w:val="Paragrafoelenco"/>
        <w:numPr>
          <w:ilvl w:val="1"/>
          <w:numId w:val="1"/>
        </w:numPr>
        <w:rPr>
          <w:sz w:val="20"/>
          <w:szCs w:val="20"/>
        </w:rPr>
      </w:pPr>
      <w:r>
        <w:t>I</w:t>
      </w:r>
      <w:r w:rsidR="00F86FD3">
        <w:t xml:space="preserve">ntegrazione con </w:t>
      </w:r>
      <w:r w:rsidR="00A73A09">
        <w:t xml:space="preserve">il repository documentale </w:t>
      </w:r>
      <w:r w:rsidR="00096D3E">
        <w:t xml:space="preserve">delle </w:t>
      </w:r>
      <w:proofErr w:type="gramStart"/>
      <w:r w:rsidR="00BC2AA8">
        <w:t>7</w:t>
      </w:r>
      <w:proofErr w:type="gramEnd"/>
      <w:r w:rsidR="00096D3E">
        <w:t xml:space="preserve"> ASL</w:t>
      </w:r>
      <w:r w:rsidR="00F86FD3">
        <w:t xml:space="preserve">: sarà necessario inviare ai singoli </w:t>
      </w:r>
      <w:r w:rsidR="00BC2AA8">
        <w:t>repository</w:t>
      </w:r>
      <w:r w:rsidR="00F86FD3">
        <w:t xml:space="preserve"> sia il PDF che i metadati</w:t>
      </w:r>
    </w:p>
    <w:p w14:paraId="38BA3FB0" w14:textId="58828A88" w:rsidR="007E0AEC" w:rsidRPr="007E0AEC" w:rsidRDefault="007E0AEC" w:rsidP="007E0AEC">
      <w:pPr>
        <w:pStyle w:val="Paragrafoelenco"/>
        <w:numPr>
          <w:ilvl w:val="1"/>
          <w:numId w:val="1"/>
        </w:numPr>
        <w:rPr>
          <w:sz w:val="20"/>
          <w:szCs w:val="20"/>
        </w:rPr>
      </w:pPr>
      <w:r>
        <w:t xml:space="preserve">Invio da parte dei </w:t>
      </w:r>
      <w:r w:rsidR="00BC2AA8">
        <w:t>Repository</w:t>
      </w:r>
      <w:r>
        <w:t xml:space="preserve"> dei documenti a FSE.</w:t>
      </w:r>
      <w:r w:rsidR="002D026D">
        <w:t xml:space="preserve"> Da verificare con SOGEI se tali tipologie (scheda singola vaccinazione e certificato</w:t>
      </w:r>
      <w:r w:rsidR="00BC2AA8">
        <w:t xml:space="preserve"> vaccinali</w:t>
      </w:r>
      <w:r w:rsidR="002D026D">
        <w:t>) sono gestiti su FSE 1.0</w:t>
      </w:r>
    </w:p>
    <w:p w14:paraId="1A60C637" w14:textId="624DAA4C" w:rsidR="007E0AEC" w:rsidRDefault="007E0AEC" w:rsidP="00921556">
      <w:pPr>
        <w:ind w:left="709"/>
        <w:jc w:val="both"/>
      </w:pPr>
      <w:r>
        <w:t>Inoltre, in merito all’ultimo step è emerso che s</w:t>
      </w:r>
      <w:r w:rsidR="00F86FD3">
        <w:t>aranno i vari R</w:t>
      </w:r>
      <w:r w:rsidR="00BC2AA8">
        <w:t>epository Aziendale delle ASL</w:t>
      </w:r>
      <w:r>
        <w:t xml:space="preserve"> </w:t>
      </w:r>
      <w:r w:rsidR="00F86FD3">
        <w:t xml:space="preserve">a gestire il </w:t>
      </w:r>
      <w:proofErr w:type="spellStart"/>
      <w:r w:rsidR="00F86FD3">
        <w:t>versioning</w:t>
      </w:r>
      <w:proofErr w:type="spellEnd"/>
      <w:r w:rsidR="00F86FD3">
        <w:t xml:space="preserve"> dei documenti vaccinali emessi</w:t>
      </w:r>
      <w:r w:rsidR="00BC2AA8">
        <w:t>, aspetto da condividere con i fornitori dei repository</w:t>
      </w:r>
    </w:p>
    <w:p w14:paraId="4360D910" w14:textId="05F0FBA1" w:rsidR="007E0AEC" w:rsidRDefault="007E0AEC" w:rsidP="00921556">
      <w:pPr>
        <w:ind w:left="709"/>
        <w:jc w:val="both"/>
      </w:pPr>
      <w:r>
        <w:t xml:space="preserve">Alla luce dell’ipotesi sopra descritta che vede il coinvolgimento dei </w:t>
      </w:r>
      <w:r w:rsidR="00BC2AA8">
        <w:t>repository delle ASL</w:t>
      </w:r>
      <w:r w:rsidR="001536DE">
        <w:t xml:space="preserve"> </w:t>
      </w:r>
      <w:r>
        <w:t xml:space="preserve">nel processo risulta necessario </w:t>
      </w:r>
      <w:r w:rsidR="00F86FD3">
        <w:t xml:space="preserve">informare tutti i fornitori dei </w:t>
      </w:r>
      <w:r w:rsidR="00BC2AA8">
        <w:t>repository</w:t>
      </w:r>
      <w:r w:rsidR="00F86FD3">
        <w:t xml:space="preserve"> </w:t>
      </w:r>
      <w:r>
        <w:t>per verificare gli impatti tecnici e di processo e implementare le specifiche integrazioni.</w:t>
      </w:r>
    </w:p>
    <w:p w14:paraId="6E1880DE" w14:textId="6A79642E" w:rsidR="00A54F64" w:rsidRDefault="00A54F64" w:rsidP="00921556">
      <w:pPr>
        <w:ind w:left="709"/>
        <w:jc w:val="both"/>
      </w:pPr>
      <w:r>
        <w:t>Di seguito vengono indicati i fornitori dei singoli repository</w:t>
      </w:r>
      <w:r w:rsidR="00BC2AA8">
        <w:t xml:space="preserve"> per accelerare il processo di integrazione</w:t>
      </w:r>
      <w:r w:rsidR="00F94116">
        <w:t xml:space="preserve"> a cui il fornitore DXC dovrà richiedere le specifiche di integrazione al repository</w:t>
      </w:r>
      <w:r>
        <w:t>:</w:t>
      </w:r>
    </w:p>
    <w:p w14:paraId="51C6F935" w14:textId="5364F1CB" w:rsidR="00A54F64" w:rsidRDefault="00A54F64" w:rsidP="00FF00B0">
      <w:pPr>
        <w:pStyle w:val="Paragrafoelenco"/>
        <w:numPr>
          <w:ilvl w:val="1"/>
          <w:numId w:val="1"/>
        </w:numPr>
      </w:pPr>
      <w:r>
        <w:t>ASL Avellino (</w:t>
      </w:r>
      <w:r w:rsidR="001536DE">
        <w:t>E</w:t>
      </w:r>
      <w:r>
        <w:t xml:space="preserve">ngineering </w:t>
      </w:r>
      <w:r w:rsidR="00A71A6A">
        <w:t>–</w:t>
      </w:r>
      <w:r>
        <w:t xml:space="preserve"> </w:t>
      </w:r>
      <w:r w:rsidR="00A71A6A">
        <w:t>Beatrice.</w:t>
      </w:r>
      <w:r w:rsidR="0011120A">
        <w:t>C</w:t>
      </w:r>
      <w:r w:rsidR="00A71A6A">
        <w:t>lemente@eng.it</w:t>
      </w:r>
      <w:r>
        <w:t>)</w:t>
      </w:r>
    </w:p>
    <w:p w14:paraId="0DA48140" w14:textId="0B77CFB3" w:rsidR="00A54F64" w:rsidRDefault="00A54F64" w:rsidP="00FF00B0">
      <w:pPr>
        <w:pStyle w:val="Paragrafoelenco"/>
        <w:numPr>
          <w:ilvl w:val="1"/>
          <w:numId w:val="1"/>
        </w:numPr>
      </w:pPr>
      <w:r>
        <w:t>ASL Benevento</w:t>
      </w:r>
      <w:r w:rsidR="00A71A6A">
        <w:t xml:space="preserve"> (</w:t>
      </w:r>
      <w:proofErr w:type="spellStart"/>
      <w:r w:rsidR="00A71A6A">
        <w:t>Unidoc</w:t>
      </w:r>
      <w:proofErr w:type="spellEnd"/>
      <w:r w:rsidR="00A71A6A">
        <w:t xml:space="preserve"> </w:t>
      </w:r>
      <w:r w:rsidR="005C54E4">
        <w:t>–</w:t>
      </w:r>
      <w:r w:rsidR="00A71A6A">
        <w:t xml:space="preserve"> </w:t>
      </w:r>
      <w:r w:rsidR="005C54E4">
        <w:t>b.amoruso@uni-doc.it</w:t>
      </w:r>
      <w:r w:rsidR="00A71A6A">
        <w:t>)</w:t>
      </w:r>
    </w:p>
    <w:p w14:paraId="1E820224" w14:textId="7A1346F8" w:rsidR="00916EF1" w:rsidRDefault="00916EF1" w:rsidP="00FF00B0">
      <w:pPr>
        <w:pStyle w:val="Paragrafoelenco"/>
        <w:numPr>
          <w:ilvl w:val="1"/>
          <w:numId w:val="1"/>
        </w:numPr>
      </w:pPr>
      <w:r>
        <w:t>Asl Caserta (Dedalus – luisa.vicinanza@dedalus.e</w:t>
      </w:r>
      <w:r w:rsidR="00AF6A04">
        <w:t>u</w:t>
      </w:r>
      <w:r>
        <w:t>)</w:t>
      </w:r>
    </w:p>
    <w:p w14:paraId="3A20F0A3" w14:textId="55C5C0CB" w:rsidR="00A54F64" w:rsidRDefault="00A54F64" w:rsidP="00FF00B0">
      <w:pPr>
        <w:pStyle w:val="Paragrafoelenco"/>
        <w:numPr>
          <w:ilvl w:val="1"/>
          <w:numId w:val="1"/>
        </w:numPr>
      </w:pPr>
      <w:r>
        <w:t>ASL Napoli</w:t>
      </w:r>
      <w:r w:rsidR="00FF00B0">
        <w:t xml:space="preserve"> 1</w:t>
      </w:r>
      <w:r w:rsidR="007365AA">
        <w:t xml:space="preserve"> </w:t>
      </w:r>
      <w:r w:rsidR="005C54E4">
        <w:t>(</w:t>
      </w:r>
      <w:proofErr w:type="spellStart"/>
      <w:r w:rsidR="005C54E4">
        <w:t>Gesan</w:t>
      </w:r>
      <w:proofErr w:type="spellEnd"/>
      <w:r w:rsidR="00FF00B0">
        <w:t xml:space="preserve"> </w:t>
      </w:r>
      <w:hyperlink r:id="rId5" w:history="1">
        <w:r w:rsidR="00FF00B0" w:rsidRPr="001905EF">
          <w:rPr>
            <w:rStyle w:val="Collegamentoipertestuale"/>
          </w:rPr>
          <w:t>maufuc@gesan.it</w:t>
        </w:r>
      </w:hyperlink>
      <w:r w:rsidR="00807C76">
        <w:t xml:space="preserve"> </w:t>
      </w:r>
      <w:r w:rsidR="005C54E4">
        <w:t>e su</w:t>
      </w:r>
      <w:r w:rsidR="001536DE">
        <w:t>cc</w:t>
      </w:r>
      <w:r w:rsidR="005C54E4">
        <w:t xml:space="preserve">essivamente </w:t>
      </w:r>
      <w:r w:rsidR="00807C76">
        <w:t>E</w:t>
      </w:r>
      <w:r w:rsidR="00807C76">
        <w:t>ngineering – Beatrice.</w:t>
      </w:r>
      <w:r w:rsidR="0011120A">
        <w:t>C</w:t>
      </w:r>
      <w:r w:rsidR="00807C76">
        <w:t>lemente@eng.it</w:t>
      </w:r>
      <w:r w:rsidR="005C54E4">
        <w:t>)</w:t>
      </w:r>
    </w:p>
    <w:p w14:paraId="4EC51DA4" w14:textId="35A6720E" w:rsidR="00A54F64" w:rsidRDefault="00A54F64" w:rsidP="00FF00B0">
      <w:pPr>
        <w:pStyle w:val="Paragrafoelenco"/>
        <w:numPr>
          <w:ilvl w:val="1"/>
          <w:numId w:val="1"/>
        </w:numPr>
      </w:pPr>
      <w:r>
        <w:t>ASL Napoli 2</w:t>
      </w:r>
      <w:r w:rsidR="00807C76">
        <w:t xml:space="preserve"> (</w:t>
      </w:r>
      <w:r w:rsidR="00807C76">
        <w:t>Engineering – Beatrice.clemente@eng.it)</w:t>
      </w:r>
    </w:p>
    <w:p w14:paraId="7C2853F2" w14:textId="38E69297" w:rsidR="00A54F64" w:rsidRDefault="00A54F64" w:rsidP="00FF00B0">
      <w:pPr>
        <w:pStyle w:val="Paragrafoelenco"/>
        <w:numPr>
          <w:ilvl w:val="1"/>
          <w:numId w:val="1"/>
        </w:numPr>
      </w:pPr>
      <w:r>
        <w:t>ASL Napoli 3</w:t>
      </w:r>
      <w:r w:rsidR="001536DE">
        <w:t xml:space="preserve"> (</w:t>
      </w:r>
      <w:proofErr w:type="spellStart"/>
      <w:r w:rsidR="001536DE">
        <w:t>Gesan</w:t>
      </w:r>
      <w:proofErr w:type="spellEnd"/>
      <w:r w:rsidR="001536DE">
        <w:t xml:space="preserve">  </w:t>
      </w:r>
      <w:hyperlink r:id="rId6" w:history="1">
        <w:r w:rsidR="001536DE" w:rsidRPr="001905EF">
          <w:rPr>
            <w:rStyle w:val="Collegamentoipertestuale"/>
          </w:rPr>
          <w:t>maufuc@gesan.it</w:t>
        </w:r>
      </w:hyperlink>
      <w:r w:rsidR="001536DE">
        <w:t>)</w:t>
      </w:r>
    </w:p>
    <w:p w14:paraId="01394D05" w14:textId="3ED8E0CC" w:rsidR="007E0AEC" w:rsidRDefault="00A54F64" w:rsidP="007E0AEC">
      <w:pPr>
        <w:pStyle w:val="Paragrafoelenco"/>
        <w:numPr>
          <w:ilvl w:val="1"/>
          <w:numId w:val="1"/>
        </w:numPr>
      </w:pPr>
      <w:r>
        <w:t xml:space="preserve">ASL Salerno </w:t>
      </w:r>
      <w:r w:rsidR="00344584">
        <w:t>(Engineering – Beatrice.clemente@eng.it)</w:t>
      </w:r>
    </w:p>
    <w:p w14:paraId="76BD92F2" w14:textId="77777777" w:rsidR="00F86FD3" w:rsidRDefault="00F86FD3" w:rsidP="00F86FD3">
      <w:pPr>
        <w:pStyle w:val="Paragrafoelenco"/>
        <w:ind w:left="1440"/>
      </w:pPr>
    </w:p>
    <w:p w14:paraId="67C23CE3" w14:textId="77777777" w:rsidR="00F86FD3" w:rsidRDefault="00F86FD3" w:rsidP="00F86FD3">
      <w:pPr>
        <w:pStyle w:val="Paragrafoelenco"/>
      </w:pPr>
    </w:p>
    <w:p w14:paraId="21A6C31B" w14:textId="77777777" w:rsidR="00F86FD3" w:rsidRDefault="00F86FD3" w:rsidP="00697B84">
      <w:pPr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  <w:i/>
          <w:iCs/>
        </w:rPr>
        <w:t>Gestione delle vaccinazioni in base alla residenza e/o assistenza:</w:t>
      </w:r>
      <w:r>
        <w:rPr>
          <w:rFonts w:eastAsia="Times New Roman"/>
        </w:rPr>
        <w:t xml:space="preserve"> </w:t>
      </w:r>
    </w:p>
    <w:p w14:paraId="1597B934" w14:textId="77777777" w:rsidR="00F86FD3" w:rsidRDefault="00F86FD3" w:rsidP="00697B84">
      <w:pPr>
        <w:ind w:left="720"/>
        <w:jc w:val="both"/>
      </w:pPr>
      <w:r>
        <w:t>E’ emerso che nei prossimi incontri bisognerà analizzare i casi d’uso che tengono conto delle tre variabili: ASL residenza, ASL assistenza e ASL a cui afferisce il centro vaccinale in cui viene effettuato il vaccino.</w:t>
      </w:r>
    </w:p>
    <w:p w14:paraId="78A8C3EC" w14:textId="77777777" w:rsidR="00F86FD3" w:rsidRDefault="00F86FD3" w:rsidP="00F86FD3">
      <w:pPr>
        <w:ind w:left="720"/>
      </w:pPr>
    </w:p>
    <w:p w14:paraId="7D71323C" w14:textId="77777777" w:rsidR="00F86FD3" w:rsidRDefault="00F86FD3" w:rsidP="00F86FD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i/>
          <w:iCs/>
        </w:rPr>
        <w:t>Stato dell’arte in termini di comunicazione con l’anagrafe vaccinale nazionale</w:t>
      </w:r>
    </w:p>
    <w:p w14:paraId="7AA13196" w14:textId="1A2922BB" w:rsidR="00F86FD3" w:rsidRDefault="00F86FD3" w:rsidP="00EA72BB">
      <w:pPr>
        <w:ind w:left="720"/>
        <w:jc w:val="both"/>
      </w:pPr>
      <w:r>
        <w:t xml:space="preserve">L’attuale sistema vaccinale regionale non risulta integrato con il flusso nazionale AVN che consente di ricevere i dati relativi alle vaccinazioni dei cittadini con residenza in Campania che sono estate erogate fuori regione. </w:t>
      </w:r>
      <w:r w:rsidRPr="00FE700C">
        <w:t xml:space="preserve">Allo stesso modo, la Campania non invia verso il flusso AVN i dati delle vaccinazioni </w:t>
      </w:r>
      <w:r w:rsidR="00EA72BB" w:rsidRPr="00FE700C">
        <w:t xml:space="preserve">che </w:t>
      </w:r>
      <w:r w:rsidRPr="00FE700C">
        <w:t>sono state erogate in Campania a cittadini residenti in altre regioni italiane.</w:t>
      </w:r>
    </w:p>
    <w:p w14:paraId="14F84932" w14:textId="77777777" w:rsidR="00F86FD3" w:rsidRDefault="00F86FD3" w:rsidP="00F86FD3"/>
    <w:p w14:paraId="141CC6D4" w14:textId="77777777" w:rsidR="00F86FD3" w:rsidRDefault="00F86FD3" w:rsidP="00F86FD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i/>
          <w:iCs/>
        </w:rPr>
        <w:t>Stato dell’arte del mapping tra i dati presenti sul DB vaccinale e quelli obbligatori per il</w:t>
      </w:r>
      <w:r>
        <w:rPr>
          <w:rFonts w:eastAsia="Times New Roman"/>
        </w:rPr>
        <w:t xml:space="preserve"> CDA2 </w:t>
      </w:r>
    </w:p>
    <w:p w14:paraId="2F046751" w14:textId="79AC167D" w:rsidR="00F86FD3" w:rsidRDefault="00F86FD3" w:rsidP="00A55DD8">
      <w:pPr>
        <w:ind w:left="709"/>
        <w:jc w:val="both"/>
      </w:pPr>
      <w:r>
        <w:t>Da una</w:t>
      </w:r>
      <w:r>
        <w:rPr>
          <w:b/>
          <w:bCs/>
        </w:rPr>
        <w:t xml:space="preserve"> </w:t>
      </w:r>
      <w:r>
        <w:t>prima analisi condotta da DXC, risulta che il sistema vaccinale attuale contiene già il set i dati obbligatori da CDA2. Occorre prevedere comunque la gestione degli esoneri così come specificato nel documento HL7.</w:t>
      </w:r>
    </w:p>
    <w:p w14:paraId="3A349230" w14:textId="77777777" w:rsidR="000D74B3" w:rsidRDefault="000D74B3" w:rsidP="00F94116"/>
    <w:p w14:paraId="44EE5AE0" w14:textId="77777777" w:rsidR="007E0AEC" w:rsidRDefault="007E0AEC" w:rsidP="007E0AEC">
      <w:pPr>
        <w:pStyle w:val="Paragrafoelenco"/>
        <w:ind w:left="1080"/>
      </w:pPr>
    </w:p>
    <w:p w14:paraId="56FC6006" w14:textId="77777777" w:rsidR="00F86FD3" w:rsidRDefault="00F86FD3" w:rsidP="00F86FD3"/>
    <w:p w14:paraId="2AFC989A" w14:textId="77777777" w:rsidR="00F86FD3" w:rsidRDefault="00F86FD3" w:rsidP="00F86FD3">
      <w:pPr>
        <w:rPr>
          <w:i/>
          <w:iCs/>
        </w:rPr>
      </w:pPr>
      <w:r>
        <w:rPr>
          <w:i/>
          <w:iCs/>
        </w:rPr>
        <w:t xml:space="preserve">Open point: </w:t>
      </w:r>
    </w:p>
    <w:p w14:paraId="37771E4B" w14:textId="77777777" w:rsidR="00F86FD3" w:rsidRDefault="00F86FD3" w:rsidP="00F86FD3">
      <w:pPr>
        <w:rPr>
          <w:i/>
          <w:iCs/>
        </w:rPr>
      </w:pPr>
    </w:p>
    <w:p w14:paraId="6FD1EE9F" w14:textId="374AE64A" w:rsidR="00F86FD3" w:rsidRDefault="00F86FD3" w:rsidP="00F86FD3">
      <w:pPr>
        <w:pStyle w:val="Paragrafoelenco"/>
        <w:numPr>
          <w:ilvl w:val="0"/>
          <w:numId w:val="2"/>
        </w:numPr>
      </w:pPr>
      <w:r>
        <w:t>Stabilire se è possibile utilizzare un’unica firma digitale appartenente alla struttura erogatrice del vaccino</w:t>
      </w:r>
      <w:r w:rsidR="001A654C">
        <w:t xml:space="preserve"> (in funzione di quanto emerso risulterebbero altrimenti da attivare firme per circa 6000 operatori)</w:t>
      </w:r>
    </w:p>
    <w:p w14:paraId="2708A72C" w14:textId="58A4D5D6" w:rsidR="007E0AEC" w:rsidRDefault="007E0AEC" w:rsidP="007E0AEC">
      <w:pPr>
        <w:pStyle w:val="Paragrafoelenco"/>
        <w:numPr>
          <w:ilvl w:val="0"/>
          <w:numId w:val="2"/>
        </w:numPr>
      </w:pPr>
      <w:r>
        <w:lastRenderedPageBreak/>
        <w:t>Nei prossimi incontri sarà necessario approfondire come gestire la cancellazione e la sostituzione/modifica dei DCE.</w:t>
      </w:r>
    </w:p>
    <w:p w14:paraId="46AC5533" w14:textId="22835BB8" w:rsidR="001A654C" w:rsidRDefault="001A654C" w:rsidP="007E0AEC">
      <w:pPr>
        <w:pStyle w:val="Paragrafoelenco"/>
        <w:numPr>
          <w:ilvl w:val="0"/>
          <w:numId w:val="2"/>
        </w:numPr>
      </w:pPr>
      <w:r>
        <w:t>Da approfondire flusso di allineamento dati con AVN</w:t>
      </w:r>
    </w:p>
    <w:p w14:paraId="2CEAAF25" w14:textId="50157F94" w:rsidR="001A654C" w:rsidRDefault="001A654C" w:rsidP="007E0AEC">
      <w:pPr>
        <w:pStyle w:val="Paragrafoelenco"/>
        <w:numPr>
          <w:ilvl w:val="0"/>
          <w:numId w:val="2"/>
        </w:numPr>
      </w:pPr>
      <w:r>
        <w:t>Da analizzare gestione delle vaccinazioni per i minori</w:t>
      </w:r>
    </w:p>
    <w:p w14:paraId="63CC43A1" w14:textId="5099E09F" w:rsidR="001A654C" w:rsidRDefault="001A654C" w:rsidP="007E0AEC">
      <w:pPr>
        <w:pStyle w:val="Paragrafoelenco"/>
        <w:numPr>
          <w:ilvl w:val="0"/>
          <w:numId w:val="2"/>
        </w:numPr>
      </w:pPr>
      <w:r>
        <w:t xml:space="preserve">Da approfondire </w:t>
      </w:r>
      <w:r w:rsidR="00042A43">
        <w:t>il processo di emissione della ricevuta</w:t>
      </w:r>
    </w:p>
    <w:p w14:paraId="4C3449D1" w14:textId="56F1E62A" w:rsidR="001A654C" w:rsidRDefault="001A654C" w:rsidP="007E0AEC">
      <w:pPr>
        <w:pStyle w:val="Paragrafoelenco"/>
        <w:numPr>
          <w:ilvl w:val="0"/>
          <w:numId w:val="2"/>
        </w:numPr>
      </w:pPr>
      <w:r>
        <w:t>Da approfondire casi d’uso per definire se prevedere aggiornamento o invio di un nuovo certificato</w:t>
      </w:r>
    </w:p>
    <w:p w14:paraId="1917B319" w14:textId="77777777" w:rsidR="001A654C" w:rsidRDefault="001A654C" w:rsidP="001A654C">
      <w:pPr>
        <w:jc w:val="both"/>
      </w:pPr>
    </w:p>
    <w:p w14:paraId="404EB87F" w14:textId="6791D4C5" w:rsidR="007E0AEC" w:rsidRDefault="007E0AEC" w:rsidP="007E0AEC"/>
    <w:p w14:paraId="609C7DEE" w14:textId="410E30D6" w:rsidR="007E0AEC" w:rsidRDefault="007E0AEC" w:rsidP="007E0AEC">
      <w:r>
        <w:t xml:space="preserve">Di seguito una sintesi delle prossime attività e dei relativi </w:t>
      </w:r>
      <w:proofErr w:type="spellStart"/>
      <w:r>
        <w:t>owner</w:t>
      </w:r>
      <w:proofErr w:type="spellEnd"/>
      <w:r>
        <w:t>.</w:t>
      </w:r>
    </w:p>
    <w:p w14:paraId="63BC3F9F" w14:textId="77777777" w:rsidR="00F86FD3" w:rsidRDefault="00F86FD3" w:rsidP="00F86FD3"/>
    <w:p w14:paraId="47E1AC53" w14:textId="77777777" w:rsidR="00F86FD3" w:rsidRDefault="00F86FD3" w:rsidP="00F86FD3"/>
    <w:tbl>
      <w:tblPr>
        <w:tblW w:w="96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*$*$UPSLIDE_TablePasted`_#[%£=+@*$*$UPSLIDE_TablePasted`_#[%£=+@*$*$UPSLIDE_TablePasted`_#[%£=+@*$*$UPSLIDE_TablePasted`_#[%£=+@"/>
      </w:tblPr>
      <w:tblGrid>
        <w:gridCol w:w="5029"/>
        <w:gridCol w:w="2125"/>
        <w:gridCol w:w="2536"/>
      </w:tblGrid>
      <w:tr w:rsidR="00F86FD3" w14:paraId="756098F3" w14:textId="77777777" w:rsidTr="00F86FD3">
        <w:trPr>
          <w:trHeight w:hRule="exact" w:val="578"/>
          <w:tblHeader/>
        </w:trPr>
        <w:tc>
          <w:tcPr>
            <w:tcW w:w="5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99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9CC5C4" w14:textId="77777777" w:rsidR="00F86FD3" w:rsidRDefault="00F86FD3">
            <w:pPr>
              <w:jc w:val="both"/>
              <w:rPr>
                <w:rFonts w:ascii="Helvetica" w:hAnsi="Helvetic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color w:val="FFFFFF"/>
                <w:sz w:val="20"/>
                <w:szCs w:val="20"/>
              </w:rPr>
              <w:t>AZIONE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99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5BD356" w14:textId="77777777" w:rsidR="00F86FD3" w:rsidRDefault="00F86FD3">
            <w:pPr>
              <w:jc w:val="both"/>
              <w:rPr>
                <w:rFonts w:ascii="Helvetica" w:hAnsi="Helvetic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color w:val="FFFFFF"/>
                <w:sz w:val="20"/>
                <w:szCs w:val="20"/>
              </w:rPr>
              <w:t>Responsabile dell’azione</w:t>
            </w:r>
          </w:p>
        </w:tc>
        <w:tc>
          <w:tcPr>
            <w:tcW w:w="2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99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C749A2" w14:textId="77777777" w:rsidR="00F86FD3" w:rsidRDefault="00F86FD3">
            <w:pPr>
              <w:jc w:val="both"/>
              <w:rPr>
                <w:rFonts w:ascii="Helvetica" w:hAnsi="Helvetic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color w:val="FFFFFF"/>
                <w:sz w:val="20"/>
                <w:szCs w:val="20"/>
              </w:rPr>
              <w:t>Termine completamento</w:t>
            </w:r>
          </w:p>
        </w:tc>
      </w:tr>
      <w:tr w:rsidR="00097F56" w14:paraId="55D69044" w14:textId="77777777" w:rsidTr="002E4CC4">
        <w:trPr>
          <w:trHeight w:val="284"/>
        </w:trPr>
        <w:tc>
          <w:tcPr>
            <w:tcW w:w="5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DFDB1E" w14:textId="0FD20947" w:rsidR="00097F56" w:rsidRDefault="00097F56" w:rsidP="00097F5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Avviare ASAP le attività di implementazione </w:t>
            </w:r>
            <w:r>
              <w:rPr>
                <w:rFonts w:ascii="Helvetica" w:hAnsi="Helvetica"/>
                <w:sz w:val="20"/>
                <w:szCs w:val="20"/>
              </w:rPr>
              <w:t xml:space="preserve">per la produzione del </w:t>
            </w:r>
            <w:r>
              <w:rPr>
                <w:rFonts w:ascii="Helvetica" w:hAnsi="Helvetica"/>
                <w:sz w:val="20"/>
                <w:szCs w:val="20"/>
              </w:rPr>
              <w:t>PDF con CDA2 innestato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per le due tipologie di documenti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E5E2F1" w14:textId="12656A1D" w:rsidR="00097F56" w:rsidRDefault="00097F56" w:rsidP="00097F56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DXC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0179C" w14:textId="57A49474" w:rsidR="00097F56" w:rsidRDefault="00097F56" w:rsidP="00097F56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Avvio attività: 27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Marzo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2023</w:t>
            </w:r>
          </w:p>
        </w:tc>
      </w:tr>
      <w:tr w:rsidR="00097F56" w14:paraId="16B6C67A" w14:textId="77777777" w:rsidTr="002E4CC4">
        <w:trPr>
          <w:trHeight w:val="284"/>
        </w:trPr>
        <w:tc>
          <w:tcPr>
            <w:tcW w:w="5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D89EF6" w14:textId="0CEED28B" w:rsidR="00097F56" w:rsidRDefault="00097F56" w:rsidP="00097F5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Fornire il doc HL7 vaccinazioni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57006F" w14:textId="410FCDA0" w:rsidR="00097F56" w:rsidRDefault="00097F56" w:rsidP="00097F56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Intellera</w:t>
            </w:r>
            <w:proofErr w:type="spellEnd"/>
          </w:p>
        </w:tc>
        <w:tc>
          <w:tcPr>
            <w:tcW w:w="2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B87D96" w14:textId="165056A2" w:rsidR="00097F56" w:rsidRDefault="00097F56" w:rsidP="00097F56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28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Marzo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2023</w:t>
            </w:r>
          </w:p>
        </w:tc>
      </w:tr>
      <w:tr w:rsidR="00097F56" w14:paraId="1550188C" w14:textId="77777777" w:rsidTr="002E4CC4">
        <w:trPr>
          <w:trHeight w:val="284"/>
        </w:trPr>
        <w:tc>
          <w:tcPr>
            <w:tcW w:w="5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1E018" w14:textId="334F791E" w:rsidR="00097F56" w:rsidRDefault="00097F56" w:rsidP="00097F5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Fornire </w:t>
            </w:r>
            <w:r w:rsidR="00CB21D0">
              <w:rPr>
                <w:rFonts w:ascii="Helvetica" w:hAnsi="Helvetica"/>
                <w:sz w:val="20"/>
                <w:szCs w:val="20"/>
              </w:rPr>
              <w:t xml:space="preserve">il </w:t>
            </w:r>
            <w:r>
              <w:rPr>
                <w:rFonts w:ascii="Helvetica" w:hAnsi="Helvetica"/>
                <w:sz w:val="20"/>
                <w:szCs w:val="20"/>
              </w:rPr>
              <w:t>documento architetturale della soluzione ipotizzata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AED508" w14:textId="572D54F8" w:rsidR="00097F56" w:rsidRDefault="00097F56" w:rsidP="00097F56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DXC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2F655A" w14:textId="09D78400" w:rsidR="00097F56" w:rsidRDefault="00097F56" w:rsidP="00097F56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29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Marzo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2023</w:t>
            </w:r>
          </w:p>
        </w:tc>
      </w:tr>
      <w:tr w:rsidR="00097F56" w14:paraId="51ECD0D9" w14:textId="77777777" w:rsidTr="00F86FD3">
        <w:trPr>
          <w:trHeight w:val="284"/>
        </w:trPr>
        <w:tc>
          <w:tcPr>
            <w:tcW w:w="5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DAB495" w14:textId="5F22042A" w:rsidR="00097F56" w:rsidRDefault="00097F56" w:rsidP="00097F5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Concordare con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Soresa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il nome e il fornitore dell’applicativo </w:t>
            </w:r>
            <w:r>
              <w:rPr>
                <w:rFonts w:ascii="Helvetica" w:hAnsi="Helvetica"/>
                <w:sz w:val="20"/>
                <w:szCs w:val="20"/>
              </w:rPr>
              <w:t xml:space="preserve">da inserire nella richiesta di accreditamento </w:t>
            </w:r>
            <w:r>
              <w:rPr>
                <w:rFonts w:ascii="Helvetica" w:hAnsi="Helvetica"/>
                <w:sz w:val="20"/>
                <w:szCs w:val="20"/>
              </w:rPr>
              <w:t>al</w:t>
            </w:r>
            <w:r>
              <w:rPr>
                <w:rFonts w:ascii="Helvetica" w:hAnsi="Helvetica"/>
                <w:sz w:val="20"/>
                <w:szCs w:val="20"/>
              </w:rPr>
              <w:t xml:space="preserve"> Gateway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4E9CC2" w14:textId="1535DE53" w:rsidR="00097F56" w:rsidRDefault="00097F56" w:rsidP="00097F56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DXC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E09624" w14:textId="0294A273" w:rsidR="00097F56" w:rsidRDefault="00097F56" w:rsidP="00097F56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</w:t>
            </w:r>
            <w:r>
              <w:rPr>
                <w:rFonts w:ascii="Helvetica" w:hAnsi="Helvetica"/>
                <w:sz w:val="20"/>
                <w:szCs w:val="20"/>
              </w:rPr>
              <w:t>0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Marzo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2023</w:t>
            </w:r>
          </w:p>
        </w:tc>
      </w:tr>
      <w:tr w:rsidR="00097F56" w14:paraId="64BA778A" w14:textId="77777777" w:rsidTr="00F86FD3">
        <w:trPr>
          <w:trHeight w:val="284"/>
        </w:trPr>
        <w:tc>
          <w:tcPr>
            <w:tcW w:w="5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7BCCD6" w14:textId="5F2C38EB" w:rsidR="00097F56" w:rsidRDefault="00097F56" w:rsidP="00097F5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Inviare al DTD il piano aggiornamento con la nuova data di accreditamento</w:t>
            </w:r>
            <w:r w:rsidR="00CB21D0">
              <w:rPr>
                <w:rFonts w:ascii="Helvetica" w:hAnsi="Helvetica"/>
                <w:sz w:val="20"/>
                <w:szCs w:val="20"/>
              </w:rPr>
              <w:t xml:space="preserve"> al gateway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6DD934" w14:textId="66A32CAD" w:rsidR="00097F56" w:rsidRDefault="00097F56" w:rsidP="00097F56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DXC/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Soresa</w:t>
            </w:r>
            <w:proofErr w:type="spellEnd"/>
          </w:p>
        </w:tc>
        <w:tc>
          <w:tcPr>
            <w:tcW w:w="2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3260DA" w14:textId="1B65C9AC" w:rsidR="00097F56" w:rsidRDefault="00097F56" w:rsidP="00097F56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31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Marzo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2023</w:t>
            </w:r>
          </w:p>
        </w:tc>
      </w:tr>
      <w:tr w:rsidR="00097F56" w14:paraId="2A3737F6" w14:textId="77777777" w:rsidTr="00F86FD3">
        <w:trPr>
          <w:trHeight w:val="284"/>
        </w:trPr>
        <w:tc>
          <w:tcPr>
            <w:tcW w:w="5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2832DD" w14:textId="7BCCF1E2" w:rsidR="00097F56" w:rsidRDefault="008333A1" w:rsidP="00097F5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Completare</w:t>
            </w:r>
            <w:r w:rsidR="00097F56">
              <w:rPr>
                <w:rFonts w:ascii="Helvetica" w:hAnsi="Helvetica"/>
                <w:sz w:val="20"/>
                <w:szCs w:val="20"/>
              </w:rPr>
              <w:t xml:space="preserve"> le attività necessarie all’accreditamento secondo il processo contenuto su Developers Italia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342E7C" w14:textId="03818A46" w:rsidR="00097F56" w:rsidRDefault="00097F56" w:rsidP="00097F56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DXC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E841F6" w14:textId="29CD6820" w:rsidR="00097F56" w:rsidRDefault="00097F56" w:rsidP="00097F56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Data aggiornata di accreditamento che verrà inviat</w:t>
            </w:r>
            <w:r w:rsidR="008333A1">
              <w:rPr>
                <w:rFonts w:ascii="Helvetica" w:hAnsi="Helvetica"/>
                <w:sz w:val="20"/>
                <w:szCs w:val="20"/>
              </w:rPr>
              <w:t xml:space="preserve">a </w:t>
            </w:r>
            <w:r>
              <w:rPr>
                <w:rFonts w:ascii="Helvetica" w:hAnsi="Helvetica"/>
                <w:sz w:val="20"/>
                <w:szCs w:val="20"/>
              </w:rPr>
              <w:t>al DTD</w:t>
            </w:r>
          </w:p>
        </w:tc>
      </w:tr>
      <w:tr w:rsidR="00097F56" w14:paraId="277B96FB" w14:textId="77777777" w:rsidTr="00F86FD3">
        <w:trPr>
          <w:trHeight w:val="284"/>
        </w:trPr>
        <w:tc>
          <w:tcPr>
            <w:tcW w:w="5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E8E7C5" w14:textId="6817CAE9" w:rsidR="00097F56" w:rsidRDefault="00097F56" w:rsidP="00097F5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Smarcare i dubbi in merito all’integrazione dell’attuale sistema vaccinale regionale con il flusso nazione AVN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106C47" w14:textId="77777777" w:rsidR="00097F56" w:rsidRDefault="00097F56" w:rsidP="00097F56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DXC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168F13" w14:textId="36BB68C4" w:rsidR="00097F56" w:rsidRDefault="00097F56" w:rsidP="00097F56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29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Marzo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2023</w:t>
            </w:r>
          </w:p>
        </w:tc>
      </w:tr>
      <w:tr w:rsidR="00097F56" w14:paraId="69A864D2" w14:textId="77777777" w:rsidTr="00F86FD3">
        <w:trPr>
          <w:trHeight w:val="284"/>
        </w:trPr>
        <w:tc>
          <w:tcPr>
            <w:tcW w:w="5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6588A6" w14:textId="67381039" w:rsidR="00097F56" w:rsidRDefault="00097F56" w:rsidP="00097F5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Mappatura </w:t>
            </w:r>
            <w:r w:rsidR="00532EC3">
              <w:rPr>
                <w:rFonts w:ascii="Helvetica" w:hAnsi="Helvetica"/>
                <w:sz w:val="20"/>
                <w:szCs w:val="20"/>
              </w:rPr>
              <w:t xml:space="preserve">puntuale </w:t>
            </w:r>
            <w:r>
              <w:rPr>
                <w:rFonts w:ascii="Helvetica" w:hAnsi="Helvetica"/>
                <w:sz w:val="20"/>
                <w:szCs w:val="20"/>
              </w:rPr>
              <w:t xml:space="preserve">dei dati presenti e </w:t>
            </w:r>
            <w:r w:rsidR="008333A1">
              <w:rPr>
                <w:rFonts w:ascii="Helvetica" w:hAnsi="Helvetica"/>
                <w:sz w:val="20"/>
                <w:szCs w:val="20"/>
              </w:rPr>
              <w:t>NON</w:t>
            </w:r>
            <w:r>
              <w:rPr>
                <w:rFonts w:ascii="Helvetica" w:hAnsi="Helvetica"/>
                <w:sz w:val="20"/>
                <w:szCs w:val="20"/>
              </w:rPr>
              <w:t xml:space="preserve"> rispetto a quanto richiesto dal CDA2 per </w:t>
            </w:r>
            <w:r w:rsidR="008333A1">
              <w:rPr>
                <w:rFonts w:ascii="Helvetica" w:hAnsi="Helvetica"/>
                <w:sz w:val="20"/>
                <w:szCs w:val="20"/>
              </w:rPr>
              <w:t>OGNI</w:t>
            </w:r>
            <w:r>
              <w:rPr>
                <w:rFonts w:ascii="Helvetica" w:hAnsi="Helvetica"/>
                <w:sz w:val="20"/>
                <w:szCs w:val="20"/>
              </w:rPr>
              <w:t xml:space="preserve"> tipologia di vaccino e </w:t>
            </w:r>
            <w:r w:rsidR="00532EC3">
              <w:rPr>
                <w:rFonts w:ascii="Helvetica" w:hAnsi="Helvetica"/>
                <w:sz w:val="20"/>
                <w:szCs w:val="20"/>
              </w:rPr>
              <w:t>ANNO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381481" w14:textId="148E9C0C" w:rsidR="00097F56" w:rsidRDefault="00097F56" w:rsidP="00097F56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DXC/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Intellera</w:t>
            </w:r>
            <w:proofErr w:type="spellEnd"/>
          </w:p>
        </w:tc>
        <w:tc>
          <w:tcPr>
            <w:tcW w:w="2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778EA7" w14:textId="7F63AF03" w:rsidR="00097F56" w:rsidRDefault="00097F56" w:rsidP="00097F56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  <w:r w:rsidR="00861256">
              <w:rPr>
                <w:rFonts w:ascii="Helvetica" w:hAnsi="Helvetica"/>
                <w:sz w:val="20"/>
                <w:szCs w:val="20"/>
              </w:rPr>
              <w:t>4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Aprile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2023</w:t>
            </w:r>
          </w:p>
        </w:tc>
      </w:tr>
      <w:tr w:rsidR="00097F56" w14:paraId="38C37895" w14:textId="77777777" w:rsidTr="00F86FD3">
        <w:trPr>
          <w:trHeight w:val="284"/>
        </w:trPr>
        <w:tc>
          <w:tcPr>
            <w:tcW w:w="5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2E56D6" w14:textId="72EA8827" w:rsidR="00097F56" w:rsidRDefault="00CB21D0" w:rsidP="00097F56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Confermare</w:t>
            </w:r>
            <w:r w:rsidR="00861256">
              <w:rPr>
                <w:rFonts w:ascii="Helvetica" w:hAnsi="Helvetica"/>
                <w:sz w:val="20"/>
                <w:szCs w:val="20"/>
              </w:rPr>
              <w:t xml:space="preserve"> con il DTD </w:t>
            </w:r>
            <w:r>
              <w:rPr>
                <w:rFonts w:ascii="Helvetica" w:hAnsi="Helvetica"/>
                <w:sz w:val="20"/>
                <w:szCs w:val="20"/>
              </w:rPr>
              <w:t>che sia</w:t>
            </w:r>
            <w:r w:rsidR="00861256">
              <w:rPr>
                <w:rFonts w:ascii="Helvetica" w:hAnsi="Helvetica"/>
                <w:sz w:val="20"/>
                <w:szCs w:val="20"/>
              </w:rPr>
              <w:t xml:space="preserve"> possibile utilizzare la firma dell’Azienda invece che del singolo medico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C62D40" w14:textId="6725AA21" w:rsidR="00097F56" w:rsidRDefault="00861256" w:rsidP="00097F56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Regione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C2E476" w14:textId="36EDC346" w:rsidR="00097F56" w:rsidRDefault="00861256" w:rsidP="00097F56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14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Aprile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2023</w:t>
            </w:r>
          </w:p>
        </w:tc>
      </w:tr>
      <w:tr w:rsidR="00097F56" w14:paraId="3CEF3A8A" w14:textId="77777777" w:rsidTr="00F86FD3">
        <w:trPr>
          <w:trHeight w:val="284"/>
        </w:trPr>
        <w:tc>
          <w:tcPr>
            <w:tcW w:w="5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39ACB0" w14:textId="77777777" w:rsidR="00097F56" w:rsidRDefault="00097F56" w:rsidP="00097F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A293E9" w14:textId="77777777" w:rsidR="00097F56" w:rsidRDefault="00097F56" w:rsidP="00097F56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111F6C" w14:textId="77777777" w:rsidR="00097F56" w:rsidRDefault="00097F56" w:rsidP="00097F56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097F56" w14:paraId="7598543B" w14:textId="77777777" w:rsidTr="002E4CC4">
        <w:trPr>
          <w:trHeight w:val="284"/>
        </w:trPr>
        <w:tc>
          <w:tcPr>
            <w:tcW w:w="5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E7EA7B" w14:textId="4DEBC93C" w:rsidR="00097F56" w:rsidRDefault="00097F56" w:rsidP="00097F56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1B3E16" w14:textId="12792E24" w:rsidR="00097F56" w:rsidRDefault="00097F56" w:rsidP="00097F56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299DD2" w14:textId="42780C35" w:rsidR="00097F56" w:rsidRDefault="00097F56" w:rsidP="00097F56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6FE45E8E" w14:textId="77777777" w:rsidR="00F86FD3" w:rsidRDefault="00F86FD3" w:rsidP="00F86FD3"/>
    <w:p w14:paraId="3461087A" w14:textId="012949A9" w:rsidR="00DD2C48" w:rsidRPr="00F86FD3" w:rsidRDefault="00DD2C48" w:rsidP="00F86FD3"/>
    <w:sectPr w:rsidR="00DD2C48" w:rsidRPr="00F86FD3" w:rsidSect="007B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92B89"/>
    <w:multiLevelType w:val="hybridMultilevel"/>
    <w:tmpl w:val="B0FADADE"/>
    <w:lvl w:ilvl="0" w:tplc="68E8283A">
      <w:start w:val="2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4C690E"/>
    <w:multiLevelType w:val="hybridMultilevel"/>
    <w:tmpl w:val="F75E8EC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A5103"/>
    <w:multiLevelType w:val="hybridMultilevel"/>
    <w:tmpl w:val="BF5E2E68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E456A"/>
    <w:multiLevelType w:val="hybridMultilevel"/>
    <w:tmpl w:val="86AE4F9A"/>
    <w:lvl w:ilvl="0" w:tplc="68E8283A">
      <w:start w:val="2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740FA"/>
    <w:multiLevelType w:val="hybridMultilevel"/>
    <w:tmpl w:val="9A2AE5DA"/>
    <w:lvl w:ilvl="0" w:tplc="3EF2165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316878">
    <w:abstractNumId w:val="1"/>
  </w:num>
  <w:num w:numId="2" w16cid:durableId="192378706">
    <w:abstractNumId w:val="4"/>
  </w:num>
  <w:num w:numId="3" w16cid:durableId="926617351">
    <w:abstractNumId w:val="0"/>
  </w:num>
  <w:num w:numId="4" w16cid:durableId="386563459">
    <w:abstractNumId w:val="3"/>
  </w:num>
  <w:num w:numId="5" w16cid:durableId="1404722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D3"/>
    <w:rsid w:val="00010664"/>
    <w:rsid w:val="00042A43"/>
    <w:rsid w:val="00043ED0"/>
    <w:rsid w:val="000676D7"/>
    <w:rsid w:val="00096D3E"/>
    <w:rsid w:val="00097F56"/>
    <w:rsid w:val="000D74B3"/>
    <w:rsid w:val="0010299E"/>
    <w:rsid w:val="0010758A"/>
    <w:rsid w:val="0011120A"/>
    <w:rsid w:val="001536DE"/>
    <w:rsid w:val="00187DC6"/>
    <w:rsid w:val="001A654C"/>
    <w:rsid w:val="001C5229"/>
    <w:rsid w:val="002725B0"/>
    <w:rsid w:val="002D026D"/>
    <w:rsid w:val="002D0BB4"/>
    <w:rsid w:val="002E4CC4"/>
    <w:rsid w:val="00344584"/>
    <w:rsid w:val="0034465C"/>
    <w:rsid w:val="00345E02"/>
    <w:rsid w:val="00375DE1"/>
    <w:rsid w:val="003B3DAB"/>
    <w:rsid w:val="003D5998"/>
    <w:rsid w:val="0048264B"/>
    <w:rsid w:val="004B133B"/>
    <w:rsid w:val="004C0127"/>
    <w:rsid w:val="005065B7"/>
    <w:rsid w:val="0051452B"/>
    <w:rsid w:val="00532EC3"/>
    <w:rsid w:val="005C54E4"/>
    <w:rsid w:val="005E4118"/>
    <w:rsid w:val="005F5249"/>
    <w:rsid w:val="0063592F"/>
    <w:rsid w:val="00664F06"/>
    <w:rsid w:val="00690E6F"/>
    <w:rsid w:val="00697B84"/>
    <w:rsid w:val="006A0F37"/>
    <w:rsid w:val="006C014F"/>
    <w:rsid w:val="006E49DD"/>
    <w:rsid w:val="00705833"/>
    <w:rsid w:val="00735DB8"/>
    <w:rsid w:val="007365AA"/>
    <w:rsid w:val="00743D22"/>
    <w:rsid w:val="00791007"/>
    <w:rsid w:val="007B18B3"/>
    <w:rsid w:val="007E0AEC"/>
    <w:rsid w:val="00807C76"/>
    <w:rsid w:val="0081074E"/>
    <w:rsid w:val="008333A1"/>
    <w:rsid w:val="00861256"/>
    <w:rsid w:val="0087011D"/>
    <w:rsid w:val="008F2F51"/>
    <w:rsid w:val="00916EF1"/>
    <w:rsid w:val="00921556"/>
    <w:rsid w:val="00924D8C"/>
    <w:rsid w:val="009616B9"/>
    <w:rsid w:val="00994EE9"/>
    <w:rsid w:val="009B5F6B"/>
    <w:rsid w:val="009C4F5A"/>
    <w:rsid w:val="009F7E64"/>
    <w:rsid w:val="00A54F64"/>
    <w:rsid w:val="00A55DD8"/>
    <w:rsid w:val="00A6079E"/>
    <w:rsid w:val="00A71A6A"/>
    <w:rsid w:val="00A73A09"/>
    <w:rsid w:val="00AD6D70"/>
    <w:rsid w:val="00AE2BFC"/>
    <w:rsid w:val="00AE3252"/>
    <w:rsid w:val="00AF6A04"/>
    <w:rsid w:val="00B60423"/>
    <w:rsid w:val="00B75519"/>
    <w:rsid w:val="00B9289E"/>
    <w:rsid w:val="00B92F59"/>
    <w:rsid w:val="00BB1012"/>
    <w:rsid w:val="00BC2AA8"/>
    <w:rsid w:val="00BC69B1"/>
    <w:rsid w:val="00BE2E13"/>
    <w:rsid w:val="00C44FD9"/>
    <w:rsid w:val="00C53266"/>
    <w:rsid w:val="00C7530B"/>
    <w:rsid w:val="00C957EE"/>
    <w:rsid w:val="00CB21D0"/>
    <w:rsid w:val="00D61E94"/>
    <w:rsid w:val="00D72E6D"/>
    <w:rsid w:val="00D96BD9"/>
    <w:rsid w:val="00DD2C48"/>
    <w:rsid w:val="00E85942"/>
    <w:rsid w:val="00EA72BB"/>
    <w:rsid w:val="00EC060B"/>
    <w:rsid w:val="00F06B65"/>
    <w:rsid w:val="00F26EF2"/>
    <w:rsid w:val="00F31082"/>
    <w:rsid w:val="00F64887"/>
    <w:rsid w:val="00F86FD3"/>
    <w:rsid w:val="00F94116"/>
    <w:rsid w:val="00FA7B75"/>
    <w:rsid w:val="00FB753B"/>
    <w:rsid w:val="00FD238C"/>
    <w:rsid w:val="00FE700C"/>
    <w:rsid w:val="00F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CB51"/>
  <w15:chartTrackingRefBased/>
  <w15:docId w15:val="{D00DF908-626B-4265-9FB4-09F92C2A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86FD3"/>
    <w:pPr>
      <w:spacing w:after="0" w:line="240" w:lineRule="auto"/>
    </w:pPr>
    <w:rPr>
      <w:rFonts w:ascii="Calibri" w:hAnsi="Calibri" w:cs="Calibri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aragrafoelencoCarattere">
    <w:name w:val="Paragrafo elenco Carattere"/>
    <w:basedOn w:val="Carpredefinitoparagrafo"/>
    <w:link w:val="Paragrafoelenco"/>
    <w:uiPriority w:val="34"/>
    <w:locked/>
    <w:rsid w:val="00F86FD3"/>
    <w:rPr>
      <w:rFonts w:ascii="Calibri" w:hAnsi="Calibri" w:cs="Calibri"/>
    </w:rPr>
  </w:style>
  <w:style w:type="paragraph" w:styleId="Paragrafoelenco">
    <w:name w:val="List Paragraph"/>
    <w:basedOn w:val="Normale"/>
    <w:link w:val="ParagrafoelencoCarattere"/>
    <w:uiPriority w:val="34"/>
    <w:qFormat/>
    <w:rsid w:val="00F86FD3"/>
    <w:pPr>
      <w:ind w:left="720"/>
    </w:pPr>
    <w:rPr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807C7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07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0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ufuc@gesan.it" TargetMode="External"/><Relationship Id="rId5" Type="http://schemas.openxmlformats.org/officeDocument/2006/relationships/hyperlink" Target="mailto:maufuc@gesan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Rosanna Colombo</dc:creator>
  <cp:keywords/>
  <dc:description/>
  <cp:lastModifiedBy>REGIONE CAMPANIA</cp:lastModifiedBy>
  <cp:revision>54</cp:revision>
  <dcterms:created xsi:type="dcterms:W3CDTF">2023-03-28T08:08:00Z</dcterms:created>
  <dcterms:modified xsi:type="dcterms:W3CDTF">2023-03-28T08:55:00Z</dcterms:modified>
</cp:coreProperties>
</file>