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0EE3A" w14:textId="77777777" w:rsidR="001174D8" w:rsidRDefault="001174D8" w:rsidP="001174D8">
      <w:pPr>
        <w:pStyle w:val="Titolo1"/>
        <w:rPr>
          <w:rStyle w:val="Titolodellibro"/>
          <w:rFonts w:cs="EucrosiaUPC"/>
          <w:b w:val="0"/>
          <w:bCs w:val="0"/>
          <w:i w:val="0"/>
          <w:iCs w:val="0"/>
          <w:spacing w:val="0"/>
        </w:rPr>
      </w:pPr>
      <w:r w:rsidRPr="001174D8">
        <w:rPr>
          <w:rStyle w:val="Titolodellibro"/>
          <w:rFonts w:cs="EucrosiaUPC"/>
          <w:b w:val="0"/>
          <w:bCs w:val="0"/>
          <w:i w:val="0"/>
          <w:iCs w:val="0"/>
          <w:spacing w:val="0"/>
        </w:rPr>
        <w:t>Ipotesi scaletta tesi</w:t>
      </w:r>
    </w:p>
    <w:p w14:paraId="7560113E" w14:textId="77777777" w:rsidR="0010040D" w:rsidRPr="00C45CBE" w:rsidRDefault="0010040D" w:rsidP="0010040D">
      <w:pPr>
        <w:pStyle w:val="Paragrafoelenco"/>
        <w:numPr>
          <w:ilvl w:val="0"/>
          <w:numId w:val="1"/>
        </w:numPr>
        <w:ind w:left="714" w:hanging="357"/>
        <w:contextualSpacing w:val="0"/>
        <w:rPr>
          <w:strike/>
          <w:highlight w:val="yellow"/>
        </w:rPr>
      </w:pPr>
      <w:r w:rsidRPr="00C45CBE">
        <w:rPr>
          <w:strike/>
          <w:highlight w:val="yellow"/>
        </w:rPr>
        <w:t>(</w:t>
      </w:r>
      <w:proofErr w:type="spellStart"/>
      <w:r w:rsidRPr="00C45CBE">
        <w:rPr>
          <w:strike/>
          <w:highlight w:val="yellow"/>
        </w:rPr>
        <w:t>Def</w:t>
      </w:r>
      <w:proofErr w:type="spellEnd"/>
      <w:r w:rsidRPr="00C45CBE">
        <w:rPr>
          <w:strike/>
          <w:highlight w:val="yellow"/>
        </w:rPr>
        <w:t>. Gruppo?)</w:t>
      </w:r>
    </w:p>
    <w:p w14:paraId="01826021" w14:textId="77777777" w:rsidR="001174D8" w:rsidRDefault="00C573D5" w:rsidP="0010040D">
      <w:pPr>
        <w:pStyle w:val="Paragrafoelenco"/>
        <w:numPr>
          <w:ilvl w:val="0"/>
          <w:numId w:val="1"/>
        </w:numPr>
        <w:ind w:left="714" w:hanging="357"/>
        <w:contextualSpacing w:val="0"/>
      </w:pPr>
      <w:r>
        <w:t>Insieme parzialmente ordinato, totalmente ordinato e definizioni di insieme denso e senza estremi (</w:t>
      </w:r>
      <w:proofErr w:type="spellStart"/>
      <w:r>
        <w:t>def</w:t>
      </w:r>
      <w:proofErr w:type="spellEnd"/>
      <w:r>
        <w:t>. 9.1</w:t>
      </w:r>
      <w:r w:rsidR="00AF24AD">
        <w:t>,</w:t>
      </w:r>
      <w:r>
        <w:t xml:space="preserve"> </w:t>
      </w:r>
      <w:proofErr w:type="spellStart"/>
      <w:r>
        <w:t>pag</w:t>
      </w:r>
      <w:proofErr w:type="spellEnd"/>
      <w:r>
        <w:t xml:space="preserve"> 77 </w:t>
      </w:r>
      <w:proofErr w:type="spellStart"/>
      <w:r>
        <w:t>Bhat</w:t>
      </w:r>
      <w:proofErr w:type="spellEnd"/>
      <w:r>
        <w:t>.)</w:t>
      </w:r>
    </w:p>
    <w:p w14:paraId="01AE74FC" w14:textId="77777777" w:rsidR="00415BE4" w:rsidRDefault="00415BE4" w:rsidP="0010040D">
      <w:pPr>
        <w:pStyle w:val="Paragrafoelenco"/>
        <w:numPr>
          <w:ilvl w:val="0"/>
          <w:numId w:val="1"/>
        </w:numPr>
        <w:ind w:left="714" w:hanging="357"/>
        <w:contextualSpacing w:val="0"/>
      </w:pPr>
      <w:proofErr w:type="spellStart"/>
      <w:r>
        <w:t>Def</w:t>
      </w:r>
      <w:proofErr w:type="spellEnd"/>
      <w:r>
        <w:t>. Automorfismo d’ordine (</w:t>
      </w:r>
      <w:proofErr w:type="spellStart"/>
      <w:r>
        <w:t>def</w:t>
      </w:r>
      <w:proofErr w:type="spellEnd"/>
      <w:r>
        <w:t>. 9.3</w:t>
      </w:r>
      <w:r w:rsidR="00AF24AD">
        <w:t>,</w:t>
      </w:r>
      <w:r>
        <w:t xml:space="preserve"> </w:t>
      </w:r>
      <w:proofErr w:type="spellStart"/>
      <w:r>
        <w:t>pag</w:t>
      </w:r>
      <w:proofErr w:type="spellEnd"/>
      <w:r>
        <w:t xml:space="preserve"> 78 </w:t>
      </w:r>
      <w:proofErr w:type="spellStart"/>
      <w:r>
        <w:t>Bhat</w:t>
      </w:r>
      <w:proofErr w:type="spellEnd"/>
      <w:r>
        <w:t>.)</w:t>
      </w:r>
    </w:p>
    <w:p w14:paraId="1CCA945C" w14:textId="77777777" w:rsidR="00AF24AD" w:rsidRDefault="00415BE4" w:rsidP="0010040D">
      <w:pPr>
        <w:pStyle w:val="Paragrafoelenco"/>
        <w:numPr>
          <w:ilvl w:val="0"/>
          <w:numId w:val="1"/>
        </w:numPr>
        <w:ind w:left="714" w:hanging="357"/>
        <w:contextualSpacing w:val="0"/>
      </w:pPr>
      <w:proofErr w:type="spellStart"/>
      <w:r>
        <w:t>Def</w:t>
      </w:r>
      <w:proofErr w:type="spellEnd"/>
      <w:r>
        <w:t>. Azione di gruppo (</w:t>
      </w:r>
      <w:proofErr w:type="spellStart"/>
      <w:r>
        <w:t>def</w:t>
      </w:r>
      <w:proofErr w:type="spellEnd"/>
      <w:r>
        <w:t xml:space="preserve"> 2.1</w:t>
      </w:r>
      <w:r w:rsidR="00AF24AD">
        <w:t xml:space="preserve">, </w:t>
      </w:r>
      <w:proofErr w:type="spellStart"/>
      <w:r w:rsidR="00AF24AD">
        <w:t>pag</w:t>
      </w:r>
      <w:proofErr w:type="spellEnd"/>
      <w:r w:rsidR="00AF24AD">
        <w:t xml:space="preserve"> 9 </w:t>
      </w:r>
      <w:proofErr w:type="spellStart"/>
      <w:r w:rsidR="00AF24AD">
        <w:t>Bhat</w:t>
      </w:r>
      <w:proofErr w:type="spellEnd"/>
      <w:r w:rsidR="00AF24AD">
        <w:t>.)</w:t>
      </w:r>
      <w:r w:rsidR="00AF24AD">
        <w:br/>
        <w:t xml:space="preserve">Esempio di azione di gruppi (rappresentazione di </w:t>
      </w:r>
      <w:proofErr w:type="spellStart"/>
      <w:r w:rsidR="00AF24AD">
        <w:t>Cayley</w:t>
      </w:r>
      <w:proofErr w:type="spellEnd"/>
      <w:r w:rsidR="00AF24AD">
        <w:t>)</w:t>
      </w:r>
    </w:p>
    <w:p w14:paraId="22AA3DDD" w14:textId="77777777" w:rsidR="00AF24AD" w:rsidRDefault="00AF24AD" w:rsidP="0010040D">
      <w:pPr>
        <w:pStyle w:val="Paragrafoelenco"/>
        <w:numPr>
          <w:ilvl w:val="0"/>
          <w:numId w:val="1"/>
        </w:numPr>
        <w:ind w:left="714" w:hanging="357"/>
        <w:contextualSpacing w:val="0"/>
      </w:pPr>
      <w:r>
        <w:t>Orbita di un elemento (</w:t>
      </w:r>
      <w:proofErr w:type="spellStart"/>
      <w:proofErr w:type="gramStart"/>
      <w:r>
        <w:t>def</w:t>
      </w:r>
      <w:proofErr w:type="spellEnd"/>
      <w:r>
        <w:t xml:space="preserve">  3.1</w:t>
      </w:r>
      <w:proofErr w:type="gramEnd"/>
      <w:r>
        <w:t xml:space="preserve">, </w:t>
      </w:r>
      <w:proofErr w:type="spellStart"/>
      <w:r>
        <w:t>pag</w:t>
      </w:r>
      <w:proofErr w:type="spellEnd"/>
      <w:r>
        <w:t xml:space="preserve"> 19 </w:t>
      </w:r>
      <w:proofErr w:type="spellStart"/>
      <w:r>
        <w:t>Bhat</w:t>
      </w:r>
      <w:proofErr w:type="spellEnd"/>
      <w:r>
        <w:t>)</w:t>
      </w:r>
    </w:p>
    <w:p w14:paraId="78140775" w14:textId="77777777" w:rsidR="00AF24AD" w:rsidRDefault="00AF24AD" w:rsidP="0010040D">
      <w:pPr>
        <w:pStyle w:val="Paragrafoelenco"/>
        <w:numPr>
          <w:ilvl w:val="0"/>
          <w:numId w:val="1"/>
        </w:numPr>
        <w:ind w:left="714" w:hanging="357"/>
        <w:contextualSpacing w:val="0"/>
      </w:pPr>
      <w:proofErr w:type="spellStart"/>
      <w:r>
        <w:t>Def</w:t>
      </w:r>
      <w:proofErr w:type="spellEnd"/>
      <w:r>
        <w:t>. Transitività (</w:t>
      </w:r>
      <w:proofErr w:type="spellStart"/>
      <w:r>
        <w:t>pag</w:t>
      </w:r>
      <w:proofErr w:type="spellEnd"/>
      <w:r>
        <w:t xml:space="preserve"> 19)</w:t>
      </w:r>
    </w:p>
    <w:p w14:paraId="336F1698" w14:textId="77777777" w:rsidR="00AF24AD" w:rsidRDefault="00AF24AD" w:rsidP="0010040D">
      <w:pPr>
        <w:pStyle w:val="Paragrafoelenco"/>
        <w:numPr>
          <w:ilvl w:val="0"/>
          <w:numId w:val="1"/>
        </w:numPr>
        <w:ind w:left="714" w:hanging="357"/>
        <w:contextualSpacing w:val="0"/>
      </w:pPr>
      <w:r>
        <w:t>Teorema 3.2: le orbite sono disgiunte. Inoltre “l’essere nella stessa orbita” è una relazione di equivalenza.</w:t>
      </w:r>
    </w:p>
    <w:p w14:paraId="47C2837C" w14:textId="77777777" w:rsidR="00AF24AD" w:rsidRDefault="00AF24AD" w:rsidP="0010040D">
      <w:pPr>
        <w:pStyle w:val="Paragrafoelenco"/>
        <w:numPr>
          <w:ilvl w:val="0"/>
          <w:numId w:val="1"/>
        </w:numPr>
        <w:ind w:left="714" w:hanging="357"/>
        <w:contextualSpacing w:val="0"/>
      </w:pPr>
      <w:r>
        <w:t xml:space="preserve">Esempio sull’orbita di un elemento (Es 3c o 3e, </w:t>
      </w:r>
      <w:proofErr w:type="spellStart"/>
      <w:r>
        <w:t>pag</w:t>
      </w:r>
      <w:proofErr w:type="spellEnd"/>
      <w:r>
        <w:t xml:space="preserve"> 20-21 </w:t>
      </w:r>
      <w:proofErr w:type="spellStart"/>
      <w:r>
        <w:t>Bhat</w:t>
      </w:r>
      <w:proofErr w:type="spellEnd"/>
      <w:r>
        <w:t>)</w:t>
      </w:r>
    </w:p>
    <w:p w14:paraId="0C3B03B7" w14:textId="77777777" w:rsidR="00AF24AD" w:rsidRDefault="0010040D" w:rsidP="00785DEC">
      <w:pPr>
        <w:pStyle w:val="Paragrafoelenco"/>
        <w:numPr>
          <w:ilvl w:val="0"/>
          <w:numId w:val="1"/>
        </w:numPr>
        <w:ind w:left="714" w:hanging="357"/>
        <w:contextualSpacing w:val="0"/>
      </w:pPr>
      <w:proofErr w:type="spellStart"/>
      <w:r>
        <w:t>Def</w:t>
      </w:r>
      <w:proofErr w:type="spellEnd"/>
      <w:r>
        <w:t>. di G-morfismo (</w:t>
      </w:r>
      <w:proofErr w:type="spellStart"/>
      <w:r>
        <w:t>def</w:t>
      </w:r>
      <w:proofErr w:type="spellEnd"/>
      <w:r>
        <w:t xml:space="preserve"> </w:t>
      </w:r>
      <w:proofErr w:type="gramStart"/>
      <w:r>
        <w:t>3.5,pag</w:t>
      </w:r>
      <w:proofErr w:type="gramEnd"/>
      <w:r>
        <w:t xml:space="preserve"> 22 </w:t>
      </w:r>
      <w:proofErr w:type="spellStart"/>
      <w:r>
        <w:t>Bhat</w:t>
      </w:r>
      <w:proofErr w:type="spellEnd"/>
      <w:r>
        <w:t>)</w:t>
      </w:r>
    </w:p>
    <w:p w14:paraId="4F0A4AE3" w14:textId="77777777" w:rsidR="00A84814" w:rsidRPr="00A84814" w:rsidRDefault="00A84814" w:rsidP="00785DEC">
      <w:pPr>
        <w:pStyle w:val="Paragrafoelenco"/>
        <w:numPr>
          <w:ilvl w:val="0"/>
          <w:numId w:val="1"/>
        </w:numPr>
        <w:ind w:left="714" w:hanging="357"/>
        <w:contextualSpacing w:val="0"/>
        <w:rPr>
          <w:highlight w:val="green"/>
        </w:rPr>
      </w:pPr>
      <w:r>
        <w:t xml:space="preserve">Stabilizzatore di un punto, </w:t>
      </w:r>
      <w:proofErr w:type="spellStart"/>
      <w:r w:rsidRPr="00A84814">
        <w:rPr>
          <w:highlight w:val="green"/>
        </w:rPr>
        <w:t>setwise</w:t>
      </w:r>
      <w:proofErr w:type="spellEnd"/>
      <w:r w:rsidRPr="00A84814">
        <w:rPr>
          <w:highlight w:val="green"/>
        </w:rPr>
        <w:t xml:space="preserve"> e </w:t>
      </w:r>
      <w:proofErr w:type="spellStart"/>
      <w:r w:rsidRPr="00A84814">
        <w:rPr>
          <w:highlight w:val="green"/>
        </w:rPr>
        <w:t>pointwise</w:t>
      </w:r>
      <w:proofErr w:type="spellEnd"/>
      <w:r w:rsidRPr="00A84814">
        <w:rPr>
          <w:highlight w:val="green"/>
        </w:rPr>
        <w:t xml:space="preserve"> </w:t>
      </w:r>
      <w:proofErr w:type="spellStart"/>
      <w:r w:rsidRPr="00A84814">
        <w:rPr>
          <w:highlight w:val="green"/>
        </w:rPr>
        <w:t>stabiliser</w:t>
      </w:r>
      <w:proofErr w:type="spellEnd"/>
    </w:p>
    <w:p w14:paraId="58E7C446" w14:textId="77777777" w:rsidR="004F7743" w:rsidRDefault="0010040D" w:rsidP="00785DEC">
      <w:pPr>
        <w:pStyle w:val="Paragrafoelenco"/>
        <w:numPr>
          <w:ilvl w:val="0"/>
          <w:numId w:val="1"/>
        </w:numPr>
        <w:contextualSpacing w:val="0"/>
      </w:pPr>
      <w:r w:rsidRPr="004F7743">
        <w:rPr>
          <w:highlight w:val="yellow"/>
        </w:rPr>
        <w:t xml:space="preserve">(Teorema 3.6: uno spazio transitivo è G-isomorfo al </w:t>
      </w:r>
      <w:r w:rsidR="00A84814" w:rsidRPr="004F7743">
        <w:rPr>
          <w:highlight w:val="yellow"/>
        </w:rPr>
        <w:t>quoziente di G sullo stabilizzatore di ogni punto</w:t>
      </w:r>
      <w:r w:rsidRPr="004F7743">
        <w:rPr>
          <w:highlight w:val="yellow"/>
        </w:rPr>
        <w:t>)</w:t>
      </w:r>
    </w:p>
    <w:p w14:paraId="4E619B27" w14:textId="77777777" w:rsidR="004F7743" w:rsidRDefault="004F7743" w:rsidP="00785DEC">
      <w:pPr>
        <w:pStyle w:val="Paragrafoelenco"/>
        <w:numPr>
          <w:ilvl w:val="0"/>
          <w:numId w:val="1"/>
        </w:numPr>
        <w:contextualSpacing w:val="0"/>
      </w:pPr>
      <w:r>
        <w:t>Azione k-transitiva</w:t>
      </w:r>
    </w:p>
    <w:p w14:paraId="118A0C53" w14:textId="77777777" w:rsidR="004F7743" w:rsidRPr="00C45CBE" w:rsidRDefault="004F7743" w:rsidP="00785DEC">
      <w:pPr>
        <w:pStyle w:val="Paragrafoelenco"/>
        <w:numPr>
          <w:ilvl w:val="0"/>
          <w:numId w:val="1"/>
        </w:numPr>
        <w:contextualSpacing w:val="0"/>
        <w:rPr>
          <w:strike/>
        </w:rPr>
      </w:pPr>
      <w:r w:rsidRPr="00C45CBE">
        <w:rPr>
          <w:strike/>
          <w:highlight w:val="yellow"/>
        </w:rPr>
        <w:t>(Teorema 3.13: Relazione tra k-transitività e k+1 transitività)</w:t>
      </w:r>
    </w:p>
    <w:p w14:paraId="780787DE" w14:textId="77777777" w:rsidR="00625D33" w:rsidRPr="00C45CBE" w:rsidRDefault="00625D33" w:rsidP="00785DEC">
      <w:pPr>
        <w:pStyle w:val="Paragrafoelenco"/>
        <w:numPr>
          <w:ilvl w:val="0"/>
          <w:numId w:val="1"/>
        </w:numPr>
        <w:contextualSpacing w:val="0"/>
        <w:rPr>
          <w:strike/>
          <w:highlight w:val="yellow"/>
        </w:rPr>
      </w:pPr>
      <w:r w:rsidRPr="00C45CBE">
        <w:rPr>
          <w:strike/>
          <w:highlight w:val="yellow"/>
        </w:rPr>
        <w:t>Esempi 3f e 3g: n-transitività di S</w:t>
      </w:r>
      <w:r w:rsidRPr="00C45CBE">
        <w:rPr>
          <w:strike/>
          <w:highlight w:val="yellow"/>
          <w:vertAlign w:val="subscript"/>
        </w:rPr>
        <w:t>n</w:t>
      </w:r>
      <w:r w:rsidRPr="00C45CBE">
        <w:rPr>
          <w:strike/>
          <w:highlight w:val="yellow"/>
        </w:rPr>
        <w:t xml:space="preserve"> e n-2 transitività di A</w:t>
      </w:r>
      <w:r w:rsidRPr="00C45CBE">
        <w:rPr>
          <w:strike/>
          <w:highlight w:val="yellow"/>
          <w:vertAlign w:val="subscript"/>
        </w:rPr>
        <w:t>n</w:t>
      </w:r>
      <w:r w:rsidRPr="00C45CBE">
        <w:rPr>
          <w:strike/>
          <w:highlight w:val="yellow"/>
        </w:rPr>
        <w:t xml:space="preserve"> </w:t>
      </w:r>
    </w:p>
    <w:p w14:paraId="53F446EF" w14:textId="77777777" w:rsidR="004F7743" w:rsidRDefault="00625D33" w:rsidP="00785DEC">
      <w:pPr>
        <w:pStyle w:val="Paragrafoelenco"/>
        <w:numPr>
          <w:ilvl w:val="0"/>
          <w:numId w:val="1"/>
        </w:numPr>
        <w:contextualSpacing w:val="0"/>
      </w:pPr>
      <w:r>
        <w:t>Esempio 3i: transitività di GL(</w:t>
      </w:r>
      <w:proofErr w:type="gramStart"/>
      <w:r>
        <w:t>2,R</w:t>
      </w:r>
      <w:proofErr w:type="gramEnd"/>
      <w:r>
        <w:t>) su R</w:t>
      </w:r>
      <w:r>
        <w:rPr>
          <w:vertAlign w:val="superscript"/>
        </w:rPr>
        <w:t>2</w:t>
      </w:r>
      <w:r>
        <w:t>\Origine</w:t>
      </w:r>
    </w:p>
    <w:p w14:paraId="5D521F41" w14:textId="77777777" w:rsidR="00625D33" w:rsidRDefault="00625D33" w:rsidP="00785DEC">
      <w:pPr>
        <w:pStyle w:val="Paragrafoelenco"/>
        <w:numPr>
          <w:ilvl w:val="0"/>
          <w:numId w:val="1"/>
        </w:numPr>
        <w:contextualSpacing w:val="0"/>
      </w:pPr>
      <w:r>
        <w:t xml:space="preserve">Omogeneità: Definizione e confronto con transitività (indebolimento, </w:t>
      </w:r>
      <w:proofErr w:type="spellStart"/>
      <w:r>
        <w:t>cond.</w:t>
      </w:r>
      <w:proofErr w:type="spellEnd"/>
      <w:r>
        <w:t xml:space="preserve"> </w:t>
      </w:r>
      <w:proofErr w:type="spellStart"/>
      <w:r>
        <w:t>neces</w:t>
      </w:r>
      <w:proofErr w:type="spellEnd"/>
      <w:r>
        <w:t>.)</w:t>
      </w:r>
    </w:p>
    <w:p w14:paraId="3285F80D" w14:textId="77777777" w:rsidR="00625D33" w:rsidRPr="00625D33" w:rsidRDefault="00625D33" w:rsidP="00785DEC">
      <w:pPr>
        <w:pStyle w:val="Paragrafoelenco"/>
        <w:numPr>
          <w:ilvl w:val="0"/>
          <w:numId w:val="1"/>
        </w:numPr>
        <w:contextualSpacing w:val="0"/>
        <w:rPr>
          <w:highlight w:val="cyan"/>
        </w:rPr>
      </w:pPr>
      <w:r w:rsidRPr="00625D33">
        <w:rPr>
          <w:highlight w:val="cyan"/>
        </w:rPr>
        <w:t>Esempio 3f: il gruppo Aut(</w:t>
      </w:r>
      <w:proofErr w:type="gramStart"/>
      <w:r w:rsidRPr="00625D33">
        <w:rPr>
          <w:highlight w:val="cyan"/>
        </w:rPr>
        <w:t>Q,&lt;</w:t>
      </w:r>
      <w:proofErr w:type="gramEnd"/>
      <w:r w:rsidRPr="00625D33">
        <w:rPr>
          <w:highlight w:val="cyan"/>
        </w:rPr>
        <w:t>) è omogeneo, transitivo, ma non 2-transitivo</w:t>
      </w:r>
    </w:p>
    <w:p w14:paraId="5889D2BA" w14:textId="77777777" w:rsidR="00B05314" w:rsidRPr="00B05314" w:rsidRDefault="00B05314" w:rsidP="00785DEC">
      <w:pPr>
        <w:pStyle w:val="Paragrafoelenco"/>
        <w:numPr>
          <w:ilvl w:val="0"/>
          <w:numId w:val="1"/>
        </w:numPr>
        <w:contextualSpacing w:val="0"/>
      </w:pPr>
      <w:r w:rsidRPr="00B05314">
        <w:rPr>
          <w:highlight w:val="red"/>
        </w:rPr>
        <w:t xml:space="preserve">Primitività: definizione secondo Dixon </w:t>
      </w:r>
      <w:proofErr w:type="spellStart"/>
      <w:r w:rsidRPr="00B05314">
        <w:rPr>
          <w:highlight w:val="red"/>
        </w:rPr>
        <w:t>Mortimer</w:t>
      </w:r>
      <w:proofErr w:type="spellEnd"/>
      <w:r w:rsidRPr="00B05314">
        <w:rPr>
          <w:highlight w:val="red"/>
        </w:rPr>
        <w:t xml:space="preserve"> (</w:t>
      </w:r>
      <w:proofErr w:type="spellStart"/>
      <w:r w:rsidRPr="00B05314">
        <w:rPr>
          <w:highlight w:val="red"/>
        </w:rPr>
        <w:t>pag</w:t>
      </w:r>
      <w:proofErr w:type="spellEnd"/>
      <w:r w:rsidRPr="00B05314">
        <w:rPr>
          <w:highlight w:val="red"/>
        </w:rPr>
        <w:t xml:space="preserve"> 12)</w:t>
      </w:r>
    </w:p>
    <w:p w14:paraId="3A6618C4" w14:textId="77777777" w:rsidR="00B05314" w:rsidRPr="00B05314" w:rsidRDefault="00B05314" w:rsidP="00785DEC">
      <w:pPr>
        <w:pStyle w:val="Paragrafoelenco"/>
        <w:numPr>
          <w:ilvl w:val="0"/>
          <w:numId w:val="1"/>
        </w:numPr>
        <w:contextualSpacing w:val="0"/>
      </w:pPr>
      <w:r w:rsidRPr="00B05314">
        <w:t>Esempio 4e</w:t>
      </w:r>
      <w:r>
        <w:t>: Azione 2-Omogenea è primitiva (Quindi Aut(</w:t>
      </w:r>
      <w:proofErr w:type="gramStart"/>
      <w:r>
        <w:t>Q,&lt;</w:t>
      </w:r>
      <w:proofErr w:type="gramEnd"/>
      <w:r>
        <w:t>) è primitivo)</w:t>
      </w:r>
    </w:p>
    <w:p w14:paraId="79D0DFF5" w14:textId="77777777" w:rsidR="00B05314" w:rsidRPr="00B05314" w:rsidRDefault="00B05314" w:rsidP="00785DEC">
      <w:pPr>
        <w:pStyle w:val="Paragrafoelenco"/>
        <w:numPr>
          <w:ilvl w:val="0"/>
          <w:numId w:val="1"/>
        </w:numPr>
        <w:contextualSpacing w:val="0"/>
        <w:rPr>
          <w:highlight w:val="green"/>
        </w:rPr>
      </w:pPr>
      <w:r w:rsidRPr="00B05314">
        <w:rPr>
          <w:highlight w:val="green"/>
        </w:rPr>
        <w:t>Grafi orbitali: definizione + grafo fortemente connesso e connesso</w:t>
      </w:r>
    </w:p>
    <w:p w14:paraId="5D2CA227" w14:textId="77777777" w:rsidR="00B05314" w:rsidRPr="00B05314" w:rsidRDefault="00B05314" w:rsidP="00785DEC">
      <w:pPr>
        <w:pStyle w:val="Paragrafoelenco"/>
        <w:numPr>
          <w:ilvl w:val="0"/>
          <w:numId w:val="1"/>
        </w:numPr>
        <w:contextualSpacing w:val="0"/>
        <w:rPr>
          <w:highlight w:val="green"/>
        </w:rPr>
      </w:pPr>
      <w:r w:rsidRPr="00B05314">
        <w:rPr>
          <w:highlight w:val="green"/>
        </w:rPr>
        <w:t>Teorema 5.8: componenti connesse e fortemente connesse di Aut(</w:t>
      </w:r>
      <w:proofErr w:type="gramStart"/>
      <w:r w:rsidRPr="00B05314">
        <w:rPr>
          <w:highlight w:val="green"/>
        </w:rPr>
        <w:t>Q,&lt;</w:t>
      </w:r>
      <w:proofErr w:type="gramEnd"/>
      <w:r w:rsidRPr="00B05314">
        <w:rPr>
          <w:highlight w:val="green"/>
        </w:rPr>
        <w:t>)</w:t>
      </w:r>
    </w:p>
    <w:p w14:paraId="14559E98" w14:textId="77777777" w:rsidR="00B05314" w:rsidRDefault="00785DEC" w:rsidP="00785DEC">
      <w:pPr>
        <w:pStyle w:val="Paragrafoelenco"/>
        <w:numPr>
          <w:ilvl w:val="0"/>
          <w:numId w:val="1"/>
        </w:numPr>
        <w:contextualSpacing w:val="0"/>
      </w:pPr>
      <w:r>
        <w:t>Teorema di Cantor; dimostrazione solo “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forth</w:t>
      </w:r>
      <w:proofErr w:type="spellEnd"/>
      <w:r>
        <w:t>”</w:t>
      </w:r>
    </w:p>
    <w:p w14:paraId="33B1DA54" w14:textId="77777777" w:rsidR="00785DEC" w:rsidRDefault="00785DEC" w:rsidP="00785DEC">
      <w:pPr>
        <w:pStyle w:val="Paragrafoelenco"/>
        <w:numPr>
          <w:ilvl w:val="0"/>
          <w:numId w:val="1"/>
        </w:numPr>
        <w:contextualSpacing w:val="0"/>
      </w:pPr>
      <w:r>
        <w:t>Esercizio 9vi.</w:t>
      </w:r>
    </w:p>
    <w:p w14:paraId="49118954" w14:textId="77777777" w:rsidR="00785DEC" w:rsidRPr="00625D33" w:rsidRDefault="00785DEC" w:rsidP="00785DEC">
      <w:pPr>
        <w:pStyle w:val="Paragrafoelenco"/>
        <w:numPr>
          <w:ilvl w:val="0"/>
          <w:numId w:val="1"/>
        </w:numPr>
        <w:contextualSpacing w:val="0"/>
      </w:pPr>
      <w:r>
        <w:t>Argomenti presi da Capitolo 9.3 (da decidere)</w:t>
      </w:r>
    </w:p>
    <w:p w14:paraId="40CE39ED" w14:textId="77777777" w:rsidR="00A84814" w:rsidRDefault="00A84814" w:rsidP="00A84814"/>
    <w:p w14:paraId="42910DD7" w14:textId="77777777" w:rsidR="00A84814" w:rsidRDefault="00A84814" w:rsidP="00A84814">
      <w:pPr>
        <w:sectPr w:rsidR="00A84814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51CCDBA7" w14:textId="77777777" w:rsidR="00A84814" w:rsidRDefault="004F7743" w:rsidP="00A84814">
      <w:r w:rsidRPr="004F7743">
        <w:rPr>
          <w:highlight w:val="green"/>
        </w:rPr>
        <w:t>____</w:t>
      </w:r>
      <w:r>
        <w:t xml:space="preserve"> Da inserire solo nel caso si scelga lo studio di Aut(</w:t>
      </w:r>
      <w:proofErr w:type="gramStart"/>
      <w:r>
        <w:t>Q,&lt;</w:t>
      </w:r>
      <w:proofErr w:type="gramEnd"/>
      <w:r>
        <w:t>) come argomento</w:t>
      </w:r>
    </w:p>
    <w:p w14:paraId="3B137ABF" w14:textId="77777777" w:rsidR="004F7743" w:rsidRDefault="004F7743" w:rsidP="00A84814">
      <w:r w:rsidRPr="004F7743">
        <w:rPr>
          <w:highlight w:val="yellow"/>
        </w:rPr>
        <w:t>____</w:t>
      </w:r>
      <w:r>
        <w:t xml:space="preserve"> Argomenti non essenziali </w:t>
      </w:r>
    </w:p>
    <w:p w14:paraId="7558CC7F" w14:textId="77777777" w:rsidR="00625D33" w:rsidRDefault="00625D33" w:rsidP="00A84814">
      <w:r w:rsidRPr="00625D33">
        <w:rPr>
          <w:highlight w:val="cyan"/>
        </w:rPr>
        <w:t>____</w:t>
      </w:r>
      <w:r>
        <w:t xml:space="preserve"> Importanti</w:t>
      </w:r>
    </w:p>
    <w:p w14:paraId="6AAA1F8B" w14:textId="77777777" w:rsidR="00B05314" w:rsidRPr="001174D8" w:rsidRDefault="00B05314" w:rsidP="00A84814">
      <w:r w:rsidRPr="00B05314">
        <w:rPr>
          <w:highlight w:val="red"/>
        </w:rPr>
        <w:t>____</w:t>
      </w:r>
      <w:r>
        <w:t xml:space="preserve"> Dixon </w:t>
      </w:r>
      <w:proofErr w:type="spellStart"/>
      <w:r>
        <w:t>Mortimer</w:t>
      </w:r>
      <w:proofErr w:type="spellEnd"/>
      <w:r>
        <w:t xml:space="preserve"> (altrimenti </w:t>
      </w:r>
      <w:proofErr w:type="spellStart"/>
      <w:r>
        <w:t>Bhattacharjee</w:t>
      </w:r>
      <w:proofErr w:type="spellEnd"/>
      <w:r>
        <w:t>)</w:t>
      </w:r>
    </w:p>
    <w:sectPr w:rsidR="00B05314" w:rsidRPr="001174D8" w:rsidSect="00A84814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A0421" w14:textId="77777777" w:rsidR="005D3222" w:rsidRDefault="005D3222" w:rsidP="00C573D5">
      <w:pPr>
        <w:spacing w:after="0" w:line="240" w:lineRule="auto"/>
      </w:pPr>
      <w:r>
        <w:separator/>
      </w:r>
    </w:p>
  </w:endnote>
  <w:endnote w:type="continuationSeparator" w:id="0">
    <w:p w14:paraId="58674D16" w14:textId="77777777" w:rsidR="005D3222" w:rsidRDefault="005D3222" w:rsidP="00C573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Georgia Pro Semibold">
    <w:altName w:val="Georgia Pro Semibold"/>
    <w:charset w:val="00"/>
    <w:family w:val="roman"/>
    <w:pitch w:val="variable"/>
    <w:sig w:usb0="80000287" w:usb1="00000043" w:usb2="00000000" w:usb3="00000000" w:csb0="0000009F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B421C" w14:textId="77777777" w:rsidR="005D3222" w:rsidRDefault="005D3222" w:rsidP="00C573D5">
      <w:pPr>
        <w:spacing w:after="0" w:line="240" w:lineRule="auto"/>
      </w:pPr>
      <w:r>
        <w:separator/>
      </w:r>
    </w:p>
  </w:footnote>
  <w:footnote w:type="continuationSeparator" w:id="0">
    <w:p w14:paraId="0F410D09" w14:textId="77777777" w:rsidR="005D3222" w:rsidRDefault="005D3222" w:rsidP="00C573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961BDF"/>
    <w:multiLevelType w:val="hybridMultilevel"/>
    <w:tmpl w:val="E63AE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D8"/>
    <w:rsid w:val="0010040D"/>
    <w:rsid w:val="001174D8"/>
    <w:rsid w:val="00415BE4"/>
    <w:rsid w:val="0042618C"/>
    <w:rsid w:val="004F7743"/>
    <w:rsid w:val="005A6A53"/>
    <w:rsid w:val="005D3222"/>
    <w:rsid w:val="00625D33"/>
    <w:rsid w:val="00785DEC"/>
    <w:rsid w:val="008E7722"/>
    <w:rsid w:val="00A84814"/>
    <w:rsid w:val="00AF24AD"/>
    <w:rsid w:val="00B05314"/>
    <w:rsid w:val="00C45CBE"/>
    <w:rsid w:val="00C5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9AA7"/>
  <w15:chartTrackingRefBased/>
  <w15:docId w15:val="{08D96D3A-BAAD-4027-9DCC-1CF952B0F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84814"/>
    <w:pPr>
      <w:spacing w:after="120"/>
    </w:pPr>
    <w:rPr>
      <w:rFonts w:ascii="Georgia Pro" w:hAnsi="Georgia Pro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174D8"/>
    <w:pPr>
      <w:keepNext/>
      <w:keepLines/>
      <w:outlineLvl w:val="0"/>
    </w:pPr>
    <w:rPr>
      <w:rFonts w:ascii="Georgia Pro Semibold" w:eastAsiaTheme="majorEastAsia" w:hAnsi="Georgia Pro Semibold" w:cstheme="majorBidi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itolodellibro">
    <w:name w:val="Book Title"/>
    <w:basedOn w:val="Carpredefinitoparagrafo"/>
    <w:uiPriority w:val="33"/>
    <w:qFormat/>
    <w:rsid w:val="001174D8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174D8"/>
    <w:rPr>
      <w:rFonts w:ascii="Georgia Pro Semibold" w:eastAsiaTheme="majorEastAsia" w:hAnsi="Georgia Pro Semibold" w:cstheme="majorBidi"/>
      <w:sz w:val="32"/>
      <w:szCs w:val="32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573D5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573D5"/>
    <w:rPr>
      <w:rFonts w:ascii="Georgia Pro" w:hAnsi="Georgia Pro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573D5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C57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4018C-50A7-4462-B0ED-26BFFAB7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De Cecco</dc:creator>
  <cp:keywords/>
  <dc:description/>
  <cp:lastModifiedBy>Paolo De Cecco</cp:lastModifiedBy>
  <cp:revision>3</cp:revision>
  <dcterms:created xsi:type="dcterms:W3CDTF">2020-04-20T10:23:00Z</dcterms:created>
  <dcterms:modified xsi:type="dcterms:W3CDTF">2020-05-02T21:32:00Z</dcterms:modified>
</cp:coreProperties>
</file>