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704A" w14:textId="6C4B49E3" w:rsidR="00123CB1" w:rsidRPr="00123CB1" w:rsidRDefault="00123CB1" w:rsidP="00123CB1">
      <w:pPr>
        <w:jc w:val="center"/>
        <w:rPr>
          <w:b/>
          <w:bCs/>
          <w:sz w:val="32"/>
          <w:szCs w:val="32"/>
          <w:lang w:val="it-IT"/>
        </w:rPr>
      </w:pPr>
      <w:r w:rsidRPr="00123CB1">
        <w:rPr>
          <w:b/>
          <w:bCs/>
          <w:sz w:val="32"/>
          <w:szCs w:val="32"/>
          <w:lang w:val="it-IT"/>
        </w:rPr>
        <w:t>Lezione 1: Elementi di teoria della probabilità</w:t>
      </w:r>
    </w:p>
    <w:p w14:paraId="071C85F2" w14:textId="77777777" w:rsidR="00123CB1" w:rsidRPr="00123CB1" w:rsidRDefault="00123CB1" w:rsidP="00123CB1">
      <w:pPr>
        <w:jc w:val="center"/>
        <w:rPr>
          <w:b/>
          <w:bCs/>
          <w:sz w:val="28"/>
          <w:szCs w:val="28"/>
          <w:lang w:val="it-IT"/>
        </w:rPr>
      </w:pPr>
    </w:p>
    <w:p w14:paraId="61A17C74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1. Apertura: perché serve un modello probabilistico — slide 1–3</w:t>
      </w:r>
    </w:p>
    <w:p w14:paraId="0B30697A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8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8 minuti</w:t>
      </w:r>
    </w:p>
    <w:p w14:paraId="5B4B200C" w14:textId="4419DFBA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domanda guida della lezione: rappresentare formalmente l’incertezza finanziaria. Grandezze incerte: rendimento futuro, valore di portafoglio, default, soglie di perdita, traiettorie di mercato. Introdurre la struttura 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</m:e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  <w:lang w:val="it-IT"/>
              </w:rPr>
              <m:t>F</m:t>
            </m:r>
          </m:e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  <w:lang w:val="it-IT"/>
              </w:rPr>
              <m:t>P</m:t>
            </m:r>
          </m:e>
        </m:d>
      </m:oMath>
      <w:r w:rsidRPr="00123CB1">
        <w:rPr>
          <w:sz w:val="28"/>
          <w:szCs w:val="28"/>
          <w:lang w:val="it-IT"/>
        </w:rPr>
        <w:t>come linguaggio di base.</w:t>
      </w:r>
    </w:p>
    <w:p w14:paraId="6C194512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7527D40D">
          <v:rect id="_x0000_i1085" style="width:0;height:1.5pt" o:hralign="center" o:hrstd="t" o:hr="t" fillcolor="#a0a0a0" stroked="f"/>
        </w:pict>
      </w:r>
    </w:p>
    <w:p w14:paraId="207BC624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2. Spazio campionario ed eventi — slide 4–6</w:t>
      </w:r>
    </w:p>
    <w:p w14:paraId="476D1DA2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10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18 minuti</w:t>
      </w:r>
    </w:p>
    <w:p w14:paraId="40169F6D" w14:textId="7E5D6BE5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distinzione tra spazio campionario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  <w:r w:rsidRPr="00123CB1">
        <w:rPr>
          <w:sz w:val="28"/>
          <w:szCs w:val="28"/>
          <w:lang w:val="it-IT"/>
        </w:rPr>
        <w:t xml:space="preserve">, esito elementare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 w:rsidRPr="00123CB1">
        <w:rPr>
          <w:sz w:val="28"/>
          <w:szCs w:val="28"/>
          <w:lang w:val="it-IT"/>
        </w:rPr>
        <w:t xml:space="preserve">ed evento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⊆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  <w:r w:rsidRPr="00123CB1">
        <w:rPr>
          <w:sz w:val="28"/>
          <w:szCs w:val="28"/>
          <w:lang w:val="it-IT"/>
        </w:rPr>
        <w:t>. Evento certo, impossibile, elementare e composto. Esempio dei tre scenari di mercato: ribasso, stabilità, rialzo; evento di perdita e rendimento non negativo.</w:t>
      </w:r>
    </w:p>
    <w:p w14:paraId="3EEEEEB1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13FEF355">
          <v:rect id="_x0000_i1086" style="width:0;height:1.5pt" o:hralign="center" o:hrstd="t" o:hr="t" fillcolor="#a0a0a0" stroked="f"/>
        </w:pict>
      </w:r>
    </w:p>
    <w:p w14:paraId="6F47CAD3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3. Esperimenti ripetuti e traiettorie — slide 7–11</w:t>
      </w:r>
    </w:p>
    <w:p w14:paraId="303CE848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16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34 minuti</w:t>
      </w:r>
    </w:p>
    <w:p w14:paraId="2BA7CDBA" w14:textId="71A089AD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passaggio dal singolo esperimento alla sequenza temporale: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  <w:lang w:val="it-IT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×⋯×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123CB1">
        <w:rPr>
          <w:sz w:val="28"/>
          <w:szCs w:val="28"/>
          <w:lang w:val="it-IT"/>
        </w:rPr>
        <w:t xml:space="preserve">. Un esito elementare diventa una traiettoria </w:t>
      </w:r>
      <m:oMath>
        <m: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  <w:lang w:val="it-IT"/>
          </w:rPr>
          <m:t>=(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,…,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123CB1">
        <w:rPr>
          <w:sz w:val="28"/>
          <w:szCs w:val="28"/>
          <w:lang w:val="it-IT"/>
        </w:rPr>
        <w:t xml:space="preserve">. Esempio </w:t>
      </w:r>
      <m:oMath>
        <m:r>
          <w:rPr>
            <w:rFonts w:ascii="Cambria Math" w:hAnsi="Cambria Math"/>
            <w:sz w:val="28"/>
            <w:szCs w:val="28"/>
          </w:rPr>
          <m:t>u</m:t>
        </m:r>
        <m:r>
          <w:rPr>
            <w:rFonts w:ascii="Cambria Math" w:hAnsi="Cambria Math"/>
            <w:sz w:val="28"/>
            <w:szCs w:val="28"/>
            <w:lang w:val="it-IT"/>
          </w:rPr>
          <m:t>,</m:t>
        </m:r>
        <m:r>
          <w:rPr>
            <w:rFonts w:ascii="Cambria Math" w:hAnsi="Cambria Math"/>
            <w:sz w:val="28"/>
            <w:szCs w:val="28"/>
          </w:rPr>
          <m:t>d</m:t>
        </m:r>
      </m:oMath>
      <w:r w:rsidRPr="00123CB1">
        <w:rPr>
          <w:sz w:val="28"/>
          <w:szCs w:val="28"/>
          <w:lang w:val="it-IT"/>
        </w:rPr>
        <w:t>: traiettorie di mercato ed eventi definiti su proprietà del percorso.</w:t>
      </w:r>
    </w:p>
    <w:p w14:paraId="5F8C1B8E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36C9BA0E">
          <v:rect id="_x0000_i1087" style="width:0;height:1.5pt" o:hralign="center" o:hrstd="t" o:hr="t" fillcolor="#a0a0a0" stroked="f"/>
        </w:pict>
      </w:r>
    </w:p>
    <w:p w14:paraId="1D09FF43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4. Operazioni sugli eventi — slide 12–14</w:t>
      </w:r>
    </w:p>
    <w:p w14:paraId="23927DAA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10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44 minuti</w:t>
      </w:r>
    </w:p>
    <w:p w14:paraId="45EBB1CF" w14:textId="065C5CA5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unione, intersezione e complemento come costruzioni logiche su eventi. Eventi compatibili se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∩</m:t>
        </m:r>
        <m:r>
          <w:rPr>
            <w:rFonts w:ascii="Cambria Math" w:hAnsi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it-IT"/>
          </w:rPr>
          <m:t>≠∅</m:t>
        </m:r>
      </m:oMath>
      <w:r w:rsidRPr="00123CB1">
        <w:rPr>
          <w:sz w:val="28"/>
          <w:szCs w:val="28"/>
          <w:lang w:val="it-IT"/>
        </w:rPr>
        <w:t xml:space="preserve">, disgiunti se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∩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it-IT"/>
          </w:rPr>
          <m:t>∅</m:t>
        </m:r>
      </m:oMath>
      <w:r w:rsidRPr="00123CB1">
        <w:rPr>
          <w:sz w:val="28"/>
          <w:szCs w:val="28"/>
          <w:lang w:val="it-IT"/>
        </w:rPr>
        <w:t xml:space="preserve">. </w:t>
      </w:r>
      <w:r w:rsidRPr="00123CB1">
        <w:rPr>
          <w:sz w:val="28"/>
          <w:szCs w:val="28"/>
          <w:lang w:val="it-IT"/>
        </w:rPr>
        <w:lastRenderedPageBreak/>
        <w:t>Applicazione alle traiettorie: eventi su primo movimento, movimenti successivi, unioni e intersezioni.</w:t>
      </w:r>
    </w:p>
    <w:p w14:paraId="7E111DE0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73F36B12">
          <v:rect id="_x0000_i1088" style="width:0;height:1.5pt" o:hralign="center" o:hrstd="t" o:hr="t" fillcolor="#a0a0a0" stroked="f"/>
        </w:pict>
      </w:r>
    </w:p>
    <w:p w14:paraId="71B405BF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5. Famiglie di eventi, partizioni e sigma-algebre — slide 15–18</w:t>
      </w:r>
    </w:p>
    <w:p w14:paraId="224D5578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13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57 minuti</w:t>
      </w:r>
    </w:p>
    <w:p w14:paraId="0BD4916C" w14:textId="585A84E9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una famiglia di eventi è una collezione di eventi, non l’unione degli eventi stessi. Partizione: eventi disgiunti ed esaustivi che suddividono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  <w:r w:rsidRPr="00123CB1">
        <w:rPr>
          <w:sz w:val="28"/>
          <w:szCs w:val="28"/>
          <w:lang w:val="it-IT"/>
        </w:rPr>
        <w:t xml:space="preserve">. Definizione di 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123CB1">
        <w:rPr>
          <w:sz w:val="28"/>
          <w:szCs w:val="28"/>
          <w:lang w:val="it-IT"/>
        </w:rPr>
        <w:t xml:space="preserve">-algebra e legame costruttivo tra partizioni finite e 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123CB1">
        <w:rPr>
          <w:sz w:val="28"/>
          <w:szCs w:val="28"/>
          <w:lang w:val="it-IT"/>
        </w:rPr>
        <w:t>-algebre.</w:t>
      </w:r>
    </w:p>
    <w:p w14:paraId="74DB91E1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5C5F9663">
          <v:rect id="_x0000_i1089" style="width:0;height:1.5pt" o:hralign="center" o:hrstd="t" o:hr="t" fillcolor="#a0a0a0" stroked="f"/>
        </w:pict>
      </w:r>
    </w:p>
    <w:p w14:paraId="2678670A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6. Informazione e raffinamento — slide 19–21</w:t>
      </w:r>
    </w:p>
    <w:p w14:paraId="7415BFAC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10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67 minuti</w:t>
      </w:r>
    </w:p>
    <w:p w14:paraId="01672FE9" w14:textId="13FF1791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una partizione più fine distingue più casi e genera una </w:t>
      </w: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123CB1">
        <w:rPr>
          <w:sz w:val="28"/>
          <w:szCs w:val="28"/>
          <w:lang w:val="it-IT"/>
        </w:rPr>
        <w:t xml:space="preserve">-algebra più ricca. Successione crescente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  <w:lang w:val="it-IT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⊆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  <w:lang w:val="it-IT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⊆⋯⊆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  <w:lang w:val="it-IT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123CB1">
        <w:rPr>
          <w:sz w:val="28"/>
          <w:szCs w:val="28"/>
          <w:lang w:val="it-IT"/>
        </w:rPr>
        <w:t xml:space="preserve">come anticipazione della filtrazione. Esempio dei tre movimenti </w:t>
      </w:r>
      <m:oMath>
        <m:r>
          <w:rPr>
            <w:rFonts w:ascii="Cambria Math" w:hAnsi="Cambria Math"/>
            <w:sz w:val="28"/>
            <w:szCs w:val="28"/>
          </w:rPr>
          <m:t>u</m:t>
        </m:r>
        <m:r>
          <w:rPr>
            <w:rFonts w:ascii="Cambria Math" w:hAnsi="Cambria Math"/>
            <w:sz w:val="28"/>
            <w:szCs w:val="28"/>
            <w:lang w:val="it-IT"/>
          </w:rPr>
          <m:t>,</m:t>
        </m:r>
        <m:r>
          <w:rPr>
            <w:rFonts w:ascii="Cambria Math" w:hAnsi="Cambria Math"/>
            <w:sz w:val="28"/>
            <w:szCs w:val="28"/>
          </w:rPr>
          <m:t>d</m:t>
        </m:r>
      </m:oMath>
      <w:r w:rsidRPr="00123CB1">
        <w:rPr>
          <w:sz w:val="28"/>
          <w:szCs w:val="28"/>
          <w:lang w:val="it-IT"/>
        </w:rPr>
        <w:t>: informazione nulla, parziale, completa.</w:t>
      </w:r>
    </w:p>
    <w:p w14:paraId="6EA5AC06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5A192FC0">
          <v:rect id="_x0000_i1090" style="width:0;height:1.5pt" o:hralign="center" o:hrstd="t" o:hr="t" fillcolor="#a0a0a0" stroked="f"/>
        </w:pict>
      </w:r>
    </w:p>
    <w:p w14:paraId="64C54CBA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7. Misura di probabilità — slide 22–23</w:t>
      </w:r>
    </w:p>
    <w:p w14:paraId="001D6C31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8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75 minuti</w:t>
      </w:r>
    </w:p>
    <w:p w14:paraId="03CC4781" w14:textId="1B213F5B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la probabilità è una funzione sugli eventi: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m:rPr>
            <m:scr m:val="script"/>
          </m:rPr>
          <w:rPr>
            <w:rFonts w:ascii="Cambria Math" w:hAnsi="Cambria Math"/>
            <w:sz w:val="28"/>
            <w:szCs w:val="28"/>
            <w:lang w:val="it-IT"/>
          </w:rPr>
          <m:t>:F→[</m:t>
        </m:r>
        <m:r>
          <w:rPr>
            <w:rFonts w:ascii="Cambria Math" w:hAnsi="Cambria Math"/>
            <w:sz w:val="28"/>
            <w:szCs w:val="28"/>
            <w:lang w:val="it-IT"/>
          </w:rPr>
          <m:t>0,1]</m:t>
        </m:r>
      </m:oMath>
      <w:r w:rsidRPr="00123CB1">
        <w:rPr>
          <w:sz w:val="28"/>
          <w:szCs w:val="28"/>
          <w:lang w:val="it-IT"/>
        </w:rPr>
        <w:t>. Tre proprietà fondamentali: non negatività, normalizzazione, additività per eventi disgiunti. Prime regole operative: complemento, unione di due eventi, caso disgiunto.</w:t>
      </w:r>
    </w:p>
    <w:p w14:paraId="4EDFE014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1349C626">
          <v:rect id="_x0000_i1091" style="width:0;height:1.5pt" o:hralign="center" o:hrstd="t" o:hr="t" fillcolor="#a0a0a0" stroked="f"/>
        </w:pict>
      </w:r>
    </w:p>
    <w:p w14:paraId="7DA43AA9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8. Probabilità condizionata — slide 24–28</w:t>
      </w:r>
    </w:p>
    <w:p w14:paraId="206B65D3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16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91 minuti</w:t>
      </w:r>
    </w:p>
    <w:p w14:paraId="532E1004" w14:textId="31CE3BFB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definizione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∩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/P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123CB1">
        <w:rPr>
          <w:sz w:val="28"/>
          <w:szCs w:val="28"/>
          <w:lang w:val="it-IT"/>
        </w:rPr>
        <w:t xml:space="preserve">, con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)&gt;0</m:t>
        </m:r>
      </m:oMath>
      <w:r w:rsidRPr="00123CB1">
        <w:rPr>
          <w:sz w:val="28"/>
          <w:szCs w:val="28"/>
          <w:lang w:val="it-IT"/>
        </w:rPr>
        <w:t xml:space="preserve">. Il condizionamento restringe l’attenzione agli scenari compatibili con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123CB1">
        <w:rPr>
          <w:sz w:val="28"/>
          <w:szCs w:val="28"/>
          <w:lang w:val="it-IT"/>
        </w:rPr>
        <w:t xml:space="preserve">. Esempio score creditizio; esempio portafoglio: perdita rilevante dato scenario avverso, con interpretazione di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c</m:t>
            </m:r>
          </m:sup>
        </m:sSup>
      </m:oMath>
      <w:r w:rsidRPr="00123CB1">
        <w:rPr>
          <w:sz w:val="28"/>
          <w:szCs w:val="28"/>
          <w:lang w:val="it-IT"/>
        </w:rPr>
        <w:t xml:space="preserve">e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c</m:t>
            </m:r>
          </m:sup>
        </m:sSup>
      </m:oMath>
      <w:r w:rsidRPr="00123CB1">
        <w:rPr>
          <w:sz w:val="28"/>
          <w:szCs w:val="28"/>
          <w:lang w:val="it-IT"/>
        </w:rPr>
        <w:t>.</w:t>
      </w:r>
    </w:p>
    <w:p w14:paraId="2929446B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10435AC7">
          <v:rect id="_x0000_i1092" style="width:0;height:1.5pt" o:hralign="center" o:hrstd="t" o:hr="t" fillcolor="#a0a0a0" stroked="f"/>
        </w:pict>
      </w:r>
    </w:p>
    <w:p w14:paraId="2F3283FB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9. Indipendenza — slide 29</w:t>
      </w:r>
    </w:p>
    <w:p w14:paraId="3FFDF61F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4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95 minuti</w:t>
      </w:r>
    </w:p>
    <w:p w14:paraId="0CD7D71C" w14:textId="3AA30D3D" w:rsidR="00123CB1" w:rsidRPr="00123CB1" w:rsidRDefault="00123CB1" w:rsidP="00123CB1">
      <w:pPr>
        <w:rPr>
          <w:sz w:val="28"/>
          <w:szCs w:val="28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indipendenza come assenza di informazione probabilistica: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∩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)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123CB1">
        <w:rPr>
          <w:sz w:val="28"/>
          <w:szCs w:val="28"/>
          <w:lang w:val="it-IT"/>
        </w:rPr>
        <w:t xml:space="preserve">. Se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)&gt;0</m:t>
        </m:r>
      </m:oMath>
      <w:r w:rsidRPr="00123CB1">
        <w:rPr>
          <w:sz w:val="28"/>
          <w:szCs w:val="28"/>
          <w:lang w:val="it-IT"/>
        </w:rPr>
        <w:t xml:space="preserve">, equivalenza con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it-IT"/>
          </w:rPr>
          <m:t>)=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123CB1">
        <w:rPr>
          <w:sz w:val="28"/>
          <w:szCs w:val="28"/>
          <w:lang w:val="it-IT"/>
        </w:rPr>
        <w:t xml:space="preserve">. </w:t>
      </w:r>
      <w:r w:rsidRPr="00123CB1">
        <w:rPr>
          <w:sz w:val="28"/>
          <w:szCs w:val="28"/>
        </w:rPr>
        <w:t>Distinguere nettamente indipendenza e disgiunzione.</w:t>
      </w:r>
    </w:p>
    <w:p w14:paraId="4F640A76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02FE35E6">
          <v:rect id="_x0000_i1093" style="width:0;height:1.5pt" o:hralign="center" o:hrstd="t" o:hr="t" fillcolor="#a0a0a0" stroked="f"/>
        </w:pict>
      </w:r>
    </w:p>
    <w:p w14:paraId="4BF24109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10. Probabilità totali e formula di Bayes — slide 30–34</w:t>
      </w:r>
    </w:p>
    <w:p w14:paraId="27B5CCE3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10 minuti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105 minuti</w:t>
      </w:r>
    </w:p>
    <w:p w14:paraId="0481F969" w14:textId="536818DC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legge delle probabilità totali come decomposizione rispetto a una partizione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it-IT"/>
              </w:rPr>
              <m:t>,…,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123CB1">
        <w:rPr>
          <w:sz w:val="28"/>
          <w:szCs w:val="28"/>
          <w:lang w:val="it-IT"/>
        </w:rPr>
        <w:t xml:space="preserve">. Figura: ogni contributo è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)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123CB1">
        <w:rPr>
          <w:sz w:val="28"/>
          <w:szCs w:val="28"/>
          <w:lang w:val="it-IT"/>
        </w:rPr>
        <w:t>. Bayes: aggiornamento da probabilità a priori a posteriori; esempio del segnale negativo e stato critico del debitore.</w:t>
      </w:r>
    </w:p>
    <w:p w14:paraId="0949D590" w14:textId="77777777" w:rsidR="00123CB1" w:rsidRPr="00123CB1" w:rsidRDefault="00123CB1" w:rsidP="00123CB1">
      <w:pPr>
        <w:rPr>
          <w:sz w:val="28"/>
          <w:szCs w:val="28"/>
        </w:rPr>
      </w:pPr>
      <w:r w:rsidRPr="00123CB1">
        <w:rPr>
          <w:sz w:val="28"/>
          <w:szCs w:val="28"/>
        </w:rPr>
        <w:pict w14:anchorId="6D667578">
          <v:rect id="_x0000_i1094" style="width:0;height:1.5pt" o:hralign="center" o:hrstd="t" o:hr="t" fillcolor="#a0a0a0" stroked="f"/>
        </w:pict>
      </w:r>
    </w:p>
    <w:p w14:paraId="7092B36D" w14:textId="77777777" w:rsidR="00123CB1" w:rsidRPr="00123CB1" w:rsidRDefault="00123CB1" w:rsidP="00123CB1">
      <w:pPr>
        <w:rPr>
          <w:b/>
          <w:bCs/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11. Back-up ed esercizi — slide 35–37</w:t>
      </w:r>
    </w:p>
    <w:p w14:paraId="46FA4CB1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Tempo parziale:</w:t>
      </w:r>
      <w:r w:rsidRPr="00123CB1">
        <w:rPr>
          <w:sz w:val="28"/>
          <w:szCs w:val="28"/>
          <w:lang w:val="it-IT"/>
        </w:rPr>
        <w:t xml:space="preserve"> opzionale</w:t>
      </w:r>
      <w:r w:rsidRPr="00123CB1">
        <w:rPr>
          <w:sz w:val="28"/>
          <w:szCs w:val="28"/>
          <w:lang w:val="it-IT"/>
        </w:rPr>
        <w:br/>
      </w:r>
      <w:r w:rsidRPr="00123CB1">
        <w:rPr>
          <w:b/>
          <w:bCs/>
          <w:sz w:val="28"/>
          <w:szCs w:val="28"/>
          <w:lang w:val="it-IT"/>
        </w:rPr>
        <w:t>Tempo cumulato:</w:t>
      </w:r>
      <w:r w:rsidRPr="00123CB1">
        <w:rPr>
          <w:sz w:val="28"/>
          <w:szCs w:val="28"/>
          <w:lang w:val="it-IT"/>
        </w:rPr>
        <w:t xml:space="preserve"> oltre 105 minuti</w:t>
      </w:r>
    </w:p>
    <w:p w14:paraId="0B5CF1F4" w14:textId="77777777" w:rsidR="00123CB1" w:rsidRPr="00123CB1" w:rsidRDefault="00123CB1" w:rsidP="00123CB1">
      <w:pPr>
        <w:rPr>
          <w:sz w:val="28"/>
          <w:szCs w:val="28"/>
          <w:lang w:val="it-IT"/>
        </w:rPr>
      </w:pPr>
      <w:r w:rsidRPr="00123CB1">
        <w:rPr>
          <w:b/>
          <w:bCs/>
          <w:sz w:val="28"/>
          <w:szCs w:val="28"/>
          <w:lang w:val="it-IT"/>
        </w:rPr>
        <w:t>Contenuti essenziali:</w:t>
      </w:r>
      <w:r w:rsidRPr="00123CB1">
        <w:rPr>
          <w:sz w:val="28"/>
          <w:szCs w:val="28"/>
          <w:lang w:val="it-IT"/>
        </w:rPr>
        <w:t xml:space="preserve"> esercizio su eventi definiti su traiettorie; esercizio su probabilità condizionata; esercizio su aggiornamento </w:t>
      </w:r>
      <w:proofErr w:type="spellStart"/>
      <w:r w:rsidRPr="00123CB1">
        <w:rPr>
          <w:sz w:val="28"/>
          <w:szCs w:val="28"/>
          <w:lang w:val="it-IT"/>
        </w:rPr>
        <w:t>bayesiano</w:t>
      </w:r>
      <w:proofErr w:type="spellEnd"/>
      <w:r w:rsidRPr="00123CB1">
        <w:rPr>
          <w:sz w:val="28"/>
          <w:szCs w:val="28"/>
          <w:lang w:val="it-IT"/>
        </w:rPr>
        <w:t>. Da usare solo se resta tempo oppure come materiale di chiusura o avvio della lezione successiva.</w:t>
      </w:r>
    </w:p>
    <w:p w14:paraId="0B2C7A30" w14:textId="77777777" w:rsidR="00384733" w:rsidRPr="00123CB1" w:rsidRDefault="00384733">
      <w:pPr>
        <w:rPr>
          <w:sz w:val="28"/>
          <w:szCs w:val="28"/>
          <w:lang w:val="it-IT"/>
        </w:rPr>
      </w:pPr>
    </w:p>
    <w:sectPr w:rsidR="00384733" w:rsidRPr="00123CB1" w:rsidSect="00894F4F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3A555" w14:textId="77777777" w:rsidR="00974FF7" w:rsidRDefault="00974FF7" w:rsidP="00123CB1">
      <w:pPr>
        <w:spacing w:after="0" w:line="240" w:lineRule="auto"/>
      </w:pPr>
      <w:r>
        <w:separator/>
      </w:r>
    </w:p>
  </w:endnote>
  <w:endnote w:type="continuationSeparator" w:id="0">
    <w:p w14:paraId="5E00CFCA" w14:textId="77777777" w:rsidR="00974FF7" w:rsidRDefault="00974FF7" w:rsidP="00123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130786"/>
      <w:docPartObj>
        <w:docPartGallery w:val="Page Numbers (Bottom of Page)"/>
        <w:docPartUnique/>
      </w:docPartObj>
    </w:sdtPr>
    <w:sdtContent>
      <w:p w14:paraId="7D72A8F4" w14:textId="567992BF" w:rsidR="00123CB1" w:rsidRDefault="00123CB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ED538F" w14:textId="77777777" w:rsidR="00123CB1" w:rsidRDefault="00123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9ED3" w14:textId="77777777" w:rsidR="00974FF7" w:rsidRDefault="00974FF7" w:rsidP="00123CB1">
      <w:pPr>
        <w:spacing w:after="0" w:line="240" w:lineRule="auto"/>
      </w:pPr>
      <w:r>
        <w:separator/>
      </w:r>
    </w:p>
  </w:footnote>
  <w:footnote w:type="continuationSeparator" w:id="0">
    <w:p w14:paraId="6C8D8D79" w14:textId="77777777" w:rsidR="00974FF7" w:rsidRDefault="00974FF7" w:rsidP="00123C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B1"/>
    <w:rsid w:val="00123CB1"/>
    <w:rsid w:val="00384733"/>
    <w:rsid w:val="00792BBD"/>
    <w:rsid w:val="00894F4F"/>
    <w:rsid w:val="008F36E7"/>
    <w:rsid w:val="00926F5A"/>
    <w:rsid w:val="00974FF7"/>
    <w:rsid w:val="009A50F7"/>
    <w:rsid w:val="00DA58A5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2F1C83"/>
  <w15:chartTrackingRefBased/>
  <w15:docId w15:val="{E8E4C2BE-74C1-4135-950A-0D2F6A0A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C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CB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CB1"/>
  </w:style>
  <w:style w:type="paragraph" w:styleId="Footer">
    <w:name w:val="footer"/>
    <w:basedOn w:val="Normal"/>
    <w:link w:val="FooterChar"/>
    <w:uiPriority w:val="99"/>
    <w:unhideWhenUsed/>
    <w:rsid w:val="00123CB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1</cp:revision>
  <dcterms:created xsi:type="dcterms:W3CDTF">2026-05-22T10:04:00Z</dcterms:created>
  <dcterms:modified xsi:type="dcterms:W3CDTF">2026-05-22T10:08:00Z</dcterms:modified>
</cp:coreProperties>
</file>