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Lezione 4 - Python, probabilità e condizionamento</w:t>
        <w:br/>
      </w:r>
      <w:r>
        <w:rPr>
          <w:b w:val="0"/>
          <w:sz w:val="26"/>
        </w:rPr>
        <w:t>Scaletta-promemoria per 60 minuti effettivi</w:t>
      </w:r>
    </w:p>
    <w:p>
      <w:r>
        <w:rPr>
          <w:b/>
        </w:rPr>
        <w:t xml:space="preserve">Criterio di costruzione. </w:t>
      </w:r>
      <w:r>
        <w:t>La scaletta utilizza come modello operativo il promemoria della Lezione 15 (gruppi omogenei, tempi parziali e cumulati, contenuti essenziali, snodi da non sacrificare e criteri di recupero), adattandolo alla natura specifica della Lezione 4, prima lezione applicativa del corso.</w:t>
      </w:r>
    </w:p>
    <w:p>
      <w:r>
        <w:rPr>
          <w:b/>
        </w:rPr>
        <w:t xml:space="preserve">Vincolo didattico. </w:t>
      </w:r>
      <w:r>
        <w:t>La Lezione 4 non è soltanto un caso numerico: inaugura il metodo delle lezioni applicative. Occorre quindi proteggere sia il metodo (ruoli, prodotti, uso dell'IA e sequenza dei prompt) sia il Caso Aula. Il piccolo approfondimento Python è subordinato al tempo disponibile.</w:t>
      </w:r>
    </w:p>
    <w:p>
      <w:pPr>
        <w:pStyle w:val="Heading1"/>
      </w:pPr>
      <w:r>
        <w:t>Gruppo 1 — Apertura e funzione della prima lezione applicativa (slide 1–3) · parziale 4′ · cumulato 4′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Titolo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Funzione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Contenuto essenziale</w:t>
            </w:r>
          </w:p>
        </w:tc>
      </w:tr>
      <w:tr>
        <w:tc>
          <w:tcPr>
            <w:tcW w:type="dxa" w:w="2493"/>
            <w:vAlign w:val="top"/>
          </w:tcPr>
          <w:p>
            <w:r>
              <w:t>1</w:t>
            </w:r>
          </w:p>
        </w:tc>
        <w:tc>
          <w:tcPr>
            <w:tcW w:type="dxa" w:w="2493"/>
            <w:vAlign w:val="top"/>
          </w:tcPr>
          <w:p>
            <w:r>
              <w:t>Frontespizio</w:t>
            </w:r>
          </w:p>
        </w:tc>
        <w:tc>
          <w:tcPr>
            <w:tcW w:type="dxa" w:w="2493"/>
            <w:vAlign w:val="top"/>
          </w:tcPr>
          <w:p>
            <w:r>
              <w:t>—</w:t>
            </w:r>
          </w:p>
        </w:tc>
        <w:tc>
          <w:tcPr>
            <w:tcW w:type="dxa" w:w="2493"/>
            <w:vAlign w:val="top"/>
          </w:tcPr>
          <w:p>
            <w:r>
              <w:t>Lezione 4 — Python, probabilità e condizionamento.</w:t>
            </w:r>
          </w:p>
        </w:tc>
      </w:tr>
      <w:tr>
        <w:tc>
          <w:tcPr>
            <w:tcW w:type="dxa" w:w="2493"/>
            <w:vAlign w:val="top"/>
          </w:tcPr>
          <w:p>
            <w:r>
              <w:t>2</w:t>
            </w:r>
          </w:p>
        </w:tc>
        <w:tc>
          <w:tcPr>
            <w:tcW w:type="dxa" w:w="2493"/>
            <w:vAlign w:val="top"/>
          </w:tcPr>
          <w:p>
            <w:r>
              <w:t>Lezione 4: la prima lezione applicativa</w:t>
            </w:r>
          </w:p>
        </w:tc>
        <w:tc>
          <w:tcPr>
            <w:tcW w:type="dxa" w:w="2493"/>
            <w:vAlign w:val="top"/>
          </w:tcPr>
          <w:p>
            <w:r>
              <w:t>Impostazione</w:t>
            </w:r>
          </w:p>
        </w:tc>
        <w:tc>
          <w:tcPr>
            <w:tcW w:type="dxa" w:w="2493"/>
            <w:vAlign w:val="top"/>
          </w:tcPr>
          <w:p>
            <w:r>
              <w:t>Non «lezione di Python»: teoria → formulazione → calcolo → controllo → interpretazione. Il metodo sarà riutilizzato nelle successive lezioni applicative.</w:t>
            </w:r>
          </w:p>
        </w:tc>
      </w:tr>
      <w:tr>
        <w:tc>
          <w:tcPr>
            <w:tcW w:type="dxa" w:w="2493"/>
            <w:vAlign w:val="top"/>
          </w:tcPr>
          <w:p>
            <w:r>
              <w:t>3</w:t>
            </w:r>
          </w:p>
        </w:tc>
        <w:tc>
          <w:tcPr>
            <w:tcW w:type="dxa" w:w="2493"/>
            <w:vAlign w:val="top"/>
          </w:tcPr>
          <w:p>
            <w:r>
              <w:t>Obiettivi della lezione</w:t>
            </w:r>
          </w:p>
        </w:tc>
        <w:tc>
          <w:tcPr>
            <w:tcW w:type="dxa" w:w="2493"/>
            <w:vAlign w:val="top"/>
          </w:tcPr>
          <w:p>
            <w:r>
              <w:t>Mappa</w:t>
            </w:r>
          </w:p>
        </w:tc>
        <w:tc>
          <w:tcPr>
            <w:tcW w:type="dxa" w:w="2493"/>
            <w:vAlign w:val="top"/>
          </w:tcPr>
          <w:p>
            <w:r>
              <w:t>Metodo di lavoro; Caso Aula; Caso TakeHome; eventuale approfondimento Python. Quest'ultimo è subordinato al tempo disponibile.</w:t>
            </w:r>
          </w:p>
        </w:tc>
      </w:tr>
    </w:tbl>
    <w:p>
      <w:r>
        <w:rPr>
          <w:b/>
        </w:rPr>
        <w:t xml:space="preserve">Indicazione didattica: </w:t>
      </w:r>
      <w:r>
        <w:t>Ingresso molto rapido. La slide 3 serve soprattutto a chiarire che nella lezione si impara anche come si lavorerà nelle successive lezioni applicative.</w:t>
      </w:r>
    </w:p>
    <w:p>
      <w:pPr>
        <w:pStyle w:val="Heading1"/>
      </w:pPr>
      <w:r>
        <w:t>Gruppo 2 — Metodo, ruoli e prodotti del lavoro (slide 4–6) · parziale 7′ · cumulato 11′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Titolo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Funzione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Contenuto essenziale</w:t>
            </w:r>
          </w:p>
        </w:tc>
      </w:tr>
      <w:tr>
        <w:tc>
          <w:tcPr>
            <w:tcW w:type="dxa" w:w="2493"/>
            <w:vAlign w:val="top"/>
          </w:tcPr>
          <w:p>
            <w:r>
              <w:t>4</w:t>
            </w:r>
          </w:p>
        </w:tc>
        <w:tc>
          <w:tcPr>
            <w:tcW w:type="dxa" w:w="2493"/>
            <w:vAlign w:val="top"/>
          </w:tcPr>
          <w:p>
            <w:r>
              <w:t>L'idea guida delle lezioni applicative</w:t>
            </w:r>
          </w:p>
        </w:tc>
        <w:tc>
          <w:tcPr>
            <w:tcW w:type="dxa" w:w="2493"/>
            <w:vAlign w:val="top"/>
          </w:tcPr>
          <w:p>
            <w:r>
              <w:t>Principio</w:t>
            </w:r>
          </w:p>
        </w:tc>
        <w:tc>
          <w:tcPr>
            <w:tcW w:type="dxa" w:w="2493"/>
            <w:vAlign w:val="top"/>
          </w:tcPr>
          <w:p>
            <w:r>
              <w:t>Il codice viene dopo la formulazione. L'IA assiste il percorso ma non sostituisce scelta teorica, controllo e interpretazione.</w:t>
            </w:r>
          </w:p>
        </w:tc>
      </w:tr>
      <w:tr>
        <w:tc>
          <w:tcPr>
            <w:tcW w:type="dxa" w:w="2493"/>
            <w:vAlign w:val="top"/>
          </w:tcPr>
          <w:p>
            <w:r>
              <w:t>5</w:t>
            </w:r>
          </w:p>
        </w:tc>
        <w:tc>
          <w:tcPr>
            <w:tcW w:type="dxa" w:w="2493"/>
            <w:vAlign w:val="top"/>
          </w:tcPr>
          <w:p>
            <w:r>
              <w:t>Studente, IA e docente: ruoli diversi</w:t>
            </w:r>
          </w:p>
        </w:tc>
        <w:tc>
          <w:tcPr>
            <w:tcW w:type="dxa" w:w="2493"/>
            <w:vAlign w:val="top"/>
          </w:tcPr>
          <w:p>
            <w:r>
              <w:t>Regole del gioco</w:t>
            </w:r>
          </w:p>
        </w:tc>
        <w:tc>
          <w:tcPr>
            <w:tcW w:type="dxa" w:w="2493"/>
            <w:vAlign w:val="top"/>
          </w:tcPr>
          <w:p>
            <w:r>
              <w:t>Docente = specifica il caso; studente = costruisce e controlla il percorso; IA = verifica, ordina e implementa specifiche già validate.</w:t>
            </w:r>
          </w:p>
        </w:tc>
      </w:tr>
      <w:tr>
        <w:tc>
          <w:tcPr>
            <w:tcW w:type="dxa" w:w="2493"/>
            <w:vAlign w:val="top"/>
          </w:tcPr>
          <w:p>
            <w:r>
              <w:t>6</w:t>
            </w:r>
          </w:p>
        </w:tc>
        <w:tc>
          <w:tcPr>
            <w:tcW w:type="dxa" w:w="2493"/>
            <w:vAlign w:val="top"/>
          </w:tcPr>
          <w:p>
            <w:r>
              <w:t>I due prodotti del lavoro</w:t>
            </w:r>
          </w:p>
        </w:tc>
        <w:tc>
          <w:tcPr>
            <w:tcW w:type="dxa" w:w="2493"/>
            <w:vAlign w:val="top"/>
          </w:tcPr>
          <w:p>
            <w:r>
              <w:t>Output</w:t>
            </w:r>
          </w:p>
        </w:tc>
        <w:tc>
          <w:tcPr>
            <w:tcW w:type="dxa" w:w="2493"/>
            <w:vAlign w:val="top"/>
          </w:tcPr>
          <w:p>
            <w:r>
              <w:t>Notebook = prodotto computazionale validato. Tracciato IA = documentazione del processo, dei dubbi, delle verifiche e delle correzioni.</w:t>
            </w:r>
          </w:p>
        </w:tc>
      </w:tr>
    </w:tbl>
    <w:p>
      <w:r>
        <w:rPr>
          <w:b/>
        </w:rPr>
        <w:t xml:space="preserve">Indicazione didattica: </w:t>
      </w:r>
      <w:r>
        <w:t>Evitare di leggere tutte le liste. Frase da fissare: «Il notebook mostra che cosa avete costruito; il tracciato IA mostra come lo avete costruito e controllato.»</w:t>
      </w:r>
    </w:p>
    <w:p>
      <w:pPr>
        <w:pStyle w:val="Heading1"/>
      </w:pPr>
      <w:r>
        <w:t>Gruppo 3 — I tre regimi di interazione e la valutazione (slide 7–10) · parziale 8′ · cumulato 19′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Titolo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Funzione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Contenuto essenziale</w:t>
            </w:r>
          </w:p>
        </w:tc>
      </w:tr>
      <w:tr>
        <w:tc>
          <w:tcPr>
            <w:tcW w:type="dxa" w:w="2493"/>
            <w:vAlign w:val="top"/>
          </w:tcPr>
          <w:p>
            <w:r>
              <w:t>7</w:t>
            </w:r>
          </w:p>
        </w:tc>
        <w:tc>
          <w:tcPr>
            <w:tcW w:type="dxa" w:w="2493"/>
            <w:vAlign w:val="top"/>
          </w:tcPr>
          <w:p>
            <w:r>
              <w:t>Regime A: ricognizione teorico-modellistica</w:t>
            </w:r>
          </w:p>
        </w:tc>
        <w:tc>
          <w:tcPr>
            <w:tcW w:type="dxa" w:w="2493"/>
            <w:vAlign w:val="top"/>
          </w:tcPr>
          <w:p>
            <w:r>
              <w:t>Definizione</w:t>
            </w:r>
          </w:p>
        </w:tc>
        <w:tc>
          <w:tcPr>
            <w:tcW w:type="dxa" w:w="2493"/>
            <w:vAlign w:val="top"/>
          </w:tcPr>
          <w:p>
            <w:r>
              <w:t>Prima comprendere e strutturare, poi calcolare. Lo studente propone; l'IA verifica, completa e ordina.</w:t>
            </w:r>
          </w:p>
        </w:tc>
      </w:tr>
      <w:tr>
        <w:tc>
          <w:tcPr>
            <w:tcW w:type="dxa" w:w="2493"/>
            <w:vAlign w:val="top"/>
          </w:tcPr>
          <w:p>
            <w:r>
              <w:t>8</w:t>
            </w:r>
          </w:p>
        </w:tc>
        <w:tc>
          <w:tcPr>
            <w:tcW w:type="dxa" w:w="2493"/>
            <w:vAlign w:val="top"/>
          </w:tcPr>
          <w:p>
            <w:r>
              <w:t>Regime B: traduzione operativa in codice</w:t>
            </w:r>
          </w:p>
        </w:tc>
        <w:tc>
          <w:tcPr>
            <w:tcW w:type="dxa" w:w="2493"/>
            <w:vAlign w:val="top"/>
          </w:tcPr>
          <w:p>
            <w:r>
              <w:t>Definizione</w:t>
            </w:r>
          </w:p>
        </w:tc>
        <w:tc>
          <w:tcPr>
            <w:tcW w:type="dxa" w:w="2493"/>
            <w:vAlign w:val="top"/>
          </w:tcPr>
          <w:p>
            <w:r>
              <w:t>Il modello è già fissato: l'IA può scegliere la forma tecnica dell'implementazione, non ridefinire dati, variabili o significato economico.</w:t>
            </w:r>
          </w:p>
        </w:tc>
      </w:tr>
      <w:tr>
        <w:tc>
          <w:tcPr>
            <w:tcW w:type="dxa" w:w="2493"/>
            <w:vAlign w:val="top"/>
          </w:tcPr>
          <w:p>
            <w:r>
              <w:t>9</w:t>
            </w:r>
          </w:p>
        </w:tc>
        <w:tc>
          <w:tcPr>
            <w:tcW w:type="dxa" w:w="2493"/>
            <w:vAlign w:val="top"/>
          </w:tcPr>
          <w:p>
            <w:r>
              <w:t>Regime C: verificare, contestare, correggere</w:t>
            </w:r>
          </w:p>
        </w:tc>
        <w:tc>
          <w:tcPr>
            <w:tcW w:type="dxa" w:w="2493"/>
            <w:vAlign w:val="top"/>
          </w:tcPr>
          <w:p>
            <w:r>
              <w:t>Definizione</w:t>
            </w:r>
          </w:p>
        </w:tc>
        <w:tc>
          <w:tcPr>
            <w:tcW w:type="dxa" w:w="2493"/>
            <w:vAlign w:val="top"/>
          </w:tcPr>
          <w:p>
            <w:r>
              <w:t>Il controllo nasce da un dubbio dello studente. Esito: criticità respinta oppure accolta; in quest'ultimo caso si corregge il notebook.</w:t>
            </w:r>
          </w:p>
        </w:tc>
      </w:tr>
      <w:tr>
        <w:tc>
          <w:tcPr>
            <w:tcW w:type="dxa" w:w="2493"/>
            <w:vAlign w:val="top"/>
          </w:tcPr>
          <w:p>
            <w:r>
              <w:t>10</w:t>
            </w:r>
          </w:p>
        </w:tc>
        <w:tc>
          <w:tcPr>
            <w:tcW w:type="dxa" w:w="2493"/>
            <w:vAlign w:val="top"/>
          </w:tcPr>
          <w:p>
            <w:r>
              <w:t>Come viene valutato il lavoro</w:t>
            </w:r>
          </w:p>
        </w:tc>
        <w:tc>
          <w:tcPr>
            <w:tcW w:type="dxa" w:w="2493"/>
            <w:vAlign w:val="top"/>
          </w:tcPr>
          <w:p>
            <w:r>
              <w:t>Incentivi</w:t>
            </w:r>
          </w:p>
        </w:tc>
        <w:tc>
          <w:tcPr>
            <w:tcW w:type="dxa" w:w="2493"/>
            <w:vAlign w:val="top"/>
          </w:tcPr>
          <w:p>
            <w:r>
              <w:t>Peso forte del contributo teorico dello studente, della scomposizione e dei controlli. La complessità del codice, da sola, non è un merito.</w:t>
            </w:r>
          </w:p>
        </w:tc>
      </w:tr>
    </w:tbl>
    <w:p>
      <w:r>
        <w:rPr>
          <w:b/>
        </w:rPr>
        <w:t xml:space="preserve">Indicazione didattica: </w:t>
      </w:r>
      <w:r>
        <w:t>Snodo da non sacrificare: la distinzione A/B/C, grammatica operativa delle successive lezioni applicative. La tabella dei pesi può essere mostrata senza discutere analiticamente ogni voce.</w:t>
      </w:r>
    </w:p>
    <w:p>
      <w:pPr>
        <w:pStyle w:val="Heading1"/>
      </w:pPr>
      <w:r>
        <w:t>Gruppo 4 — Dal caso assegnato al notebook: sequenza dei prompt (slide 11–18) · parziale 15′ · cumulato 34′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Titolo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Funzione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Contenuto essenziale</w:t>
            </w:r>
          </w:p>
        </w:tc>
      </w:tr>
      <w:tr>
        <w:tc>
          <w:tcPr>
            <w:tcW w:type="dxa" w:w="2493"/>
            <w:vAlign w:val="top"/>
          </w:tcPr>
          <w:p>
            <w:r>
              <w:t>11</w:t>
            </w:r>
          </w:p>
        </w:tc>
        <w:tc>
          <w:tcPr>
            <w:tcW w:type="dxa" w:w="2493"/>
            <w:vAlign w:val="top"/>
          </w:tcPr>
          <w:p>
            <w:r>
              <w:t>Dal caso assegnato al notebook progressivo</w:t>
            </w:r>
          </w:p>
        </w:tc>
        <w:tc>
          <w:tcPr>
            <w:tcW w:type="dxa" w:w="2493"/>
            <w:vAlign w:val="top"/>
          </w:tcPr>
          <w:p>
            <w:r>
              <w:t>Mappa</w:t>
            </w:r>
          </w:p>
        </w:tc>
        <w:tc>
          <w:tcPr>
            <w:tcW w:type="dxa" w:w="2493"/>
            <w:vAlign w:val="top"/>
          </w:tcPr>
          <w:p>
            <w:r>
              <w:t>Prompt zero → Prompt 1 → Prompt 2 → Prompt 3 → prompt di tappa. Il notebook viene costruito progressivamente.</w:t>
            </w:r>
          </w:p>
        </w:tc>
      </w:tr>
      <w:tr>
        <w:tc>
          <w:tcPr>
            <w:tcW w:type="dxa" w:w="2493"/>
            <w:vAlign w:val="top"/>
          </w:tcPr>
          <w:p>
            <w:r>
              <w:t>12</w:t>
            </w:r>
          </w:p>
        </w:tc>
        <w:tc>
          <w:tcPr>
            <w:tcW w:type="dxa" w:w="2493"/>
            <w:vAlign w:val="top"/>
          </w:tcPr>
          <w:p>
            <w:r>
              <w:t>Prompt zero e Prompt 1</w:t>
            </w:r>
          </w:p>
        </w:tc>
        <w:tc>
          <w:tcPr>
            <w:tcW w:type="dxa" w:w="2493"/>
            <w:vAlign w:val="top"/>
          </w:tcPr>
          <w:p>
            <w:r>
              <w:t>Avvio</w:t>
            </w:r>
          </w:p>
        </w:tc>
        <w:tc>
          <w:tcPr>
            <w:tcW w:type="dxa" w:w="2493"/>
            <w:vAlign w:val="top"/>
          </w:tcPr>
          <w:p>
            <w:r>
              <w:t>Sono forniti dal docente. Prompt zero = metodo e vincoli; Prompt 1 = Scheda Caso come specifica vincolante.</w:t>
            </w:r>
          </w:p>
        </w:tc>
      </w:tr>
      <w:tr>
        <w:tc>
          <w:tcPr>
            <w:tcW w:type="dxa" w:w="2493"/>
            <w:vAlign w:val="top"/>
          </w:tcPr>
          <w:p>
            <w:r>
              <w:t>13</w:t>
            </w:r>
          </w:p>
        </w:tc>
        <w:tc>
          <w:tcPr>
            <w:tcW w:type="dxa" w:w="2493"/>
            <w:vAlign w:val="top"/>
          </w:tcPr>
          <w:p>
            <w:r>
              <w:t>Prompt 2: costruire il Flusso logico-teorico</w:t>
            </w:r>
          </w:p>
        </w:tc>
        <w:tc>
          <w:tcPr>
            <w:tcW w:type="dxa" w:w="2493"/>
            <w:vAlign w:val="top"/>
          </w:tcPr>
          <w:p>
            <w:r>
              <w:t>Snodo</w:t>
            </w:r>
          </w:p>
        </w:tc>
        <w:tc>
          <w:tcPr>
            <w:tcW w:type="dxa" w:w="2493"/>
            <w:vAlign w:val="top"/>
          </w:tcPr>
          <w:p>
            <w:r>
              <w:t>Primo vero contributo dello studente: individuare oggetti teorici e ordine dei passaggi prima del codice.</w:t>
            </w:r>
          </w:p>
        </w:tc>
      </w:tr>
      <w:tr>
        <w:tc>
          <w:tcPr>
            <w:tcW w:type="dxa" w:w="2493"/>
            <w:vAlign w:val="top"/>
          </w:tcPr>
          <w:p>
            <w:r>
              <w:t>14</w:t>
            </w:r>
          </w:p>
        </w:tc>
        <w:tc>
          <w:tcPr>
            <w:tcW w:type="dxa" w:w="2493"/>
            <w:vAlign w:val="top"/>
          </w:tcPr>
          <w:p>
            <w:r>
              <w:t>Prompt 3: dal flusso alle tappe operative</w:t>
            </w:r>
          </w:p>
        </w:tc>
        <w:tc>
          <w:tcPr>
            <w:tcW w:type="dxa" w:w="2493"/>
            <w:vAlign w:val="top"/>
          </w:tcPr>
          <w:p>
            <w:r>
              <w:t>Snodo</w:t>
            </w:r>
          </w:p>
        </w:tc>
        <w:tc>
          <w:tcPr>
            <w:tcW w:type="dxa" w:w="2493"/>
            <w:vAlign w:val="top"/>
          </w:tcPr>
          <w:p>
            <w:r>
              <w:t>Dal ragionamento teorico alla sequenza Input → Operazione → Output → Controllo → uso successivo.</w:t>
            </w:r>
          </w:p>
        </w:tc>
      </w:tr>
      <w:tr>
        <w:tc>
          <w:tcPr>
            <w:tcW w:type="dxa" w:w="2493"/>
            <w:vAlign w:val="top"/>
          </w:tcPr>
          <w:p>
            <w:r>
              <w:t>15</w:t>
            </w:r>
          </w:p>
        </w:tc>
        <w:tc>
          <w:tcPr>
            <w:tcW w:type="dxa" w:w="2493"/>
            <w:vAlign w:val="top"/>
          </w:tcPr>
          <w:p>
            <w:r>
              <w:t>Dopo il Prompt 3: si lavora per tappe</w:t>
            </w:r>
          </w:p>
        </w:tc>
        <w:tc>
          <w:tcPr>
            <w:tcW w:type="dxa" w:w="2493"/>
            <w:vAlign w:val="top"/>
          </w:tcPr>
          <w:p>
            <w:r>
              <w:t>Procedura</w:t>
            </w:r>
          </w:p>
        </w:tc>
        <w:tc>
          <w:tcPr>
            <w:tcW w:type="dxa" w:w="2493"/>
            <w:vAlign w:val="top"/>
          </w:tcPr>
          <w:p>
            <w:r>
              <w:t>Il notebook cresce per blocchi coerenti, ciascuno controllato prima di procedere.</w:t>
            </w:r>
          </w:p>
        </w:tc>
      </w:tr>
      <w:tr>
        <w:tc>
          <w:tcPr>
            <w:tcW w:type="dxa" w:w="2493"/>
            <w:vAlign w:val="top"/>
          </w:tcPr>
          <w:p>
            <w:r>
              <w:t>16</w:t>
            </w:r>
          </w:p>
        </w:tc>
        <w:tc>
          <w:tcPr>
            <w:tcW w:type="dxa" w:w="2493"/>
            <w:vAlign w:val="top"/>
          </w:tcPr>
          <w:p>
            <w:r>
              <w:t>Prompt di tappa in Regime A</w:t>
            </w:r>
          </w:p>
        </w:tc>
        <w:tc>
          <w:tcPr>
            <w:tcW w:type="dxa" w:w="2493"/>
            <w:vAlign w:val="top"/>
          </w:tcPr>
          <w:p>
            <w:r>
              <w:t>Applicazione</w:t>
            </w:r>
          </w:p>
        </w:tc>
        <w:tc>
          <w:tcPr>
            <w:tcW w:type="dxa" w:w="2493"/>
            <w:vAlign w:val="top"/>
          </w:tcPr>
          <w:p>
            <w:r>
              <w:t>Chiarire obiettivo, input, teoria, output e controllo. Nessun codice anticipato.</w:t>
            </w:r>
          </w:p>
        </w:tc>
      </w:tr>
      <w:tr>
        <w:tc>
          <w:tcPr>
            <w:tcW w:type="dxa" w:w="2493"/>
            <w:vAlign w:val="top"/>
          </w:tcPr>
          <w:p>
            <w:r>
              <w:t>17</w:t>
            </w:r>
          </w:p>
        </w:tc>
        <w:tc>
          <w:tcPr>
            <w:tcW w:type="dxa" w:w="2493"/>
            <w:vAlign w:val="top"/>
          </w:tcPr>
          <w:p>
            <w:r>
              <w:t>Prompt di tappa in Regime B</w:t>
            </w:r>
          </w:p>
        </w:tc>
        <w:tc>
          <w:tcPr>
            <w:tcW w:type="dxa" w:w="2493"/>
            <w:vAlign w:val="top"/>
          </w:tcPr>
          <w:p>
            <w:r>
              <w:t>Applicazione</w:t>
            </w:r>
          </w:p>
        </w:tc>
        <w:tc>
          <w:tcPr>
            <w:tcW w:type="dxa" w:w="2493"/>
            <w:vAlign w:val="top"/>
          </w:tcPr>
          <w:p>
            <w:r>
              <w:t>Tradurre in Python una tappa già definita. Markdown + codice + output previsti.</w:t>
            </w:r>
          </w:p>
        </w:tc>
      </w:tr>
      <w:tr>
        <w:tc>
          <w:tcPr>
            <w:tcW w:type="dxa" w:w="2493"/>
            <w:vAlign w:val="top"/>
          </w:tcPr>
          <w:p>
            <w:r>
              <w:t>18</w:t>
            </w:r>
          </w:p>
        </w:tc>
        <w:tc>
          <w:tcPr>
            <w:tcW w:type="dxa" w:w="2493"/>
            <w:vAlign w:val="top"/>
          </w:tcPr>
          <w:p>
            <w:r>
              <w:t>Prompt di tappa in Regime C</w:t>
            </w:r>
          </w:p>
        </w:tc>
        <w:tc>
          <w:tcPr>
            <w:tcW w:type="dxa" w:w="2493"/>
            <w:vAlign w:val="top"/>
          </w:tcPr>
          <w:p>
            <w:r>
              <w:t>Applicazione</w:t>
            </w:r>
          </w:p>
        </w:tc>
        <w:tc>
          <w:tcPr>
            <w:tcW w:type="dxa" w:w="2493"/>
            <w:vAlign w:val="top"/>
          </w:tcPr>
          <w:p>
            <w:r>
              <w:t>Contestare uno specifico elemento prodotto; classificare e, se necessario, sostituire le celle interessate.</w:t>
            </w:r>
          </w:p>
        </w:tc>
      </w:tr>
    </w:tbl>
    <w:p>
      <w:r>
        <w:rPr>
          <w:b/>
        </w:rPr>
        <w:t xml:space="preserve">Indicazione didattica: </w:t>
      </w:r>
      <w:r>
        <w:t>Otto slide non devono diventare otto mini-lezioni. Dedicare più tempo alle slide 13–14; trattare 16–18 come esempi operativi della distinzione A/B/C già introdotta.</w:t>
      </w:r>
    </w:p>
    <w:p>
      <w:pPr>
        <w:pStyle w:val="Heading1"/>
      </w:pPr>
      <w:r>
        <w:t>Gruppo 5 — Caso Aula: perdita obbligazionaria e informazione condizionata (slide 19–23) · parziale 20′ · cumulato 54′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Titolo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Funzione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Contenuto essenziale</w:t>
            </w:r>
          </w:p>
        </w:tc>
      </w:tr>
      <w:tr>
        <w:tc>
          <w:tcPr>
            <w:tcW w:type="dxa" w:w="2493"/>
            <w:vAlign w:val="top"/>
          </w:tcPr>
          <w:p>
            <w:r>
              <w:t>19</w:t>
            </w:r>
          </w:p>
        </w:tc>
        <w:tc>
          <w:tcPr>
            <w:tcW w:type="dxa" w:w="2493"/>
            <w:vAlign w:val="top"/>
          </w:tcPr>
          <w:p>
            <w:r>
              <w:t>Caso Aula</w:t>
            </w:r>
          </w:p>
        </w:tc>
        <w:tc>
          <w:tcPr>
            <w:tcW w:type="dxa" w:w="2493"/>
            <w:vAlign w:val="top"/>
          </w:tcPr>
          <w:p>
            <w:r>
              <w:t>Transizione</w:t>
            </w:r>
          </w:p>
        </w:tc>
        <w:tc>
          <w:tcPr>
            <w:tcW w:type="dxa" w:w="2493"/>
            <w:vAlign w:val="top"/>
          </w:tcPr>
          <w:p>
            <w:r>
              <w:t>Dalla metodologia astratta alla sua applicazione concreta.</w:t>
            </w:r>
          </w:p>
        </w:tc>
      </w:tr>
      <w:tr>
        <w:tc>
          <w:tcPr>
            <w:tcW w:type="dxa" w:w="2493"/>
            <w:vAlign w:val="top"/>
          </w:tcPr>
          <w:p>
            <w:r>
              <w:t>20</w:t>
            </w:r>
          </w:p>
        </w:tc>
        <w:tc>
          <w:tcPr>
            <w:tcW w:type="dxa" w:w="2493"/>
            <w:vAlign w:val="top"/>
          </w:tcPr>
          <w:p>
            <w:r>
              <w:t>Il problema finanziario</w:t>
            </w:r>
          </w:p>
        </w:tc>
        <w:tc>
          <w:tcPr>
            <w:tcW w:type="dxa" w:w="2493"/>
            <w:vAlign w:val="top"/>
          </w:tcPr>
          <w:p>
            <w:r>
              <w:t>Formulazione</w:t>
            </w:r>
          </w:p>
        </w:tc>
        <w:tc>
          <w:tcPr>
            <w:tcW w:type="dxa" w:w="2493"/>
            <w:vAlign w:val="top"/>
          </w:tcPr>
          <w:p>
            <w:r>
              <w:t>Portafoglio obbligazionario: per piccoli shock ΔV ≃ −D V₀ Δy, quindi L ≃ D V₀ Δy. Studiare distribuzione, superamento di soglia, quantili e quantità condizionate.</w:t>
            </w:r>
          </w:p>
        </w:tc>
      </w:tr>
      <w:tr>
        <w:tc>
          <w:tcPr>
            <w:tcW w:type="dxa" w:w="2493"/>
            <w:vAlign w:val="top"/>
          </w:tcPr>
          <w:p>
            <w:r>
              <w:t>21</w:t>
            </w:r>
          </w:p>
        </w:tc>
        <w:tc>
          <w:tcPr>
            <w:tcW w:type="dxa" w:w="2493"/>
            <w:vAlign w:val="top"/>
          </w:tcPr>
          <w:p>
            <w:r>
              <w:t>I regimi di tasso</w:t>
            </w:r>
          </w:p>
        </w:tc>
        <w:tc>
          <w:tcPr>
            <w:tcW w:type="dxa" w:w="2493"/>
            <w:vAlign w:val="top"/>
          </w:tcPr>
          <w:p>
            <w:r>
              <w:t>Modello</w:t>
            </w:r>
          </w:p>
        </w:tc>
        <w:tc>
          <w:tcPr>
            <w:tcW w:type="dxa" w:w="2493"/>
            <w:vAlign w:val="top"/>
          </w:tcPr>
          <w:p>
            <w:r>
              <w:t>Tre eventi A₁, A₂, A₃, con probabilità e distribuzioni condizionate diverse di Δy. Il regime modifica la distribuzione dello shock, non elimina l'incertezza.</w:t>
            </w:r>
          </w:p>
        </w:tc>
      </w:tr>
      <w:tr>
        <w:tc>
          <w:tcPr>
            <w:tcW w:type="dxa" w:w="2493"/>
            <w:vAlign w:val="top"/>
          </w:tcPr>
          <w:p>
            <w:r>
              <w:t>22</w:t>
            </w:r>
          </w:p>
        </w:tc>
        <w:tc>
          <w:tcPr>
            <w:tcW w:type="dxa" w:w="2493"/>
            <w:vAlign w:val="top"/>
          </w:tcPr>
          <w:p>
            <w:r>
              <w:t>Dalla teoria dei Capitoli 1–3 al caso</w:t>
            </w:r>
          </w:p>
        </w:tc>
        <w:tc>
          <w:tcPr>
            <w:tcW w:type="dxa" w:w="2493"/>
            <w:vAlign w:val="top"/>
          </w:tcPr>
          <w:p>
            <w:r>
              <w:t>Raccordo</w:t>
            </w:r>
          </w:p>
        </w:tc>
        <w:tc>
          <w:tcPr>
            <w:tcW w:type="dxa" w:w="2493"/>
            <w:vAlign w:val="top"/>
          </w:tcPr>
          <w:p>
            <w:r>
              <w:t>Partizione → regimi; variabile casuale → shock/perdita; informazione → σ(A₁,A₂,A₃); condizionamento → perdite attese per regime.</w:t>
            </w:r>
          </w:p>
        </w:tc>
      </w:tr>
      <w:tr>
        <w:tc>
          <w:tcPr>
            <w:tcW w:type="dxa" w:w="2493"/>
            <w:vAlign w:val="top"/>
          </w:tcPr>
          <w:p>
            <w:r>
              <w:t>23</w:t>
            </w:r>
          </w:p>
        </w:tc>
        <w:tc>
          <w:tcPr>
            <w:tcW w:type="dxa" w:w="2493"/>
            <w:vAlign w:val="top"/>
          </w:tcPr>
          <w:p>
            <w:r>
              <w:t>Che cosa dovremo osservare nel notebook</w:t>
            </w:r>
          </w:p>
        </w:tc>
        <w:tc>
          <w:tcPr>
            <w:tcW w:type="dxa" w:w="2493"/>
            <w:vAlign w:val="top"/>
          </w:tcPr>
          <w:p>
            <w:r>
              <w:t>Specifica computazionale</w:t>
            </w:r>
          </w:p>
        </w:tc>
        <w:tc>
          <w:tcPr>
            <w:tcW w:type="dxa" w:w="2493"/>
            <w:vAlign w:val="top"/>
          </w:tcPr>
          <w:p>
            <w:r>
              <w:t>Simulare regime e shock condizionato; costruire L; statistiche complessive e condizionate; controllo fondamentale mediante formula del valore atteso totale.</w:t>
            </w:r>
          </w:p>
        </w:tc>
      </w:tr>
    </w:tbl>
    <w:p>
      <w:r>
        <w:rPr>
          <w:b/>
        </w:rPr>
        <w:t xml:space="preserve">Indicazione didattica: </w:t>
      </w:r>
      <w:r>
        <w:t>Questa deve essere la parte quantitativamente più lenta della lezione. Usare la slide 22 come piccolo esercizio orale: «Dove vedete qui il Capitolo 1? il Capitolo 2? il Capitolo 3?». La slide 23 traduce quindi gli oggetti teorici in ciò che deve comparire nel notebook.</w:t>
      </w:r>
    </w:p>
    <w:p>
      <w:r>
        <w:rPr>
          <w:b/>
        </w:rPr>
        <w:t xml:space="preserve">Controllo centrale da ricordare: </w:t>
      </w:r>
      <w:r>
        <w:t xml:space="preserve">E[L] = Σᵍ P(Aᵍ) E[L | Aᵍ]. </w:t>
      </w:r>
      <w:r>
        <w:t>Non come formula nuova, ma come proprietà teorica che diventa controllo computazionale.</w:t>
      </w:r>
    </w:p>
    <w:p>
      <w:pPr>
        <w:pStyle w:val="Heading1"/>
      </w:pPr>
      <w:r>
        <w:t>Gruppo 6 — Caso TakeHome e chiusura (slide 24) · parziale 6′ · cumulato 60′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Titolo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Funzione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Contenuto essenziale</w:t>
            </w:r>
          </w:p>
        </w:tc>
      </w:tr>
      <w:tr>
        <w:tc>
          <w:tcPr>
            <w:tcW w:type="dxa" w:w="2493"/>
            <w:vAlign w:val="top"/>
          </w:tcPr>
          <w:p>
            <w:r>
              <w:t>24</w:t>
            </w:r>
          </w:p>
        </w:tc>
        <w:tc>
          <w:tcPr>
            <w:tcW w:type="dxa" w:w="2493"/>
            <w:vAlign w:val="top"/>
          </w:tcPr>
          <w:p>
            <w:r>
              <w:t>Come affrontare il Caso TakeHome</w:t>
            </w:r>
          </w:p>
        </w:tc>
        <w:tc>
          <w:tcPr>
            <w:tcW w:type="dxa" w:w="2493"/>
            <w:vAlign w:val="top"/>
          </w:tcPr>
          <w:p>
            <w:r>
              <w:t>Consegna e sintesi</w:t>
            </w:r>
          </w:p>
        </w:tc>
        <w:tc>
          <w:tcPr>
            <w:tcW w:type="dxa" w:w="2493"/>
            <w:vAlign w:val="top"/>
          </w:tcPr>
          <w:p>
            <w:r>
              <w:t>Nuova chat dedicata; Prompt zero e Prompt 1 forniti; Prompt 2 e 3 costruiti dallo studente; sviluppo per tappe A/B/C; controlli e interpretazione finali. Consegna: notebook eseguito + tracciato IA completo.</w:t>
            </w:r>
          </w:p>
        </w:tc>
      </w:tr>
    </w:tbl>
    <w:p>
      <w:r>
        <w:rPr>
          <w:b/>
        </w:rPr>
        <w:t xml:space="preserve">Indicazione didattica: </w:t>
      </w:r>
      <w:r>
        <w:t>Frase di chiusura: «Nel TakeHome cambia il caso, non cambia il metodo di lavoro.»</w:t>
      </w:r>
    </w:p>
    <w:p>
      <w:pPr>
        <w:pStyle w:val="Heading1"/>
      </w:pPr>
      <w:r>
        <w:t>Note operative</w:t>
      </w:r>
    </w:p>
    <w:p>
      <w:r>
        <w:rPr>
          <w:b/>
        </w:rPr>
        <w:t xml:space="preserve">Snodi da non sacrificare: </w:t>
      </w:r>
      <w:r>
        <w:t>slide 4, perché stabilisce che il codice non è il punto di partenza; slide 7–9, perché definiscono A/B/C; slide 13–14, perché distinguono Flusso logico-teorico e scomposizione operativa; slide 20–23, perché mostrano il passaggio teoria → caso → notebook; slide 24, perché rende esplicito che il TakeHome replica il metodo.</w:t>
      </w:r>
    </w:p>
    <w:p>
      <w:r>
        <w:rPr>
          <w:b/>
        </w:rPr>
        <w:t xml:space="preserve">Recupero del tempo, nell'ordine: </w:t>
      </w:r>
      <w:r>
        <w:t>comprimere le slide 5–6 in circa 3 minuti complessivi; mostrare la slide 10 senza discutere analiticamente tutti i pesi; trattare le slide 16–18 come tre variazioni dello stesso schema, senza ripetere le definizioni dei Regimi; ridurre la slide 19 a pura transizione; sulla slide 24 limitarsi a procedura e prodotti da consegnare.</w:t>
      </w:r>
    </w:p>
    <w:p>
      <w:r>
        <w:rPr>
          <w:b/>
        </w:rPr>
        <w:t xml:space="preserve">Da non comprimere per recuperare tempo: </w:t>
      </w:r>
      <w:r>
        <w:t>Prompt 2 vs Prompt 3 e raccordo delle slide 20–23 con i Capitoli 1–3.</w:t>
      </w:r>
    </w:p>
    <w:p>
      <w:r>
        <w:rPr>
          <w:b/>
        </w:rPr>
        <w:t xml:space="preserve">Numeri/oggetti da avere in testa: </w:t>
      </w:r>
      <w:r>
        <w:t>L ≃ D V₀ Δy; tre regimi A₁, A₂, A₃; P = (0,35; 0,45; 0,20); distribuzioni condizionate di Δy; E[L | Aᵍ]; ricomposizione tramite valore atteso totale. Il regime cambia la distribuzione dello shock senza rendere deterministico il risultato.</w:t>
      </w:r>
    </w:p>
    <w:p>
      <w:pPr>
        <w:pStyle w:val="Heading1"/>
      </w:pPr>
      <w:r>
        <w:t>Valutazione complessiva del ritmo</w:t>
      </w:r>
    </w:p>
    <w:p>
      <w:r>
        <w:rPr>
          <w:b/>
        </w:rPr>
        <w:t xml:space="preserve">Distribuzione proposta: </w:t>
      </w:r>
      <w:r>
        <w:t>4′ + 7′ + 8′ + 15′ + 20′ + 6′ = 60′.</w:t>
      </w:r>
    </w:p>
    <w:p>
      <w:r>
        <w:t>Quindi circa 34 minuti al metodo generale e 26 minuti al Caso Aula + TakeHome. Per la Lezione 4 questo rapporto è coerente con la sua funzione: è l'unica lezione in cui occorre installare da zero il protocollo metodologico che le successive lezioni applicative potranno semplicemente richiamare. Dalla Lezione 7 in avanti, una scaletta di 60 minuti potrà destinare una quota molto maggiore al caso quantitativo vero e proprio.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CORSO MQF — Scaletta-promemoria Lezione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