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b/>
          <w:bCs/>
          <w:sz w:val="36"/>
          <w:szCs w:val="36"/>
          <w:lang w:val="it-IT"/>
        </w:rPr>
      </w:pPr>
      <w:r>
        <w:rPr>
          <w:b/>
          <w:bCs/>
          <w:sz w:val="36"/>
          <w:szCs w:val="36"/>
          <w:lang w:val="it-IT"/>
        </w:rPr>
        <w:t xml:space="preserve">Lezione 15 - Programmazione stocastica II</w:t>
      </w:r>
    </w:p>
    <w:p>
      <w:pPr>
        <w:jc w:val="center"/>
        <w:rPr>
          <w:b/>
          <w:bCs/>
          <w:sz w:val="36"/>
          <w:szCs w:val="36"/>
          <w:lang w:val="it-IT"/>
        </w:rPr>
      </w:pPr>
      <w:r>
        <w:rPr>
          <w:b/>
          <w:bCs/>
          <w:sz w:val="36"/>
          <w:szCs w:val="36"/>
          <w:lang w:val="it-IT"/>
        </w:rPr>
        <w:t xml:space="preserve">Scaletta-promemoria</w:t>
      </w:r>
    </w:p>
    <w:p>
      <w:pPr>
        <w:jc w:val="center"/>
        <w:rPr>
          <w:b/>
          <w:bCs/>
          <w:sz w:val="36"/>
          <w:szCs w:val="36"/>
          <w:lang w:val="it-IT"/>
        </w:rPr>
      </w:pPr>
    </w:p>
    <w:p>
      <w:r>
        <w:pict>
          <v:rect id="_x0000_i1025" style="width:0;height:1.5pt" o:hralign="center" o:hrstd="t" o:hr="t" fillcolor="#a0a0a0" stroked="f"/>
        </w:pict>
      </w:r>
    </w:p>
    <w:p>
      <w:pPr>
        <w:rPr>
          <w:b/>
          <w:bCs/>
          <w:lang w:val="it-IT"/>
        </w:rPr>
      </w:pPr>
      <w:r>
        <w:rPr>
          <w:b/>
          <w:bCs/>
          <w:lang w:val="it-IT"/>
        </w:rPr>
        <w:t xml:space="preserve">Gruppo 1 — Apertura (slide 1–4) · parziale 7′ · cumulato 7′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2000"/>
        <w:gridCol w:w="1750"/>
        <w:gridCol w:w="5693"/>
      </w:tblGrid>
      <w:tr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#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Titolo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Funzione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Contenuto essenziale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1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Frontespizio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—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Lezione 15 – Programmazione lineare stocastica II. Sottotitolo dal capitolo: Soluzione e valore dell'informazione. Titolo breve per la footline: [PS II]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2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Richiamo: il programma a due stadi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Riattivazione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max_x {c′x + Σ_s p_s Q_s(x)}: x comune a tutti gli scenari, y_s scelto dopo l'osservazione di s, Q_s(x) valore ottimo del secondo stadio. Caso SVB: quattro classi di attivo, y_s = (g₁, …, g₄, u₁, u₂, u₃)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3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Che cosa resta aperto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Aggancio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Tre domande: il ricorso esiste per ogni x e ogni s? Quanto vale scegliere x con gli scenari invece che con i valori medi, e quanto varrebbe conoscere il futuro? È credibile decidere l'intero ricorso dopo avere visto tutta la traiettoria? Domanda guida del capitolo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4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Percorso e obiettivi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Mappa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Parte I, due stadi: fattibilità, funzione di ricorso, SP/WS/EV. Parte II, multistadio: stadi, non anticipatività, forma estesa, caso SVB. </w:t>
            </w:r>
            <w:r>
              <w:rPr>
                <w:b/>
                <w:bCs/>
                <w:lang w:val="it-IT"/>
              </w:rPr>
              <w:t xml:space="preserve">Chiave di lettura: la migliore decisione compatibile con l'informazione disponibile quando va presa</w:t>
            </w:r>
          </w:p>
        </w:tc>
      </w:tr>
    </w:tbl>
    <w:p>
      <w:r>
        <w:pict>
          <v:rect id="_x0000_i1026" style="width:0;height:1.5pt" o:hralign="center" o:hrstd="t" o:hr="t" fillcolor="#a0a0a0" stroked="f"/>
        </w:pict>
      </w:r>
    </w:p>
    <w:p>
      <w:pPr>
        <w:rPr>
          <w:b/>
          <w:bCs/>
          <w:lang w:val="it-IT"/>
        </w:rPr>
      </w:pPr>
      <w:r>
        <w:rPr>
          <w:b/>
          <w:bCs/>
          <w:lang w:val="it-IT"/>
        </w:rPr>
        <w:t xml:space="preserve">Gruppo 2 — Fattibilità del ricorso (slide 5–8) · parziale 11′ · cumulato 18′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2000"/>
        <w:gridCol w:w="1750"/>
        <w:gridCol w:w="5693"/>
      </w:tblGrid>
      <w:tr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#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Titolo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Funzione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Contenuto essenziale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5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Il ricorso esiste?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Problema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Q_s(x) = max {q_s′y_s : T_s x + W_s y_s = h_s} ha senso solo se l'insieme delle decisioni di ricorso non è vuoto. Ricorso ammissibile: proprietà della singola coppia (x, s). </w:t>
            </w:r>
            <w:r>
              <w:rPr>
                <w:b/>
                <w:bCs/>
                <w:lang w:val="it-IT"/>
              </w:rPr>
              <w:t xml:space="preserve">Ammissibile non significa conveniente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6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Completo e relativamente completo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Definizione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Tabella a due righe: completo = ammissibile per qualunque termine noto; relativamente completo = per i termini generati da x ammissibile e dagli scenari del modello. Il primo implica il secondo, non viceversa. Lettura ALM: il funding ha limiti di capacità, non serve compensare ogni deficit immaginabile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7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Esempio: funding con capacità limitata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Esempio guidato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A₀ = 10, d = 8, a₁′ = (1, 0.6), a₂′ = (1, 0.2), ū₁ = 1, ū₂ = 2. u₁^min = max{0, 2 − 0.4x} ⇒ x ≥ 2.5; u₂^min = max{0, 6 − 0.8x} ⇒ x ≥ 5. Prove: con x = 4 il ricorso è ammissibile solo nello scenario ordinario (2.8 &gt; 2); con x = 6 in entrambi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8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Tre regioni di ammissibilità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Figura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Cap15_fattibilita_ricorso. [0, 2.5): nessuno scenario; [2.5, 5): solo l'ordinario; [5, 10]: entrambi. Con X = [0, 10] niente ricorso relativamente completo; con X = [5, 10] relativamente completo ma non completo. </w:t>
            </w:r>
            <w:r>
              <w:rPr>
                <w:b/>
                <w:bCs/>
                <w:lang w:val="it-IT"/>
              </w:rPr>
              <w:t xml:space="preserve">La fattibilità è il primo filtro, il valore viene dopo</w:t>
            </w:r>
          </w:p>
        </w:tc>
      </w:tr>
    </w:tbl>
    <w:p>
      <w:r>
        <w:pict>
          <v:rect id="_x0000_i1027" style="width:0;height:1.5pt" o:hralign="center" o:hrstd="t" o:hr="t" fillcolor="#a0a0a0" stroked="f"/>
        </w:pict>
      </w:r>
    </w:p>
    <w:p>
      <w:pPr>
        <w:rPr>
          <w:b/>
          <w:bCs/>
          <w:lang w:val="it-IT"/>
        </w:rPr>
      </w:pPr>
      <w:r>
        <w:rPr>
          <w:b/>
          <w:bCs/>
          <w:lang w:val="it-IT"/>
        </w:rPr>
        <w:t xml:space="preserve">Gruppo 3 — La funzione di ricorso (slide 9–11) · parziale 9′ · cumulato 27′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2000"/>
        <w:gridCol w:w="1750"/>
        <w:gridCol w:w="5577"/>
      </w:tblGrid>
      <w:tr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#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Titolo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Funzione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Contenuto essenziale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9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La decisione iniziale cambia il problema futuro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Risultato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x entra nel secondo stadio tramite h_s − T_s x: decisioni iniziali diverse generano problemi di ricorso diversi. Proposizione: con ottimo finito, Q_s(x) è concava e lineare a tratti. Pendenza costante in ogni tratto = valore marginale locale; cambia quando cambia la struttura della soluzione di secondo stadio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10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Esempio: lo scenario avverso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Esempio guidato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A₀ = 10 000 milioni, d = 6 000, liquidità x₁ + 0.2x₂, funding al 3%. Con x₂ = 10 000 − x₁: u₂* = max{0, 4 000 − 0.8x₁}; Q₂(x₁) = −120 + 0.024x₁ fino a 5 000, poi 0. Verifica: x₁ = 2 000 ⇒ u₂* = 2 400, Q₂ = −72. Avvertenza: 0.2 è la quota disponibile alla data, non un rendimento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11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Stesso problema, due assi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Figura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Cap15_funzione_ricorso_piecewise. Q₂ cresce rispetto a x₁ e decresce rispetto a x₂: stessi portafogli, variabile diversa in ascissa. Punto angoloso a 5 000: il funding ottimo passa da positivo a zero</w:t>
            </w:r>
          </w:p>
        </w:tc>
      </w:tr>
    </w:tbl>
    <w:p>
      <w:r>
        <w:pict>
          <v:rect id="_x0000_i1028" style="width:0;height:1.5pt" o:hralign="center" o:hrstd="t" o:hr="t" fillcolor="#a0a0a0" stroked="f"/>
        </w:pict>
      </w:r>
    </w:p>
    <w:p>
      <w:pPr>
        <w:rPr>
          <w:b/>
          <w:bCs/>
          <w:lang w:val="it-IT"/>
        </w:rPr>
      </w:pPr>
      <w:r>
        <w:rPr>
          <w:b/>
          <w:bCs/>
          <w:lang w:val="it-IT"/>
        </w:rPr>
        <w:t xml:space="preserve">Gruppo 4 — Tre modi di scegliere x (slide 12–16) · parziale 14′ · cumulato 41′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2000"/>
        <w:gridCol w:w="1750"/>
        <w:gridCol w:w="5577"/>
      </w:tblGrid>
      <w:tr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#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Titolo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Funzione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Contenuto essenziale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12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Tre benchmark, tre ipotesi informative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Impostazione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Tabella SP / WS / EV: quando si sceglie x, che cosa si conosce, come si valuta. Due vantaggi da non confondere: conoscere in anticipo il futuro; usare la distribuzione degli scenari nella scelta iniziale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13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Massimo del valore atteso o valore atteso dei massimi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Formalizzazione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z^SP = max_x {c′x + Σ p_s Q_s(x)}: un unico x. z^WS = Σ p_s max_{x_s} {c′x_s + Q_s(x_s)}: un x_s per scenario. A due stadi differiscono solo nella decisione iniziale: in entrambi il ricorso conosce lo scenario completo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14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Il problema medio e la decisione x^EV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Costruzione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q̄, T̄, W̄, h̄ come medie ponderate; Q̄(x) funzione di ricorso del problema medio; x^EV ∈ argmax {c′x + Q̄(x)}. </w:t>
            </w:r>
            <w:r>
              <w:rPr>
                <w:b/>
                <w:bCs/>
                <w:lang w:val="it-IT"/>
              </w:rPr>
              <w:t xml:space="preserve">x^EV non è la media delle decisioni di scenario</w:t>
            </w:r>
            <w:r>
              <w:rPr>
                <w:lang w:val="it-IT"/>
              </w:rPr>
              <w:t xml:space="preserve">: è la soluzione di un nuovo programma lineare. Caso SVB: ā_tj, d̄_t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15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Valutare x^EV negli scenari veri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Procedura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Prima operazione: con x = x^EV fisso si risolve Q_s(x^EV) in ogni scenario, con i suoi coefficienti. Seconda operazione: z^EV = c′x^EV + Σ p_s Q_s(x^EV). </w:t>
            </w:r>
            <w:r>
              <w:rPr>
                <w:b/>
                <w:bCs/>
                <w:lang w:val="it-IT"/>
              </w:rPr>
              <w:t xml:space="preserve">z^EV non coincide con l'ottimo del problema medio</w:t>
            </w:r>
            <w:r>
              <w:rPr>
                <w:lang w:val="it-IT"/>
              </w:rPr>
              <w:t xml:space="preserve">: è l'errore tipico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16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Ordinamento, EVPI e VSS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Snodo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Massimizzazione: z^WS ≥ z^SP ≥ z^EV, se x^EV ammette ricorso. EVPI = z^WS − z^SP: quanto vale conoscere il futuro. VSS = z^SP − z^EV: quanto vale usare il modello stocastico. Figura Cap15_confronto_SP_EV_WS, qualitativa. Nessun ordine generale fra EVPI e VSS</w:t>
            </w:r>
          </w:p>
        </w:tc>
      </w:tr>
    </w:tbl>
    <w:p>
      <w:r>
        <w:pict>
          <v:rect id="_x0000_i1029" style="width:0;height:1.5pt" o:hralign="center" o:hrstd="t" o:hr="t" fillcolor="#a0a0a0" stroked="f"/>
        </w:pict>
      </w:r>
    </w:p>
    <w:p>
      <w:pPr>
        <w:rPr>
          <w:b/>
          <w:bCs/>
          <w:lang w:val="it-IT"/>
        </w:rPr>
      </w:pPr>
      <w:r>
        <w:rPr>
          <w:b/>
          <w:bCs/>
          <w:lang w:val="it-IT"/>
        </w:rPr>
        <w:t xml:space="preserve">Gruppo 5 — Esercizio in aula: valore dell'informazione e della soluzione stocastica (slide 17–20) · parziale 16′ · cumulato 57′</w:t>
      </w:r>
    </w:p>
    <w:p>
      <w:pPr>
        <w:rPr>
          <w:lang w:val="it-IT"/>
        </w:rPr>
      </w:pPr>
      <w:r>
        <w:rPr>
          <w:lang w:val="it-IT"/>
        </w:rPr>
        <w:t xml:space="preserve">ex:cap15-sp-ws-ev (Esercizio svolto 3) — esercizio di </w:t>
      </w:r>
      <w:r>
        <w:rPr>
          <w:b/>
          <w:bCs/>
          <w:lang w:val="it-IT"/>
        </w:rPr>
        <w:t xml:space="preserve">calcolo e interpretazione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2000"/>
        <w:gridCol w:w="1750"/>
        <w:gridCol w:w="5577"/>
      </w:tblGrid>
      <w:tr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#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Titolo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Funzione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Contenuto essenziale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17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Esercizio: valore dell'informazione e della soluzione stocastica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Consegna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Dati e cinque richieste come nel capitolo: A₀ = 10, rendimenti 0.01 e 0.05, d = 8, a₁′ = (1, 0.9), a₂′ = (1, 0.5), p₁ = p₂ = 0.5, 0 ≤ u_s ≤ 3, γ₁ = 0.02, γ₂ = 0.20. ~6′ di lavoro autonomo sulle richieste 1–2; le altre guidate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18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Soluzione: il programma stocastico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Discussione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Scenario 1: liquidità 10 − 0.1x₂ ≥ 9 &gt; 8, funding mai necessario. Scenario 2: u₂ = max{0, 0.5x₂ − 2}. Π^SP cresce fino a x₂ = 4 e poi decresce (figura Cap15_funzione_obiettivo_SP). x^SP = (6, 4), z^SP = 0.26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19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Soluzione: WS ed EV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Discussione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WS: 0.50 nello scenario 1, 0.26 nello scenario 2 ⇒ z^WS = 0.38. EV: problema medio con a = (1, 0.7) e γ̄ = 0.11, funding da x₂ = 20/3, funzione sempre crescente (figura Cap15_funzione_obiettivo_EV) ⇒ x^EV = (0, 10), ottimo medio 0.39. Valutato negli scenari: z^EV = 0.50 + ½(0) + ½(−0.60) = 0.20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20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Che cosa misurano i numeri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Interpretazione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EVPI = 0.12 (120 000 euro), VSS = 0.06 (60 000 euro). Il problema medio porta tutto nei titoli meno liquidi e satura il funding nello scenario di stress; SP rinuncia a rendimento in cambio di robustezza. </w:t>
            </w:r>
            <w:r>
              <w:rPr>
                <w:b/>
                <w:bCs/>
                <w:lang w:val="it-IT"/>
              </w:rPr>
              <w:t xml:space="preserve">Domanda per la pausa: nel caso SVB, u₁ viene deciso conoscendo Z₄?</w:t>
            </w:r>
          </w:p>
        </w:tc>
      </w:tr>
    </w:tbl>
    <w:p>
      <w:pPr>
        <w:rPr>
          <w:lang w:val="it-IT"/>
        </w:rPr>
      </w:pPr>
      <w:r>
        <w:rPr>
          <w:b/>
          <w:bCs/>
          <w:lang w:val="it-IT"/>
        </w:rPr>
        <w:t xml:space="preserve">PAUSA (15′).</w:t>
      </w:r>
      <w:r>
        <w:rPr>
          <w:lang w:val="it-IT"/>
        </w:rPr>
        <w:t xml:space="preserve"> Si esce con la domanda della slide 20 e si rientra con la risposta (slide 21).</w:t>
      </w:r>
    </w:p>
    <w:p>
      <w:r>
        <w:pict>
          <v:rect id="_x0000_i1030" style="width:0;height:1.5pt" o:hralign="center" o:hrstd="t" o:hr="t" fillcolor="#a0a0a0" stroked="f"/>
        </w:pict>
      </w:r>
    </w:p>
    <w:p>
      <w:pPr>
        <w:rPr>
          <w:b/>
          <w:bCs/>
          <w:lang w:val="it-IT"/>
        </w:rPr>
      </w:pPr>
      <w:r>
        <w:rPr>
          <w:b/>
          <w:bCs/>
          <w:lang w:val="it-IT"/>
        </w:rPr>
        <w:t xml:space="preserve">Gruppo 6 — Perché il modello a due stadi non basta (slide 21–24) · parziale 12′ · cumulato 69′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2000"/>
        <w:gridCol w:w="1750"/>
        <w:gridCol w:w="5577"/>
      </w:tblGrid>
      <w:tr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#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Titolo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Funzione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Contenuto essenziale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21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Un ricorso deciso a fine orizzonte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Problema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Risposta alla domanda della pausa: y_s è adattato a F_T, quindi anche u₁ «conosce» Z₄. Struttura adatta a un unico blocco successivo, restrittiva quando l'informazione arriva progressivamente. Il passaggio: suddividere il ricorso in più blocchi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22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Stadi decisionali e tempi fisici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Definizione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Stadi k = 2, …, K; T_k = {t_k,1, …, t_k,n_k}, tempo terminale t̄_k, con t̄_K = T; y_k^s adattato a F_t̄k. Tabella due stadi / multistadio. </w:t>
            </w:r>
            <w:r>
              <w:rPr>
                <w:b/>
                <w:bCs/>
                <w:lang w:val="it-IT"/>
              </w:rPr>
              <w:t xml:space="preserve">La distinzione è fra livelli di informazione, non fra singole date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23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Non anticipatività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Definizione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y_k^s misurabile rispetto a F_t̄k; a scenari finiti: y_k^s = y_k^s′ se s e s′ hanno la stessa storia fino a t̄_k. Non limita l'adattamento: impedisce di usare informazione non ancora disponibile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24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Un esempio a quattro stadi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Figura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Cap15_albero_multistadio. T₂ = {1}, T₃ = {2, 3}, T₄ = {4}; blocchi u₁ | (u₂, u₃) | g₄ con informazioni F₁, F₃, F₄. Lettura: y₂ uguale per s₁, …, s₄ (Z₁ = A); y₃ uguale per s₃ e s₄; dopo Z₄ le decisioni possono differire. u₂ si riferisce al tempo 2 ma è deciso con F₃</w:t>
            </w:r>
          </w:p>
        </w:tc>
      </w:tr>
    </w:tbl>
    <w:p>
      <w:r>
        <w:pict>
          <v:rect id="_x0000_i1031" style="width:0;height:1.5pt" o:hralign="center" o:hrstd="t" o:hr="t" fillcolor="#a0a0a0" stroked="f"/>
        </w:pict>
      </w:r>
    </w:p>
    <w:p>
      <w:pPr>
        <w:rPr>
          <w:b/>
          <w:bCs/>
          <w:lang w:val="it-IT"/>
        </w:rPr>
      </w:pPr>
      <w:r>
        <w:rPr>
          <w:b/>
          <w:bCs/>
          <w:lang w:val="it-IT"/>
        </w:rPr>
        <w:t xml:space="preserve">Gruppo 7 — Esercizio in aula: costruzione di un albero multistadio (slide 25–26) · parziale 8′ · cumulato 77′</w:t>
      </w:r>
    </w:p>
    <w:p>
      <w:pPr>
        <w:rPr>
          <w:lang w:val="it-IT"/>
        </w:rPr>
      </w:pPr>
      <w:r>
        <w:rPr>
          <w:lang w:val="it-IT"/>
        </w:rPr>
        <w:t xml:space="preserve">ex:cap15-albero-probabilita (Esercizio svolto 1) — esercizio di </w:t>
      </w:r>
      <w:r>
        <w:rPr>
          <w:b/>
          <w:bCs/>
          <w:lang w:val="it-IT"/>
        </w:rPr>
        <w:t xml:space="preserve">calcolo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2000"/>
        <w:gridCol w:w="1750"/>
        <w:gridCol w:w="5577"/>
      </w:tblGrid>
      <w:tr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#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Titolo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Funzione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Contenuto essenziale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25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Esercizio: costruzione di un albero multistadio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Consegna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Stessi stadi della slide 24. P(Z₁ = A) = 0.6, P(Z₁ = B) = 0.4; probabilità condizionate di C₁, C₂ e di D₁ dalle tabelle del capitolo. Quattro richieste come nel capitolo: albero e nodi per stadio; traiettorie e probabilità; probabilità dei nodi del terzo stadio; somma a 1 e differenza fra nodo e scenario. ~3′ di lavoro autonomo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26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Soluzione: nodi, traiettorie, probabilità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Discussione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Nodi per stadio 1–2–4–8 (15 in tutto, 8 terminali). Regola del prodotto: p₁ = 0.6 · 0.5 · 0.8 = 0.24; tabella degli 8 scenari, somma 1. P(A, C₁) = p₁ + p₂ = 0.30; nodi del terzo stadio 0.30, 0.30, 0.10, 0.30. </w:t>
            </w:r>
            <w:r>
              <w:rPr>
                <w:b/>
                <w:bCs/>
                <w:lang w:val="it-IT"/>
              </w:rPr>
              <w:t xml:space="preserve">Un nodo è una storia condivisa da più scenari</w:t>
            </w:r>
            <w:r>
              <w:rPr>
                <w:lang w:val="it-IT"/>
              </w:rPr>
              <w:t xml:space="preserve">. Albero alla lavagna</w:t>
            </w:r>
          </w:p>
        </w:tc>
      </w:tr>
    </w:tbl>
    <w:p>
      <w:r>
        <w:pict>
          <v:rect id="_x0000_i1032" style="width:0;height:1.5pt" o:hralign="center" o:hrstd="t" o:hr="t" fillcolor="#a0a0a0" stroked="f"/>
        </w:pict>
      </w:r>
    </w:p>
    <w:p>
      <w:pPr>
        <w:rPr>
          <w:b/>
          <w:bCs/>
          <w:lang w:val="it-IT"/>
        </w:rPr>
      </w:pPr>
      <w:r>
        <w:rPr>
          <w:b/>
          <w:bCs/>
          <w:lang w:val="it-IT"/>
        </w:rPr>
        <w:t xml:space="preserve">Gruppo 8 — Il programma lineare multistadio (slide 27–29) · parziale 15′ · cumulato 92′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2000"/>
        <w:gridCol w:w="1750"/>
        <w:gridCol w:w="5577"/>
      </w:tblGrid>
      <w:tr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#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Titolo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Funzione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Contenuto essenziale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27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Scenari, storie e funzione obiettivo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Impostazione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S = {1, …, N}, p_s &gt; 0; scenario = percorso dalla radice a una foglia; nodo dello stadio k = storia fino a t̄_k. Si mantiene l'indicizzazione per scenario più la non anticipatività. Obiettivo c′x + Σ_s p_s Σ_k (q_k^s)′y_k^s, con c′x contato una sola volta. Le p_s sono quelle dell'esercizio appena svolto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28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I vincoli di stadio, indice per indice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Snodo tecnico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T_s,k x + Σ_{j=2..k} W_s,k,j y_j^s = h_s,k, esplicitato per k = 2 e k = 3. j = stadio della decisione, k = stadio del vincolo; la somma si ferma a k, nessuna decisione futura; blocchi nulli se una decisione non entra. T_s,k non contiene i vincoli iniziali, che stanno in X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29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Forma estesa e raccordo con i due stadi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Tavola di riferimento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Il programma completo: x in X, vincoli di stadio, y_k^s in X_s,k, non anticipatività. Un solo x, ricorsi replicati per stadio e scenario. Con K = 2 si ritrova la forma estesa del Cap. 14. </w:t>
            </w:r>
            <w:r>
              <w:rPr>
                <w:b/>
                <w:bCs/>
                <w:lang w:val="it-IT"/>
              </w:rPr>
              <w:t xml:space="preserve">Cambia la struttura informativa, non la linearità</w:t>
            </w:r>
          </w:p>
        </w:tc>
      </w:tr>
    </w:tbl>
    <w:p>
      <w:r>
        <w:pict>
          <v:rect id="_x0000_i1033" style="width:0;height:1.5pt" o:hralign="center" o:hrstd="t" o:hr="t" fillcolor="#a0a0a0" stroked="f"/>
        </w:pict>
      </w:r>
    </w:p>
    <w:p>
      <w:pPr>
        <w:rPr>
          <w:b/>
          <w:bCs/>
          <w:lang w:val="it-IT"/>
        </w:rPr>
      </w:pPr>
      <w:r>
        <w:rPr>
          <w:b/>
          <w:bCs/>
          <w:lang w:val="it-IT"/>
        </w:rPr>
        <w:t xml:space="preserve">Gruppo 9 — Il caso SVB–ALM in quattro stadi (slide 30–32) · parziale 14′ · cumulato 106′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2000"/>
        <w:gridCol w:w="1750"/>
        <w:gridCol w:w="5577"/>
      </w:tblGrid>
      <w:tr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#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Titolo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Funzione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Contenuto essenziale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30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Stessi scenari, blocchi di ricorso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Istanza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Z_t = (Z_t^R, Z_t^C, Z_t^F) ∈ {0,1}³, otto stati, matrice P; ξ_s = (Z₁, …, Z₄), fino a 8⁴ = 4096 scenari; stessa catena e stesse probabilità del Cap. 14. x a quattro classi con i vincoli del caso. y_s a sette componenti → y₂ = (g₁, u₁), y₃ = (g₂, g₃, u₂, u₃), y₄ = (g₄). </w:t>
            </w:r>
            <w:r>
              <w:rPr>
                <w:b/>
                <w:bCs/>
                <w:lang w:val="it-IT"/>
              </w:rPr>
              <w:t xml:space="preserve">Nessuna variabile nuova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31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Stato di Markov e storia osservata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Snodo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Stadio 2: scenari con lo stesso Z₁; stadio 3: stessa terna (Z₁, Z₂, Z₃); stadio 4: traiettoria nota. La proprietà di Markov riguarda lo stato esogeno futuro e </w:t>
            </w:r>
            <w:r>
              <w:rPr>
                <w:b/>
                <w:bCs/>
                <w:lang w:val="it-IT"/>
              </w:rPr>
              <w:t xml:space="preserve">non impone la stessa decisione a scenari giunti allo stesso stato per storie diverse</w:t>
            </w:r>
            <w:r>
              <w:rPr>
                <w:lang w:val="it-IT"/>
              </w:rPr>
              <w:t xml:space="preserve">: giacenze e funding passati differiscono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32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I bilanci dello stadio 3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Lettura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T_s,3 con i cash flow dei tempi 2 e 3, h_s,3 = (d₂, d₃). W_s,3,2: giacenza g₁ trasferita con (1 + r₁^g), rimborso −(1 + r₁^u) u₁. W_s,3,3: decisioni del blocco corrente. È l'istanza della slide 28. Quattro equazioni in tutto (1 + 2 + 1). Le funzioni a_tj(·) non sono ancora calibrate: i numeri nella Lezione 16</w:t>
            </w:r>
          </w:p>
        </w:tc>
      </w:tr>
    </w:tbl>
    <w:p>
      <w:r>
        <w:pict>
          <v:rect id="_x0000_i1034" style="width:0;height:1.5pt" o:hralign="center" o:hrstd="t" o:hr="t" fillcolor="#a0a0a0" stroked="f"/>
        </w:pict>
      </w:r>
    </w:p>
    <w:p>
      <w:pPr>
        <w:rPr>
          <w:b/>
          <w:bCs/>
          <w:lang w:val="it-IT"/>
        </w:rPr>
      </w:pPr>
      <w:r>
        <w:rPr>
          <w:b/>
          <w:bCs/>
          <w:lang w:val="it-IT"/>
        </w:rPr>
        <w:t xml:space="preserve">Gruppo 10 — Benchmark nel multistadio (slide 33) · parziale 5′ · cumulato 111′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2000"/>
        <w:gridCol w:w="1750"/>
        <w:gridCol w:w="5577"/>
      </w:tblGrid>
      <w:tr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#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Titolo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Funzione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Contenuto essenziale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33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SP, WS ed EV con più stadi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Estensione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SP: x comune, ogni y_k^s non anticipativo. WS: problemi separati per scenario, senza non anticipatività, anche sulle decisioni intermedie. EV: problema medio per stadio ⇒ x^EV, poi x^EV fisso nel problema stocastico con ricorsi non anticipativi. SP ed EV differiscono solo nel criterio di scelta di x. L'EVPI include il valore di anticipare l'informazione degli stadi successivi</w:t>
            </w:r>
          </w:p>
        </w:tc>
      </w:tr>
    </w:tbl>
    <w:p>
      <w:r>
        <w:pict>
          <v:rect id="_x0000_i1035" style="width:0;height:1.5pt" o:hralign="center" o:hrstd="t" o:hr="t" fillcolor="#a0a0a0" stroked="f"/>
        </w:pict>
      </w:r>
    </w:p>
    <w:p>
      <w:pPr>
        <w:rPr>
          <w:b/>
          <w:bCs/>
          <w:lang w:val="it-IT"/>
        </w:rPr>
      </w:pPr>
      <w:r>
        <w:rPr>
          <w:b/>
          <w:bCs/>
          <w:lang w:val="it-IT"/>
        </w:rPr>
        <w:t xml:space="preserve">Gruppo 11 — Oltre la programmazione stocastica e sintesi (slide 34–35) · parziale 9′ · cumulato 120′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2000"/>
        <w:gridCol w:w="1750"/>
        <w:gridCol w:w="5577"/>
      </w:tblGrid>
      <w:tr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#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Titolo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Funzione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Contenuto essenziale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34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Programmazione robusta e programmazione dinamica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Limiti e alternative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Limiti: rappresentatività degli scenari, attendibilità delle probabilità, crescita esponenziale delle traiettorie. Robusta: max_x {c′x + inf_ξ∈U Q(x, ξ)}, più conservativa. PDS: decisioni per stati (X_t, Z_t) invece che per storie, ricorsione di Bellman schematica; conviene solo se lo stato è sufficiente; se lo stato coincide con la storia equivale alla PS nodo per nodo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35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Che cosa portiamo a casa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Sintesi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Quattro punti: la fattibilità del ricorso è il primo filtro; Q_s(x) è concava e lineare a tratti; l'EVPI misura l'informazione, il VSS il metodo; multistadio = ricorso a blocchi + non anticipatività. Next: Lezione 16, z^SP, z^WS e z^EV calcolati in Python sul caso SVB</w:t>
            </w:r>
          </w:p>
        </w:tc>
      </w:tr>
    </w:tbl>
    <w:p>
      <w:r>
        <w:pict>
          <v:rect id="_x0000_i1036" style="width:0;height:1.5pt" o:hralign="center" o:hrstd="t" o:hr="t" fillcolor="#a0a0a0" stroked="f"/>
        </w:pict>
      </w:r>
    </w:p>
    <w:p>
      <w:pPr>
        <w:rPr>
          <w:b/>
          <w:bCs/>
          <w:lang w:val="it-IT"/>
        </w:rPr>
      </w:pPr>
      <w:r>
        <w:rPr>
          <w:b/>
          <w:bCs/>
          <w:lang w:val="it-IT"/>
        </w:rPr>
        <w:t xml:space="preserve">Note operative</w:t>
      </w:r>
    </w:p>
    <w:p>
      <w:pPr>
        <w:rPr>
          <w:lang w:val="it-IT"/>
        </w:rPr>
      </w:pPr>
      <w:r>
        <w:rPr>
          <w:b/>
          <w:bCs/>
          <w:lang w:val="it-IT"/>
        </w:rPr>
        <w:t xml:space="preserve">Snodi da non sacrificare:</w:t>
      </w:r>
      <w:r>
        <w:rPr>
          <w:lang w:val="it-IT"/>
        </w:rPr>
        <w:t xml:space="preserve"> slide 8 (tre regioni di ammissibilità), 15 (z^EV non è l'ottimo medio), 19–20 (0.39 contro 0.20), 23 (non anticipatività), 28 (indici j e k), 31 (stato ≠ storia).</w:t>
      </w:r>
    </w:p>
    <w:p>
      <w:pPr>
        <w:rPr>
          <w:lang w:val="it-IT"/>
        </w:rPr>
      </w:pPr>
      <w:r>
        <w:rPr>
          <w:b/>
          <w:bCs/>
          <w:lang w:val="it-IT"/>
        </w:rPr>
        <w:t xml:space="preserve">Recupero del tempo, nell'ordine:</w:t>
      </w:r>
      <w:r>
        <w:rPr>
          <w:lang w:val="it-IT"/>
        </w:rPr>
        <w:t xml:space="preserve"> ridurre la slide 11 a un commento sulla figura; nell'Esercizio svolto 3 svolgere direttamente le richieste 3–4; limitare la slide 32 a W_s,3,2; ridurre la slide 34 alla programmazione robusta, rinviando la PDS al Manuale.</w:t>
      </w:r>
    </w:p>
    <w:p>
      <w:pPr>
        <w:rPr>
          <w:lang w:val="it-IT"/>
        </w:rPr>
      </w:pPr>
      <w:r>
        <w:rPr>
          <w:b/>
          <w:bCs/>
          <w:lang w:val="it-IT"/>
        </w:rPr>
        <w:t xml:space="preserve">Numeri da avere in testa:</w:t>
      </w:r>
      <w:r>
        <w:rPr>
          <w:lang w:val="it-IT"/>
        </w:rPr>
        <w:t xml:space="preserve"> soglie 2.5 e 5 · Q₂(2 000) = −72, punto angoloso a 5 000 · x^SP = (6, 4), z^SP = 0.26 · z^WS = 0.38 · x^EV = (0, 10), ottimo medio 0.39, z^EV = 0.20 · EVPI = 0.12, VSS = 0.06 · p₁ = 0.24, P(A, C₁) = 0.30 · 8⁴ = 4096.</w:t>
      </w:r>
    </w:p>
    <w:p>
      <w:pPr>
        <w:rPr>
          <w:lang w:val="it-IT"/>
        </w:rPr>
      </w:pPr>
      <w:r>
        <w:rPr>
          <w:b/>
          <w:bCs/>
          <w:lang w:val="it-IT"/>
        </w:rPr>
        <w:t xml:space="preserve">Rinvii dichiarati:</w:t>
      </w:r>
      <w:r>
        <w:rPr>
          <w:lang w:val="it-IT"/>
        </w:rPr>
        <w:t xml:space="preserve"> calibrazione di a_tj(·), soluzione numerica del caso SVB e calcolo di SP, WS ed EV in Python → Lezione 16.</w:t>
      </w:r>
    </w:p>
    <w:p>
      <w:pPr>
        <w:rPr>
          <w:lang w:val="it-IT"/>
        </w:rPr>
      </w:pPr>
      <w:r>
        <w:rPr>
          <w:b/>
          <w:bCs/>
          <w:lang w:val="it-IT"/>
        </w:rPr>
        <w:t xml:space="preserve">Convenzione di segno:</w:t>
      </w:r>
      <w:r>
        <w:rPr>
          <w:lang w:val="it-IT"/>
        </w:rPr>
        <w:t xml:space="preserve"> le slides seguono il capitolo, in massimizzazione (EVPI = z^WS − z^SP, VSS = z^SP − z^EV); la Notazione riporta la forma di minimo. Pronti a chiarirlo se uno studente la consulta.</w:t>
      </w:r>
    </w:p>
    <w:p>
      <w:pPr>
        <w:rPr>
          <w:lang w:val="it-IT"/>
        </w:rPr>
      </w:pPr>
      <w:r>
        <w:rPr>
          <w:b/>
          <w:bCs/>
          <w:lang w:val="it-IT"/>
        </w:rPr>
        <w:t xml:space="preserve">Materiale di back-up (da produrre):</w:t>
      </w:r>
      <w:r>
        <w:rPr>
          <w:lang w:val="it-IT"/>
        </w:rPr>
        <w:t xml:space="preserve"> matrici degli stadi 2 e 4 del caso SVB; dimensioni delle matrici (n_x, d_j, m_k; d_j distinto da n_j); problema medio multistadio per esteso.</w:t>
      </w:r>
    </w:p>
    <w:sectPr w:rsidR="00384733" w:rsidRPr="00EA16E6" w:rsidSect="00894F4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6E6"/>
    <w:rsid w:val="00384733"/>
    <w:rsid w:val="00792BBD"/>
    <w:rsid w:val="00894F4F"/>
    <w:rsid w:val="008F36E7"/>
    <w:rsid w:val="00926F5A"/>
    <w:rsid w:val="009A50F7"/>
    <w:rsid w:val="009E1633"/>
    <w:rsid w:val="00EA16E6"/>
    <w:rsid w:val="00F86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E7A05C"/>
  <w15:chartTrackingRefBased/>
  <w15:docId w15:val="{43998A40-EA73-429F-B239-A89BCBF6D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6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1862</Words>
  <Characters>10619</Characters>
  <Application>Microsoft Office Word</Application>
  <DocSecurity>0</DocSecurity>
  <Lines>88</Lines>
  <Paragraphs>24</Paragraphs>
  <ScaleCrop>false</ScaleCrop>
  <Company/>
  <LinksUpToDate>false</LinksUpToDate>
  <CharactersWithSpaces>12457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Lezione 15 - Programmazione stocastica II - Scaletta-promemoria</dc:title>
  <dc:subject/>
  <dc:creator>Paolo Stefano FALBO</dc:creator>
  <cp:keywords/>
  <dc:description/>
  <cp:lastModifiedBy>Paolo Stefano FALBO</cp:lastModifiedBy>
  <cp:revision>1</cp:revision>
  <dcterms:created xsi:type="dcterms:W3CDTF">2026-10-11T09:30:00Z</dcterms:created>
  <dcterms:modified xsi:type="dcterms:W3CDTF">2026-10-11T09:30:00Z</dcterms:modified>
</cp:coreProperties>
</file>