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8"/>
          <w:szCs w:val="28"/>
        </w:rPr>
        <w:t xml:space="preserve">Scaletta-promemoria — Lezione 9: Catene di Markov e misure di rischio</w:t>
      </w:r>
    </w:p>
    <w:p>
      <w:pPr>
        <w:spacing w:after="120"/>
      </w:pPr>
      <w:r>
        <w:rPr>
          <w:b/>
          <w:bCs/>
        </w:rPr>
        <w:t xml:space="preserve">Versione aggiornata. </w:t>
      </w:r>
      <w:r>
        <w:t xml:space="preserve">Sostituisce la scaletta precedente (31 slide). Recepisce: sdoppiamento del blocco CDS, chiarimento sulle convenzioni di pagamento dei premi (posticipati vs upfront), figura dello spread equo ricalcolata sul caso guida, sezione back-up con separatore.</w:t>
      </w:r>
    </w:p>
    <w:p>
      <w:pPr>
        <w:spacing w:after="120" w:before="220"/>
      </w:pPr>
      <w:r>
        <w:rPr>
          <w:b/>
          <w:bCs/>
        </w:rPr>
        <w:t xml:space="preserve">Struttura complessiva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Totale: </w:t>
      </w:r>
      <w:r>
        <w:t xml:space="preserve">34 slide di lezione + 1 separatore “Back-up” + 5 back-up = 40 frame.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Catena della lezione: Pʰ → Lₕ → VaR → CVaR → CDS (misurare, poi trasferire).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Budget 120′ effettivi + 15′ di pausa. Filo conduttore: “un solo numero non basta” (slide 3 → 16 → 21 → 26 → 33).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Fuori dalla lezione (contorno istituzionale, per decisione di configurazione): IFRS 9, capitale prudenziale, stress testing, rischio di modello, tranche, portafoglio esteso. UL/varianza ridotta a cenno.</w:t>
      </w:r>
    </w:p>
    <w:p>
      <w:pPr>
        <w:spacing w:after="120" w:before="220"/>
      </w:pPr>
      <w:r>
        <w:rPr>
          <w:b/>
          <w:bCs/>
        </w:rPr>
        <w:t xml:space="preserve">Tre set numerici distinti — tenere separati in aula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Caso guida (§4.2 / slide 13): </w:t>
      </w:r>
      <w:r>
        <w:t xml:space="preserve">perdite −3, 0, 8, 60 su masse 0.08, 0.75, 0.14, 0.03. EL = 2.68; VaR = 8; CVaR = 39.2.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Esercizio A (slide 14): </w:t>
      </w:r>
      <w:r>
        <w:t xml:space="preserve">perdite −4, 0, 10, 55 su masse 0.05, 0.78, 0.14, 0.03. EL = 2.85.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Contratto CDS sul caso guida (slide 31): </w:t>
      </w:r>
      <w:r>
        <w:t xml:space="preserve">stessa distribuzione del caso guida ma sotto ℚ (riga 0.075, 0.745, 0.145, 0.035); R = 0.40, d₁ = 1/1.05; PV_prot = 2, s* = 200 pb.</w:t>
      </w:r>
    </w:p>
    <w:p>
      <w:pPr>
        <w:spacing w:after="120" w:before="220"/>
      </w:pPr>
      <w:r>
        <w:rPr>
          <w:b/>
          <w:bCs/>
        </w:rPr>
        <w:t xml:space="preserve">Gruppo 1 — Apertura (slide 1–4) · 8′ · cum 8′</w:t>
      </w:r>
    </w:p>
    <w:p>
      <w:pPr>
        <w:spacing w:after="120"/>
      </w:pPr>
      <w:r>
        <w:t xml:space="preserve">Frontespizio; dalla dinamica dei rating alla perdita (πₕ = π₀Pʰ); due esposizioni A/B con stessa PD 3%, downgrade 0.15 vs 0.02; percorso in 4 punti + “misurare, poi trasferire”.</w:t>
      </w:r>
    </w:p>
    <w:p>
      <w:pPr>
        <w:spacing w:after="120" w:before="220"/>
      </w:pPr>
      <w:r>
        <w:rPr>
          <w:b/>
          <w:bCs/>
        </w:rPr>
        <w:t xml:space="preserve">Gruppo 2 — Struttura temporale del default (slide 5–8) · 12′ · cum 20′</w:t>
      </w:r>
    </w:p>
    <w:p>
      <w:pPr>
        <w:spacing w:after="120"/>
      </w:pPr>
      <w:r>
        <w:t xml:space="preserve">τ_D e stato assorbente; PD cumulativa (Pʰ)_iD con avvertenza su ℙ(Xₕ=D); tavola cumulativa/marginale/sopravvivenza + relazioni, semina CDS; figura term structure (lettura 1–2′).</w:t>
      </w:r>
    </w:p>
    <w:p>
      <w:pPr>
        <w:spacing w:after="120" w:before="220"/>
      </w:pPr>
      <w:r>
        <w:rPr>
          <w:b/>
          <w:bCs/>
        </w:rPr>
        <w:t xml:space="preserve">Gruppo 3 — Dalle probabilità alle conseguenze; distribuzione della perdita (slide 9–15) · 28′ · cum 48′</w:t>
      </w:r>
    </w:p>
    <w:p>
      <w:pPr>
        <w:spacing w:after="120"/>
      </w:pPr>
      <w:r>
        <w:t xml:space="preserve">PD/LGD/EAD/R; perdita da default e migrazione; default-only vs migration-based (ritorno su A/B); Lₕ e convenzione sul segno; caso guida (tabella); Esercizio A (10′ + debrief con figura).</w:t>
      </w:r>
    </w:p>
    <w:p>
      <w:pPr>
        <w:spacing w:after="120"/>
      </w:pPr>
      <w:r>
        <w:rPr>
          <w:b/>
          <w:bCs/>
        </w:rPr>
        <w:t xml:space="preserve">Debrief Es. A: </w:t>
      </w:r>
      <w:r>
        <w:t xml:space="preserve">F = 0.05, 0.83, 0.97, 1.00; EL = 2.85; massa dominante in L=0; −4 = guadagno da upgrade; asimmetria 55×0.03 → ponte a “EL non basta”.</w:t>
      </w:r>
    </w:p>
    <w:p>
      <w:pPr>
        <w:spacing w:after="120" w:before="220"/>
      </w:pPr>
      <w:r>
        <w:rPr>
          <w:b/>
          <w:bCs/>
        </w:rPr>
        <w:t xml:space="preserve">Pausa — 15′ · cum 63′</w:t>
      </w:r>
    </w:p>
    <w:p>
      <w:pPr>
        <w:spacing w:after="120" w:before="220"/>
      </w:pPr>
      <w:r>
        <w:rPr>
          <w:b/>
          <w:bCs/>
        </w:rPr>
        <w:t xml:space="preserve">Gruppo 4 — EL, quantili, VaR (slide 16–20) · 20′ · cum 83′</w:t>
      </w:r>
    </w:p>
    <w:p>
      <w:pPr>
        <w:spacing w:after="120"/>
      </w:pPr>
      <w:r>
        <w:t xml:space="preserve">EL con EL₂(1)=2.68 e cenno alla dispersione; quantili discreti (ricetta: ordinare le perdite, non i codici); lettura grafica q_0.95=8 + instabilità del quantile; VaR come quantile; orizzonte/confidenza (incompleta vs corretta).</w:t>
      </w:r>
    </w:p>
    <w:p>
      <w:pPr>
        <w:spacing w:after="120" w:before="220"/>
      </w:pPr>
      <w:r>
        <w:rPr>
          <w:b/>
          <w:bCs/>
        </w:rPr>
        <w:t xml:space="preserve">Gruppo 5 — CVaR con Esercizio B (slide 21–26) · 22′ · cum 105′</w:t>
      </w:r>
    </w:p>
    <w:p>
      <w:pPr>
        <w:spacing w:after="120"/>
      </w:pPr>
      <w:r>
        <w:t xml:space="preserve">Cosa il VaR non vede; Esercizio B (10′); debrief; definizione CVaR (ES=CVaR); massa nel punto di VaR (39.2, errore 17.18); tabella VaR/CVaR (A/B: 10/10, 36/84).</w:t>
      </w:r>
    </w:p>
    <w:p>
      <w:pPr>
        <w:spacing w:after="120"/>
      </w:pPr>
      <w:r>
        <w:rPr>
          <w:b/>
          <w:bCs/>
        </w:rPr>
        <w:t xml:space="preserve">Debrief Es. B: </w:t>
      </w:r>
      <w:r>
        <w:t xml:space="preserve">F_A=(0.90,0.95,0.99,1.00), F_B=(0.90,0.95,0.96,1.00); VaR=10 per entrambe; code 0.01 vs 0.04 in λ=100; CVaR_A=36, CVaR_B=84. Finezza: in Es. B la massa nel punto di VaR inclusa nella coda è zero (F(10)=α), a differenza del caso guida (0.02).</w:t>
      </w:r>
    </w:p>
    <w:p>
      <w:pPr>
        <w:spacing w:after="120" w:before="220"/>
      </w:pPr>
      <w:r>
        <w:rPr>
          <w:b/>
          <w:bCs/>
        </w:rPr>
        <w:t xml:space="preserve">Gruppo 6 — CDS e copertura (slide 27–33) · 28′ · cum 133′</w:t>
      </w:r>
    </w:p>
    <w:p>
      <w:pPr>
        <w:spacing w:after="120"/>
      </w:pPr>
      <w:r>
        <w:t xml:space="preserve">Sette slide, il blocco più rielaborato rispetto alla prima scaletta: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Slide 27 — Misurare o prezzare: snodo ℙ/ℚ (pesi ≠ frequenze).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Slide 28 — Contratto CDS e gamba di protezione: struttura in prosa, PV_prot con marginali sotto ℚ.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Slide 29 — Gamba dei premi e spread equo: formula generale, dichiarata “premi POSTICIPATI” (standard di mercato). Frazione con \displaystyle.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Slide 30 — Il caso guida sotto la misura di pricing: tabella ℙ/ℚ; premio UPFRONT (coefficiente = 1 perché d₀=1, S(0)=1); PV_prot=2, s*=200 pb. La riga “upfront: PV_prem=sN” resta in-slide (regge il ponte anche col back-up spostato).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Slide 31 — Lo spread equo come punto di equilibrio: figura Cap09_CDS_equilibrio_gambe_caso_guida.png (asse “Premio upfront”, s*=200 pb); segno del contratto ai due lati di s*.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Slide 32 — La posizione coperta: L_hedged, figura CDF; collasso default/invariato su L=2 (0.75+0.03=0.78); N_CDS/R_CDS come parametri del contratto.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Slide 33 — Che cosa la copertura non elimina: cinque punti; chiusa sul confronto tra distribuzioni complete.</w:t>
      </w:r>
    </w:p>
    <w:p>
      <w:pPr>
        <w:spacing w:after="120" w:before="220"/>
      </w:pPr>
      <w:r>
        <w:rPr>
          <w:b/>
          <w:bCs/>
        </w:rPr>
        <w:t xml:space="preserve">Gruppo 7 — Sintesi e raccordo (slide 34) · 5′ · cum 138′</w:t>
      </w:r>
    </w:p>
    <w:p>
      <w:pPr>
        <w:spacing w:after="120"/>
      </w:pPr>
      <w:r>
        <w:t xml:space="preserve">Box catena su due righe (ℙ/ℚ a pedice del CDS, spezzato per non sforare); portafoglio in una riga; quattro passi della simulazione; raccordo Lez. 10.</w:t>
      </w:r>
    </w:p>
    <w:p>
      <w:pPr>
        <w:spacing w:after="120" w:before="220"/>
      </w:pPr>
      <w:r>
        <w:rPr>
          <w:b/>
          <w:bCs/>
        </w:rPr>
        <w:t xml:space="preserve">Back-up (separatore + 5 slide)</w:t>
      </w:r>
    </w:p>
    <w:p>
      <w:pPr>
        <w:spacing w:after="120"/>
      </w:pPr>
      <w:r>
        <w:t xml:space="preserve">Slide separatore con titolo centrale “Back-up”. Estrarre per posizione: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B1 — Probabilità condizionata di default (Gruppo 2): q_i(h)=PD_marg/S(h−1); ≠ p_iD; analogo del tasso di mortalità attuariale.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B2 — Capitale economico (Gruppo 4): EC = VaR − EL = 8 − 2.68 = 5.32; EL costo/accantonamenti, EC rischio/capitale.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B3 — CVaR come problema di minimo (Gruppo 5): verifica η=8 → 8 + 31.2 = 39.2; forma per l’ottimizzazione (Lez. 12–16).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B4 — Matrice P^ℚ e pricing (Gruppo 6): V₀ = E_ℚ[Σ D(0,t)C_t]; P^ℙ ≠ P^ℚ.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B5 — Come si pagano i premi nella pratica (Gruppo 6): date IMM trimestrali posticipate, rateo al default, riforma 2009 (cedola fissa + upfront). Spostata qui su richiesta; è il dettaglio istituzionale dietro la slide 29–30.</w:t>
      </w:r>
    </w:p>
    <w:p>
      <w:pPr>
        <w:spacing w:after="120" w:before="220"/>
      </w:pPr>
      <w:r>
        <w:rPr>
          <w:b/>
          <w:bCs/>
        </w:rPr>
        <w:t xml:space="preserve">Convenzioni di pagamento dei premi — il punto delicato</w:t>
      </w:r>
    </w:p>
    <w:p>
      <w:pPr>
        <w:spacing w:after="120"/>
      </w:pPr>
      <w:r>
        <w:rPr>
          <w:b/>
          <w:bCs/>
        </w:rPr>
        <w:t xml:space="preserve">Storia della questione, per non ricascarci in aula. </w:t>
      </w:r>
      <w:r>
        <w:t xml:space="preserve">La formula generale (slide 29) è quella dei premi POSTICIPATI, che è lo standard di mercato reale (verificato: pagamenti trimestrali in arretrato alle date IMM, rateo dovuto al default). Il caso guida usa invece un premio UPFRONT (versato in t=0), che dal 2009 esiste come convenzione di mercato. Con H=1 il coefficiente della gamba dei premi vale 1, non sparisce: d₀=1 e ℚ(τ_D&gt;0)=S(0)=1.</w:t>
      </w:r>
    </w:p>
    <w:p>
      <w:pPr>
        <w:spacing w:after="120"/>
      </w:pPr>
      <w:r>
        <w:rPr>
          <w:b/>
          <w:bCs/>
        </w:rPr>
        <w:t xml:space="preserve">Domanda-trappola prevedibile: </w:t>
      </w:r>
      <w:r>
        <w:t xml:space="preserve">“dov’è finito il denominatore?” → risposta secca: “c’è, e vale 1”. Aggancio didattico: principio di adattabilità (Lez. 5) — un pagamento può dipendere solo dall’informazione disponibile alla sua data.</w:t>
      </w:r>
    </w:p>
    <w:p>
      <w:pPr>
        <w:spacing w:after="120"/>
      </w:pPr>
      <w:r>
        <w:rPr>
          <w:b/>
          <w:bCs/>
        </w:rPr>
        <w:t xml:space="preserve">Formule corrette (posticipato vs anticipato), per il capitolo: </w:t>
      </w:r>
      <w:r>
        <w:t xml:space="preserve">posticipato Σ d_h ℚ(τ_D&gt;h); anticipato Σ d_{h−1} ℚ(τ_D&gt;h−1). Sfasano insieme sconto e sopravvivenza. L’upfront a un periodo è il caso anticipato/upfront con l’unico termine in t=0.</w:t>
      </w:r>
    </w:p>
    <w:p>
      <w:pPr>
        <w:spacing w:after="120" w:before="220"/>
      </w:pPr>
      <w:r>
        <w:rPr>
          <w:b/>
          <w:bCs/>
        </w:rPr>
        <w:t xml:space="preserve">Promemoria di compilazione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Regola SW5.5: niente </w:t>
      </w:r>
      <w:r>
        <w:rPr>
          <w:i/>
          <w:iCs/>
        </w:rPr>
        <w:t xml:space="preserve">columns</w:t>
      </w:r>
      <w:r>
        <w:t xml:space="preserve"> (usano \unskip in vertical mode) → affiancamenti sempre con </w:t>
      </w:r>
      <w:r>
        <w:rPr>
          <w:i/>
          <w:iCs/>
        </w:rPr>
        <w:t xml:space="preserve">minipage</w:t>
      </w:r>
      <w:r>
        <w:t xml:space="preserve">. Se una formula non sta in mezza colonna, sdoppiare la slide invece di comprimere.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Niente comandi di corpo (\small, \footnotesize) dentro \[...\]: in math mode usare \scriptstyle/\displaystyle o spostare il testo fuori.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Ogni frame deve chiudere con la tripletta \transboxout + \end{frame} tra i marcatori (memoria dell’errore “File ended while scanning” della Lez. 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Titolo breve del mazzo: aggiornare \title[...]{...} — la footline mostra ancora “Catene di Markov: definizioni e proprietà” (ereditato dalla Lez. 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Tarature altezza figure da verificare: slide 8 (term structure, ridurre a ~5.4cm: chiusa tagliata), 15 (Es. A), 18 (CDF/quantile: deduzione sborda a destra, spezzare l’implicazione su riga propria), 25 (massa nel punto di VaR, sorvegliata speciale: errore-da-evitare schiacciato; piano B in back-up), 32 (CDF coperta).</w:t>
      </w:r>
    </w:p>
    <w:p>
      <w:pPr>
        <w:spacing w:after="120" w:before="220"/>
      </w:pPr>
      <w:r>
        <w:rPr>
          <w:b/>
          <w:bCs/>
        </w:rPr>
        <w:t xml:space="preserve">Punch list — interventi ancora aperti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Slide 32 (posizione coperta): aggiungere la riga su N_CDS/R_CDS (parametri del contratto) e le due righe di derivazione −3→−1, 0→2, 8→10, 60→2 con il collasso default/invariato su 2.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Fix di compilazione slide 8, 18, 25 (vedi tarature sopra).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Capitolo §11: inserire convenzione posticipati + caso upfront (fine §11.3); esempio numerico sul caso guida con figura s* (coda §11.4, label fig:cap09-cds-equilibrio-caso-guida); nota riforma 2009 (dentro “Ipotesi semplificatrici”); agganciare C_premi = s*N = 2 nel §12.3.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Capitolo: convertire \E^{\Q} (2) e \E^{\Prob} (34) in \E_{\Q} / \E_{\Prob}. LASCIARE VaR/CVaR con misura ad apice (14 occorrenze): il pedice è già occupato dal livello α.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MQF_Notazione.tex: inserire sezione rischio di credito e risk-neutral (τ_D, PD cum/marg/S, PD/LGD/EAD/R, s e s*, PV_prot/PV_prem, L_hedged; ℚ operatore, P^ℚ etichetta, E sempre a pedice, regola E vs VaR/CVaR). Correggere Stato Avanzamento: Cap. 9 ha 4 esercizi svolti + 5 proposti (non 3+6).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Master Plan, scheda Lez. 9: aggiungere CDS e snodo ℙ/ℚ agli obiettivi; figura Cap09_CDS_equilibrio_gambe_caso_guida.png ai grafici previsti; ritocco domanda guida (“…e valutarne la copertura”).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Copiare Cap09_CDS_equilibrio_gambe_caso_guida.py in 04_Codice/Lez09/ del repository.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Annotare nella verifica di allineamento le deviazioni consegna-slide vs capitolo (Es. A: 4 punti su 7; Es. B: CVaR spostato a payoff).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–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2026-07-27T08:42:02.523Z</dcterms:created>
  <dcterms:modified xsi:type="dcterms:W3CDTF">2026-07-27T08:42:02.524Z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