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>
      <w:pPr>
        <w:spacing w:after="80"/>
        <w:jc w:val="left"/>
      </w:pPr>
      <w:r>
        <w:rPr>
          <w:rFonts w:ascii="Calibri" w:hAnsi="Calibri"/>
          <w:b/>
          <w:color w:val="1B2A4A"/>
          <w:sz w:val="56"/>
        </w:rPr>
        <w:t>Entity Relationship Diagram</w:t>
      </w:r>
    </w:p>
    <w:p>
      <w:pPr>
        <w:jc w:val="left"/>
      </w:pPr>
      <w:r>
        <w:rPr>
          <w:color w:val="009688"/>
          <w:sz w:val="28"/>
        </w:rPr>
        <w:t>━━━━━━━━━━━━━━━━━━━━━━━━━━━━━━━━━━━━━━━━</w:t>
      </w:r>
    </w:p>
    <w:p/>
    <w:p>
      <w:pPr>
        <w:spacing w:after="40"/>
        <w:jc w:val="left"/>
      </w:pPr>
      <w:r>
        <w:rPr>
          <w:b/>
          <w:color w:val="1B2A4A"/>
          <w:sz w:val="20"/>
        </w:rPr>
        <w:t xml:space="preserve">Project: </w:t>
      </w:r>
      <w:r>
        <w:rPr>
          <w:color w:val="333333"/>
          <w:sz w:val="20"/>
        </w:rPr>
        <w:t>Cebuana Lhuillier Parking Reservation System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Version: </w:t>
      </w:r>
      <w:r>
        <w:rPr>
          <w:color w:val="333333"/>
          <w:sz w:val="20"/>
        </w:rPr>
        <w:t>1.0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Date: </w:t>
      </w:r>
      <w:r>
        <w:rPr>
          <w:color w:val="333333"/>
          <w:sz w:val="20"/>
        </w:rPr>
        <w:t>February 22, 2026</w:t>
      </w:r>
    </w:p>
    <w:p>
      <w:pPr>
        <w:spacing w:after="40"/>
        <w:jc w:val="left"/>
      </w:pPr>
      <w:r>
        <w:rPr>
          <w:b/>
          <w:color w:val="1B2A4A"/>
          <w:sz w:val="20"/>
        </w:rPr>
        <w:t xml:space="preserve">Classification: </w:t>
      </w:r>
      <w:r>
        <w:rPr>
          <w:color w:val="333333"/>
          <w:sz w:val="20"/>
        </w:rPr>
        <w:t>Internal — Confidential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1B2A4A"/>
          <w:sz w:val="36"/>
        </w:rPr>
        <w:t>Table of Contents</w:t>
      </w:r>
    </w:p>
    <w:p>
      <w:pPr>
        <w:spacing w:after="240"/>
      </w:pPr>
      <w:r>
        <w:rPr>
          <w:color w:val="009688"/>
          <w:sz w:val="20"/>
        </w:rPr>
        <w:t>━━━━━━━━━━━━━━━━━━━━━━━━━━━━━━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666666"/>
          <w:sz w:val="18"/>
        </w:rPr>
        <w:t>Right-click and select 'Update Field' to populate the Table of Contents.</w:t>
      </w:r>
      <w:r>
        <w:fldChar w:fldCharType="end"/>
      </w:r>
    </w:p>
    <w:p>
      <w:r>
        <w:br w:type="page"/>
      </w:r>
    </w:p>
    <w:p>
      <w:pPr>
        <w:ind w:left="567"/>
        <w:shd w:val="clear" w:color="auto" w:fill="E8F5E9"/>
      </w:pPr>
      <w:r>
        <w:rPr>
          <w:i/>
          <w:color w:val="666666"/>
          <w:sz w:val="20"/>
        </w:rPr>
        <w:t>The ERD below is **database-agnostic**: the same entities exist in both MongoDB (collections) and Couchbase (collections inside the `_default` scope of bucket `db_parking`). The DB Abstraction Layer keeps the application code identical against either backend.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ERD (Mermaid)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25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5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66666"/>
          <w:sz w:val="18"/>
        </w:rPr>
        <w:t>ERD (Mermaid)</w:t>
      </w:r>
    </w:p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Index Summary</w:t>
      </w:r>
    </w:p>
    <w:p>
      <w:r>
        <w:rPr>
          <w:rFonts w:ascii="Calibri" w:hAnsi="Calibri"/>
        </w:rPr>
        <w:t>The same logical indexes are present on both DB backends; the abstraction layer maps them to the appropriate primitive (MongoDB index spec / Couchbase GSI).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Collection</w:t>
            </w:r>
          </w:p>
        </w:tc>
        <w:tc>
          <w:tcPr>
            <w:tcW w:type="dxa" w:w="4703"/>
            <w:shd w:fill="1B2A4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Indexes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users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id</w:t>
            </w:r>
            <w:r>
              <w:rPr>
                <w:rFonts w:ascii="Calibri" w:hAnsi="Calibri"/>
                <w:sz w:val="19"/>
              </w:rPr>
              <w:t xml:space="preserve"> (unique), </w:t>
            </w:r>
            <w:r>
              <w:rPr>
                <w:rFonts w:ascii="Calibri" w:hAnsi="Calibri"/>
                <w:color w:val="C7254E"/>
                <w:sz w:val="19"/>
              </w:rPr>
              <w:t>email</w:t>
            </w:r>
            <w:r>
              <w:rPr>
                <w:rFonts w:ascii="Calibri" w:hAnsi="Calibri"/>
                <w:sz w:val="19"/>
              </w:rPr>
              <w:t xml:space="preserve"> (unique)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sessions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id</w:t>
            </w:r>
            <w:r>
              <w:rPr>
                <w:rFonts w:ascii="Calibri" w:hAnsi="Calibri"/>
                <w:sz w:val="19"/>
              </w:rPr>
              <w:t xml:space="preserve"> (unique), </w:t>
            </w:r>
            <w:r>
              <w:rPr>
                <w:rFonts w:ascii="Calibri" w:hAnsi="Calibri"/>
                <w:color w:val="C7254E"/>
                <w:sz w:val="19"/>
              </w:rPr>
              <w:t>user_id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reservations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id</w:t>
            </w:r>
            <w:r>
              <w:rPr>
                <w:rFonts w:ascii="Calibri" w:hAnsi="Calibri"/>
                <w:sz w:val="19"/>
              </w:rPr>
              <w:t xml:space="preserve"> (unique), </w:t>
            </w:r>
            <w:r>
              <w:rPr>
                <w:rFonts w:ascii="Calibri" w:hAnsi="Calibri"/>
                <w:color w:val="C7254E"/>
                <w:sz w:val="19"/>
              </w:rPr>
              <w:t>user_id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building_id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slot_id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date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qr_token</w:t>
            </w:r>
            <w:r>
              <w:rPr>
                <w:rFonts w:ascii="Calibri" w:hAnsi="Calibri"/>
                <w:sz w:val="19"/>
              </w:rPr>
              <w:t>, compound(</w:t>
            </w:r>
            <w:r>
              <w:rPr>
                <w:rFonts w:ascii="Calibri" w:hAnsi="Calibri"/>
                <w:color w:val="C7254E"/>
                <w:sz w:val="19"/>
              </w:rPr>
              <w:t>slot_id+date+status</w:t>
            </w:r>
            <w:r>
              <w:rPr>
                <w:rFonts w:ascii="Calibri" w:hAnsi="Calibri"/>
                <w:sz w:val="19"/>
              </w:rPr>
              <w:t>), compound(</w:t>
            </w:r>
            <w:r>
              <w:rPr>
                <w:rFonts w:ascii="Calibri" w:hAnsi="Calibri"/>
                <w:color w:val="C7254E"/>
                <w:sz w:val="19"/>
              </w:rPr>
              <w:t>status+date+slot_released</w:t>
            </w:r>
            <w:r>
              <w:rPr>
                <w:rFonts w:ascii="Calibri" w:hAnsi="Calibri"/>
                <w:sz w:val="19"/>
              </w:rPr>
              <w:t>)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id</w:t>
            </w:r>
            <w:r>
              <w:rPr>
                <w:rFonts w:ascii="Calibri" w:hAnsi="Calibri"/>
                <w:sz w:val="19"/>
              </w:rPr>
              <w:t xml:space="preserve"> (unique)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floors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id</w:t>
            </w:r>
            <w:r>
              <w:rPr>
                <w:rFonts w:ascii="Calibri" w:hAnsi="Calibri"/>
                <w:sz w:val="19"/>
              </w:rPr>
              <w:t xml:space="preserve"> (unique), </w:t>
            </w:r>
            <w:r>
              <w:rPr>
                <w:rFonts w:ascii="Calibri" w:hAnsi="Calibri"/>
                <w:color w:val="C7254E"/>
                <w:sz w:val="19"/>
              </w:rPr>
              <w:t>building_id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parking_slots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id</w:t>
            </w:r>
            <w:r>
              <w:rPr>
                <w:rFonts w:ascii="Calibri" w:hAnsi="Calibri"/>
                <w:sz w:val="19"/>
              </w:rPr>
              <w:t xml:space="preserve"> (unique), </w:t>
            </w:r>
            <w:r>
              <w:rPr>
                <w:rFonts w:ascii="Calibri" w:hAnsi="Calibri"/>
                <w:color w:val="C7254E"/>
                <w:sz w:val="19"/>
              </w:rPr>
              <w:t>floor_id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vehicles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id</w:t>
            </w:r>
            <w:r>
              <w:rPr>
                <w:rFonts w:ascii="Calibri" w:hAnsi="Calibri"/>
                <w:sz w:val="19"/>
              </w:rPr>
              <w:t xml:space="preserve"> (unique), </w:t>
            </w:r>
            <w:r>
              <w:rPr>
                <w:rFonts w:ascii="Calibri" w:hAnsi="Calibri"/>
                <w:color w:val="C7254E"/>
                <w:sz w:val="19"/>
              </w:rPr>
              <w:t>user_id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plate_number</w:t>
            </w:r>
            <w:r>
              <w:rPr>
                <w:rFonts w:ascii="Calibri" w:hAnsi="Calibri"/>
                <w:sz w:val="19"/>
              </w:rPr>
              <w:t xml:space="preserve"> (unique)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zones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id</w:t>
            </w:r>
            <w:r>
              <w:rPr>
                <w:rFonts w:ascii="Calibri" w:hAnsi="Calibri"/>
                <w:sz w:val="19"/>
              </w:rPr>
              <w:t xml:space="preserve"> (unique)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notifications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id</w:t>
            </w:r>
            <w:r>
              <w:rPr>
                <w:rFonts w:ascii="Calibri" w:hAnsi="Calibri"/>
                <w:sz w:val="19"/>
              </w:rPr>
              <w:t xml:space="preserve"> (unique), compound(</w:t>
            </w:r>
            <w:r>
              <w:rPr>
                <w:rFonts w:ascii="Calibri" w:hAnsi="Calibri"/>
                <w:color w:val="C7254E"/>
                <w:sz w:val="19"/>
              </w:rPr>
              <w:t>user_id+created_at</w:t>
            </w:r>
            <w:r>
              <w:rPr>
                <w:rFonts w:ascii="Calibri" w:hAnsi="Calibri"/>
                <w:sz w:val="19"/>
              </w:rPr>
              <w:t>)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parking_configs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building_id</w:t>
            </w:r>
            <w:r>
              <w:rPr>
                <w:rFonts w:ascii="Calibri" w:hAnsi="Calibri"/>
                <w:sz w:val="19"/>
              </w:rPr>
              <w:t xml:space="preserve"> (unique)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building_policies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id</w:t>
            </w:r>
            <w:r>
              <w:rPr>
                <w:rFonts w:ascii="Calibri" w:hAnsi="Calibri"/>
                <w:sz w:val="19"/>
              </w:rPr>
              <w:t xml:space="preserve"> (unique), </w:t>
            </w:r>
            <w:r>
              <w:rPr>
                <w:rFonts w:ascii="Calibri" w:hAnsi="Calibri"/>
                <w:color w:val="C7254E"/>
                <w:sz w:val="19"/>
              </w:rPr>
              <w:t>building_id</w:t>
            </w:r>
            <w:r>
              <w:rPr>
                <w:rFonts w:ascii="Calibri" w:hAnsi="Calibri"/>
                <w:sz w:val="19"/>
              </w:rPr>
              <w:t xml:space="preserve"> (unique)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slot_registrations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id</w:t>
            </w:r>
            <w:r>
              <w:rPr>
                <w:rFonts w:ascii="Calibri" w:hAnsi="Calibri"/>
                <w:sz w:val="19"/>
              </w:rPr>
              <w:t xml:space="preserve"> (unique), compound(</w:t>
            </w:r>
            <w:r>
              <w:rPr>
                <w:rFonts w:ascii="Calibri" w:hAnsi="Calibri"/>
                <w:color w:val="C7254E"/>
                <w:sz w:val="19"/>
              </w:rPr>
              <w:t>slot_id+user_id+status</w:t>
            </w:r>
            <w:r>
              <w:rPr>
                <w:rFonts w:ascii="Calibri" w:hAnsi="Calibri"/>
                <w:sz w:val="19"/>
              </w:rPr>
              <w:t xml:space="preserve">), </w:t>
            </w:r>
            <w:r>
              <w:rPr>
                <w:rFonts w:ascii="Calibri" w:hAnsi="Calibri"/>
                <w:color w:val="C7254E"/>
                <w:sz w:val="19"/>
              </w:rPr>
              <w:t>vehicle_plate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event_blocks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id</w:t>
            </w:r>
            <w:r>
              <w:rPr>
                <w:rFonts w:ascii="Calibri" w:hAnsi="Calibri"/>
                <w:sz w:val="19"/>
              </w:rPr>
              <w:t xml:space="preserve"> (unique), compound(</w:t>
            </w:r>
            <w:r>
              <w:rPr>
                <w:rFonts w:ascii="Calibri" w:hAnsi="Calibri"/>
                <w:color w:val="C7254E"/>
                <w:sz w:val="19"/>
              </w:rPr>
              <w:t>building_id+date</w:t>
            </w:r>
            <w:r>
              <w:rPr>
                <w:rFonts w:ascii="Calibri" w:hAnsi="Calibri"/>
                <w:sz w:val="19"/>
              </w:rPr>
              <w:t>), compound(</w:t>
            </w:r>
            <w:r>
              <w:rPr>
                <w:rFonts w:ascii="Calibri" w:hAnsi="Calibri"/>
                <w:color w:val="C7254E"/>
                <w:sz w:val="19"/>
              </w:rPr>
              <w:t>floor_id+date</w:t>
            </w:r>
            <w:r>
              <w:rPr>
                <w:rFonts w:ascii="Calibri" w:hAnsi="Calibri"/>
                <w:sz w:val="19"/>
              </w:rPr>
              <w:t>)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waitlist_entries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id</w:t>
            </w:r>
            <w:r>
              <w:rPr>
                <w:rFonts w:ascii="Calibri" w:hAnsi="Calibri"/>
                <w:sz w:val="19"/>
              </w:rPr>
              <w:t xml:space="preserve"> (unique), compound(</w:t>
            </w:r>
            <w:r>
              <w:rPr>
                <w:rFonts w:ascii="Calibri" w:hAnsi="Calibri"/>
                <w:color w:val="C7254E"/>
                <w:sz w:val="19"/>
              </w:rPr>
              <w:t>building_id+preferred_date+status</w:t>
            </w:r>
            <w:r>
              <w:rPr>
                <w:rFonts w:ascii="Calibri" w:hAnsi="Calibri"/>
                <w:sz w:val="19"/>
              </w:rPr>
              <w:t>)</w:t>
            </w:r>
          </w:p>
        </w:tc>
      </w:tr>
      <w:tr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ai_insights</w:t>
            </w:r>
          </w:p>
        </w:tc>
        <w:tc>
          <w:tcPr>
            <w:tcW w:type="dxa" w:w="4703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id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alibri" w:hAnsi="Calibri"/>
                <w:color w:val="C7254E"/>
                <w:sz w:val="19"/>
              </w:rPr>
              <w:t>generated_at</w:t>
            </w:r>
          </w:p>
        </w:tc>
      </w:tr>
      <w:tr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site_content</w:t>
            </w:r>
          </w:p>
        </w:tc>
        <w:tc>
          <w:tcPr>
            <w:tcW w:type="dxa" w:w="4703"/>
            <w:shd w:fill="F0F4F8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color w:val="C7254E"/>
                <w:sz w:val="19"/>
              </w:rPr>
              <w:t>key</w:t>
            </w:r>
            <w:r>
              <w:rPr>
                <w:rFonts w:ascii="Calibri" w:hAnsi="Calibri"/>
                <w:sz w:val="19"/>
              </w:rPr>
              <w:t xml:space="preserve"> (unique)</w:t>
            </w:r>
          </w:p>
        </w:tc>
      </w:tr>
    </w:tbl>
    <w:p/>
    <w:p>
      <w:pPr>
        <w:spacing w:before="120" w:after="120"/>
      </w:pPr>
      <w:r>
        <w:rPr>
          <w:color w:val="DDDDDD"/>
          <w:sz w:val="12"/>
        </w:rPr>
        <w:t>━━━━━━━━━━━━━━━━━━━━━━━━━━━━━━━━━━━━━━━━━━━━━━━━━━</w:t>
      </w:r>
    </w:p>
    <w:sectPr w:rsidR="00FC693F" w:rsidRPr="0006063C" w:rsidSect="00034616"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Entity Relationship Diagram  |  Cebuana Lhuillier  |  Page </w:t>
    </w:r>
    <w:r>
      <w:fldChar w:fldCharType="begin"/>
    </w:r>
    <w:r>
      <w:instrText xml:space="preserve"> PAGE </w:instrText>
    </w:r>
    <w:r>
      <w:fldChar w:fldCharType="separate"/>
    </w:r>
    <w:r>
      <w:rPr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96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1B2A4A"/>
      <w:sz w:val="3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