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8263E"/>
        </w:rPr>
        <w:t>Software Requirements Specification</w:t>
      </w:r>
    </w:p>
    <w:p>
      <w:r>
        <w:rPr>
          <w:color w:val="518DCA"/>
          <w:sz w:val="22"/>
        </w:rPr>
        <w:t>FX Trading Tracker Platform  |  Version 2.0</w:t>
      </w:r>
    </w:p>
    <w:p>
      <w:r>
        <w:rPr>
          <w:sz w:val="16"/>
        </w:rPr>
        <w:t>Generated: 2026-08-24 08:11 UTC</w:t>
        <w:br/>
        <w:t>Classification: CONFIDENTIAL</w:t>
      </w:r>
    </w:p>
    <w:p>
      <w:r>
        <w:br w:type="page"/>
      </w:r>
    </w:p>
    <w:p>
      <w:pPr>
        <w:pStyle w:val="Heading1"/>
      </w:pPr>
      <w:r>
        <w:rPr>
          <w:color w:val="08263E"/>
        </w:rPr>
        <w:t>1. Introduction</w:t>
      </w:r>
    </w:p>
    <w:p>
      <w:r>
        <w:t>This SRS defines the technical requirements for the FX Trading Tracker, a web-based platform for FX deal ticket management with multi-role workflow, settlement proofs, reports, and audit logging.</w:t>
      </w:r>
    </w:p>
    <w:p>
      <w:r>
        <w:br w:type="page"/>
      </w:r>
    </w:p>
    <w:p>
      <w:pPr>
        <w:pStyle w:val="Heading1"/>
      </w:pPr>
      <w:r>
        <w:rPr>
          <w:color w:val="08263E"/>
        </w:rPr>
        <w:t>2. System Architecture</w:t>
      </w:r>
    </w:p>
    <w:p>
      <w:r>
        <w:t>Three-tier architecture: React SPA frontend, FastAPI REST backend, switchable MongoDB/Couchbase database with Emergent/S3 storage.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Technology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Frontend SPA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React 19, TailwindCSS, Shadcn/UI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User interface, API calls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API Server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FastAPI, Uvicorn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REST endpoints, JWT auth, business logic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Database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MongoDB (Motor) / Couchbase (SDK 4.6)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Switchable document storage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Storage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Emergent / S3 (boto3)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Settlement proof file storage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Reports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ReportLab, CSV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PDF/CSV export with branded templates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8263E"/>
        </w:rPr>
        <w:t>3. Technology Stack</w:t>
      </w:r>
    </w:p>
    <w:p>
      <w:pPr>
        <w:pStyle w:val="Heading2"/>
      </w:pPr>
      <w:r>
        <w:rPr>
          <w:color w:val="08263E"/>
        </w:rPr>
        <w:t>3.1 Backend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FastAPI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0.110.1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REST API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Pydantic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2.12.5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Validation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Motor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3.7.1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MongoDB async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Couchbase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4.6.0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Enterprise DB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boto3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1.42.58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S3 storage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ReportLab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4.4.10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PDF gen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python-jose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3.4.0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JWT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bcrypt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4.3.0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Password hashing</w:t>
            </w:r>
          </w:p>
        </w:tc>
      </w:tr>
    </w:tbl>
    <w:p>
      <w:pPr>
        <w:pStyle w:val="Heading2"/>
      </w:pPr>
      <w:r>
        <w:rPr>
          <w:color w:val="08263E"/>
        </w:rPr>
        <w:t>3.2 Frontend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React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19.0.0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UI framework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React Router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7.5.1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Routing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TailwindCSS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3.4.17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CSS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Shadcn/UI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latest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Components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Axios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1.8.4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HTTP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Recharts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2.15.3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Charts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8263E"/>
        </w:rPr>
        <w:t>4. Functional Requirements</w:t>
      </w:r>
    </w:p>
    <w:p>
      <w:pPr>
        <w:pStyle w:val="Heading2"/>
      </w:pPr>
      <w:r>
        <w:rPr>
          <w:color w:val="08263E"/>
        </w:rPr>
        <w:t>FR-001: Authentication</w:t>
      </w:r>
    </w:p>
    <w:p>
      <w:pPr>
        <w:pStyle w:val="ListBullet"/>
      </w:pPr>
      <w:r>
        <w:t>JWT auth with 24h expiry</w:t>
      </w:r>
    </w:p>
    <w:p>
      <w:pPr>
        <w:pStyle w:val="ListBullet"/>
      </w:pPr>
      <w:r>
        <w:t>RBAC (Trader/Treasury/Admin/Sysadmin)</w:t>
      </w:r>
    </w:p>
    <w:p>
      <w:pPr>
        <w:pStyle w:val="ListBullet"/>
      </w:pPr>
      <w:r>
        <w:t>bcrypt password hashing</w:t>
      </w:r>
    </w:p>
    <w:p>
      <w:pPr>
        <w:pStyle w:val="Heading2"/>
      </w:pPr>
      <w:r>
        <w:rPr>
          <w:color w:val="08263E"/>
        </w:rPr>
        <w:t>FR-002: Deal Management</w:t>
      </w:r>
    </w:p>
    <w:p>
      <w:pPr>
        <w:pStyle w:val="ListBullet"/>
      </w:pPr>
      <w:r>
        <w:t>Create deals with Buy/Sell, 6 transfer types</w:t>
      </w:r>
    </w:p>
    <w:p>
      <w:pPr>
        <w:pStyle w:val="ListBullet"/>
      </w:pPr>
      <w:r>
        <w:t>Auto reference FX-YYYYMMDD-NNNN</w:t>
      </w:r>
    </w:p>
    <w:p>
      <w:pPr>
        <w:pStyle w:val="ListBullet"/>
      </w:pPr>
      <w:r>
        <w:t>Crypto network selection (SOLANA/ETHEREUM/TRON)</w:t>
      </w:r>
    </w:p>
    <w:p>
      <w:pPr>
        <w:pStyle w:val="ListBullet"/>
      </w:pPr>
      <w:r>
        <w:t>FX-Intercompany dual Ours</w:t>
      </w:r>
    </w:p>
    <w:p>
      <w:pPr>
        <w:pStyle w:val="Heading2"/>
      </w:pPr>
      <w:r>
        <w:rPr>
          <w:color w:val="08263E"/>
        </w:rPr>
        <w:t>FR-003: Treasury</w:t>
      </w:r>
    </w:p>
    <w:p>
      <w:pPr>
        <w:pStyle w:val="ListBullet"/>
      </w:pPr>
      <w:r>
        <w:t>Pending queue with customizable columns</w:t>
      </w:r>
    </w:p>
    <w:p>
      <w:pPr>
        <w:pStyle w:val="ListBullet"/>
      </w:pPr>
      <w:r>
        <w:t>Confirm/Return with mandatory remarks</w:t>
      </w:r>
    </w:p>
    <w:p>
      <w:pPr>
        <w:pStyle w:val="ListBullet"/>
      </w:pPr>
      <w:r>
        <w:t>Proof requirement enforcement</w:t>
      </w:r>
    </w:p>
    <w:p>
      <w:pPr>
        <w:pStyle w:val="Heading2"/>
      </w:pPr>
      <w:r>
        <w:rPr>
          <w:color w:val="08263E"/>
        </w:rPr>
        <w:t>FR-004: Reference Data</w:t>
      </w:r>
    </w:p>
    <w:p>
      <w:pPr>
        <w:pStyle w:val="ListBullet"/>
      </w:pPr>
      <w:r>
        <w:t>Admin CRUD for all reference entities</w:t>
      </w:r>
    </w:p>
    <w:p>
      <w:pPr>
        <w:pStyle w:val="ListBullet"/>
      </w:pPr>
      <w:r>
        <w:t>Bank account searchable autocomplete</w:t>
      </w:r>
    </w:p>
    <w:p>
      <w:pPr>
        <w:pStyle w:val="ListBullet"/>
      </w:pPr>
      <w:r>
        <w:t>CSV/Excel import with fld_* format support</w:t>
      </w:r>
    </w:p>
    <w:p>
      <w:pPr>
        <w:pStyle w:val="Heading2"/>
      </w:pPr>
      <w:r>
        <w:rPr>
          <w:color w:val="08263E"/>
        </w:rPr>
        <w:t>FR-005: Reports</w:t>
      </w:r>
    </w:p>
    <w:p>
      <w:pPr>
        <w:pStyle w:val="ListBullet"/>
      </w:pPr>
      <w:r>
        <w:t>8 report types with server-side pagination</w:t>
      </w:r>
    </w:p>
    <w:p>
      <w:pPr>
        <w:pStyle w:val="ListBullet"/>
      </w:pPr>
      <w:r>
        <w:t>CSV and branded PDF export</w:t>
      </w:r>
    </w:p>
    <w:p>
      <w:pPr>
        <w:pStyle w:val="ListBullet"/>
      </w:pPr>
      <w:r>
        <w:t>Admin-configurable permissions</w:t>
      </w:r>
    </w:p>
    <w:p>
      <w:r>
        <w:br w:type="page"/>
      </w:r>
    </w:p>
    <w:p>
      <w:pPr>
        <w:pStyle w:val="Heading1"/>
      </w:pPr>
      <w:r>
        <w:rPr>
          <w:color w:val="08263E"/>
        </w:rPr>
        <w:t>5. API Specification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/api/auth/login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Authenticate, returns JWT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/api/deals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Create deal ticket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/api/deals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List deals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/api/deals/treasury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Treasury queue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/api/deals/{id}/confirm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Confirm deal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/api/deals/{id}/return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Return deal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/api/deals/{id}/proof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Upload proof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/api/reports/{type}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Report data (json/csv/pdf)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/api/reference/bank-accounts/import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Global bank account import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/api/reference/companies/import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FX Client import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8263E"/>
        </w:rPr>
        <w:t>6. Data Models</w:t>
      </w:r>
    </w:p>
    <w:p>
      <w:pPr>
        <w:pStyle w:val="Heading2"/>
      </w:pPr>
      <w:r>
        <w:rPr>
          <w:color w:val="08263E"/>
        </w:rPr>
        <w:t>6.1 Deal Document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reference_number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FX-YYYYMMDD-NNNN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client_name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Client name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transaction_type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Buy/Sell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transfer_type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FX type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currency_amount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Float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Principal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rate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Float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FX rate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amount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Float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Converted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from_network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Crypto network (if applicable)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status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String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pending/confirmed/returned/cancelled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8263E"/>
        </w:rPr>
        <w:t>7. Security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986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4986"/>
          </w:tcPr>
          <w:p>
            <w:r>
              <w:rPr>
                <w:sz w:val="15"/>
              </w:rPr>
              <w:t>SEC-01</w:t>
            </w:r>
          </w:p>
        </w:tc>
        <w:tc>
          <w:tcPr>
            <w:tcW w:type="dxa" w:w="4986"/>
          </w:tcPr>
          <w:p>
            <w:r>
              <w:rPr>
                <w:sz w:val="15"/>
              </w:rPr>
              <w:t>JWT auth on all endpoints except login</w:t>
            </w:r>
          </w:p>
        </w:tc>
      </w:tr>
      <w:tr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SEC-02</w:t>
            </w:r>
          </w:p>
        </w:tc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bcrypt password hashing</w:t>
            </w:r>
          </w:p>
        </w:tc>
      </w:tr>
      <w:tr>
        <w:tc>
          <w:tcPr>
            <w:tcW w:type="dxa" w:w="4986"/>
          </w:tcPr>
          <w:p>
            <w:r>
              <w:rPr>
                <w:sz w:val="15"/>
              </w:rPr>
              <w:t>SEC-03</w:t>
            </w:r>
          </w:p>
        </w:tc>
        <w:tc>
          <w:tcPr>
            <w:tcW w:type="dxa" w:w="4986"/>
          </w:tcPr>
          <w:p>
            <w:r>
              <w:rPr>
                <w:sz w:val="15"/>
              </w:rPr>
              <w:t>Role-based access enforcement</w:t>
            </w:r>
          </w:p>
        </w:tc>
      </w:tr>
      <w:tr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SEC-04</w:t>
            </w:r>
          </w:p>
        </w:tc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File upload validation (10MB)</w:t>
            </w:r>
          </w:p>
        </w:tc>
      </w:tr>
      <w:tr>
        <w:tc>
          <w:tcPr>
            <w:tcW w:type="dxa" w:w="4986"/>
          </w:tcPr>
          <w:p>
            <w:r>
              <w:rPr>
                <w:sz w:val="15"/>
              </w:rPr>
              <w:t>SEC-05</w:t>
            </w:r>
          </w:p>
        </w:tc>
        <w:tc>
          <w:tcPr>
            <w:tcW w:type="dxa" w:w="4986"/>
          </w:tcPr>
          <w:p>
            <w:r>
              <w:rPr>
                <w:sz w:val="15"/>
              </w:rPr>
              <w:t>CORS configured</w:t>
            </w:r>
          </w:p>
        </w:tc>
      </w:tr>
      <w:tr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SEC-06</w:t>
            </w:r>
          </w:p>
        </w:tc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All actions audit-logged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8263E"/>
        </w:rPr>
        <w:t>8. User Interface Specifications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18DCA"/>
          <w:sz w:val="16"/>
        </w:rPr>
        <w:t>Figure 8.1 - Login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18DCA"/>
          <w:sz w:val="16"/>
        </w:rPr>
        <w:t>Figure 8.2 -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ew_d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18DCA"/>
          <w:sz w:val="16"/>
        </w:rPr>
        <w:t>Figure 8.3 - New Deal Form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reasury_que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18DCA"/>
          <w:sz w:val="16"/>
        </w:rPr>
        <w:t>Figure 8.4 - Treasury Queue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ference_da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18DCA"/>
          <w:sz w:val="16"/>
        </w:rPr>
        <w:t>Figure 8.5 - Reference Data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por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18DCA"/>
          <w:sz w:val="16"/>
        </w:rPr>
        <w:t>Figure 8.6 - Reports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udit_tra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18DCA"/>
          <w:sz w:val="16"/>
        </w:rPr>
        <w:t>Figure 8.7 - Audit Trail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system_adm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18DCA"/>
          <w:sz w:val="16"/>
        </w:rPr>
        <w:t>Figure 8.8 - System Admin</w:t>
      </w:r>
    </w:p>
    <w:p>
      <w:r>
        <w:br w:type="page"/>
      </w:r>
    </w:p>
    <w:p>
      <w:pPr>
        <w:pStyle w:val="Heading1"/>
      </w:pPr>
      <w:r>
        <w:rPr>
          <w:color w:val="08263E"/>
        </w:rPr>
        <w:t>9. Deployment Architecture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4986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4986"/>
          </w:tcPr>
          <w:p>
            <w:r>
              <w:rPr>
                <w:sz w:val="15"/>
              </w:rPr>
              <w:t>DB_TYPE</w:t>
            </w:r>
          </w:p>
        </w:tc>
        <w:tc>
          <w:tcPr>
            <w:tcW w:type="dxa" w:w="4986"/>
          </w:tcPr>
          <w:p>
            <w:r>
              <w:rPr>
                <w:sz w:val="15"/>
              </w:rPr>
              <w:t>mongodb or couchbase</w:t>
            </w:r>
          </w:p>
        </w:tc>
      </w:tr>
      <w:tr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STORAGE_TYPE</w:t>
            </w:r>
          </w:p>
        </w:tc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emergent or s3</w:t>
            </w:r>
          </w:p>
        </w:tc>
      </w:tr>
      <w:tr>
        <w:tc>
          <w:tcPr>
            <w:tcW w:type="dxa" w:w="4986"/>
          </w:tcPr>
          <w:p>
            <w:r>
              <w:rPr>
                <w:sz w:val="15"/>
              </w:rPr>
              <w:t>MONGO_URL</w:t>
            </w:r>
          </w:p>
        </w:tc>
        <w:tc>
          <w:tcPr>
            <w:tcW w:type="dxa" w:w="4986"/>
          </w:tcPr>
          <w:p>
            <w:r>
              <w:rPr>
                <w:sz w:val="15"/>
              </w:rPr>
              <w:t>MongoDB connection</w:t>
            </w:r>
          </w:p>
        </w:tc>
      </w:tr>
      <w:tr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REACT_APP_BACKEND_URL</w:t>
            </w:r>
          </w:p>
        </w:tc>
        <w:tc>
          <w:tcPr>
            <w:tcW w:type="dxa" w:w="4986"/>
            <w:shd w:val="clear" w:color="auto" w:fill="f1f2f2"/>
          </w:tcPr>
          <w:p>
            <w:r>
              <w:rPr>
                <w:sz w:val="15"/>
              </w:rPr>
              <w:t>Frontend API URL</w:t>
            </w:r>
          </w:p>
        </w:tc>
      </w:tr>
    </w:tbl>
    <w:p>
      <w:pPr>
        <w:pStyle w:val="Heading1"/>
      </w:pPr>
      <w:r>
        <w:rPr>
          <w:color w:val="08263E"/>
        </w:rPr>
        <w:t>10. Integration 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Integration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Protocol</w:t>
            </w:r>
          </w:p>
        </w:tc>
        <w:tc>
          <w:tcPr>
            <w:tcW w:type="dxa" w:w="3324"/>
            <w:shd w:val="clear" w:color="auto" w:fill="0826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MongoDB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Motor async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Active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Couchbase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SDK 4.6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Validated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Emergent Storage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HTTP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Active</w:t>
            </w:r>
          </w:p>
        </w:tc>
      </w:tr>
      <w:tr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S3/Huawei OBS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boto3</w:t>
            </w:r>
          </w:p>
        </w:tc>
        <w:tc>
          <w:tcPr>
            <w:tcW w:type="dxa" w:w="3324"/>
            <w:shd w:val="clear" w:color="auto" w:fill="f1f2f2"/>
          </w:tcPr>
          <w:p>
            <w:r>
              <w:rPr>
                <w:sz w:val="15"/>
              </w:rPr>
              <w:t>Validated</w:t>
            </w:r>
          </w:p>
        </w:tc>
      </w:tr>
      <w:tr>
        <w:tc>
          <w:tcPr>
            <w:tcW w:type="dxa" w:w="3324"/>
          </w:tcPr>
          <w:p>
            <w:r>
              <w:rPr>
                <w:sz w:val="15"/>
              </w:rPr>
              <w:t>ReportLab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Python</w:t>
            </w:r>
          </w:p>
        </w:tc>
        <w:tc>
          <w:tcPr>
            <w:tcW w:type="dxa" w:w="3324"/>
          </w:tcPr>
          <w:p>
            <w:r>
              <w:rPr>
                <w:sz w:val="15"/>
              </w:rPr>
              <w:t>Active</w:t>
            </w:r>
          </w:p>
        </w:tc>
      </w:tr>
    </w:tbl>
    <w:sectPr w:rsidR="00FC693F" w:rsidRPr="0006063C" w:rsidSect="00034616">
      <w:pgSz w:w="12240" w:h="15840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