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Software Requirements Specification</w:t>
      </w:r>
    </w:p>
    <w:p>
      <w:r>
        <w:rPr>
          <w:color w:val="518DCA"/>
          <w:sz w:val="22"/>
        </w:rPr>
        <w:t>FX Trading Tracker Platform  |  Version 2.0</w:t>
      </w:r>
    </w:p>
    <w:p>
      <w:r>
        <w:rPr>
          <w:sz w:val="16"/>
        </w:rPr>
        <w:t>Generated: 2026-09-11 14:52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Introduction</w:t>
      </w:r>
    </w:p>
    <w:p>
      <w:r>
        <w:t>This SRS defines the technical requirements for the FX Trading Tracker, a web-based platform for FX deal ticket management with multi-role workflow, settlement proofs, reports, and audit logging.</w:t>
      </w:r>
    </w:p>
    <w:p>
      <w:r>
        <w:br w:type="page"/>
      </w:r>
    </w:p>
    <w:p>
      <w:pPr>
        <w:pStyle w:val="Heading1"/>
      </w:pPr>
      <w:r>
        <w:rPr>
          <w:color w:val="08263E"/>
        </w:rPr>
        <w:t>2. System Architecture</w:t>
      </w:r>
    </w:p>
    <w:p>
      <w:r>
        <w:t>Three-tier architecture: React SPA frontend, FastAPI REST backend, switchable MongoDB/Couchbase database with Emergent/S3 storage.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Frontend SPA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React 19, TailwindCSS, Shadcn/UI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User interface, API calls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API Server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FastAPI, Uvicorn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REST endpoints, JWT auth, business logic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Database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(Motor) / Couchbase (SDK 4.6)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Switchable document storage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Storage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 / S3 (boto3)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 proof file storage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Reports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ReportLab, CSV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PDF/CSV export with branded templates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3. Technology Stack</w:t>
      </w:r>
    </w:p>
    <w:p>
      <w:pPr>
        <w:pStyle w:val="Heading2"/>
      </w:pPr>
      <w:r>
        <w:rPr>
          <w:color w:val="08263E"/>
        </w:rPr>
        <w:t>3.1 Backend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REST API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Pydantic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2.12.5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Validation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3.7.1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async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4.6.0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Enterprise DB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boto3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1.42.58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storage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ReportLab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4.4.10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PDF gen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python-jose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3.4.0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JWT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bcrypt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4.3.0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Password hashing</w:t>
            </w:r>
          </w:p>
        </w:tc>
      </w:tr>
    </w:tbl>
    <w:p>
      <w:pPr>
        <w:pStyle w:val="Heading2"/>
      </w:pPr>
      <w:r>
        <w:rPr>
          <w:color w:val="08263E"/>
        </w:rPr>
        <w:t>3.2 Frontend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UI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 Router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7.5.1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Routing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TailwindCSS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3.4.17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CSS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Shadcn/UI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latest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Components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Axios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1.8.4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HTTP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Recharts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2.15.3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Charts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4. Functional Requirements</w:t>
      </w:r>
    </w:p>
    <w:p>
      <w:pPr>
        <w:pStyle w:val="Heading2"/>
      </w:pPr>
      <w:r>
        <w:rPr>
          <w:color w:val="08263E"/>
        </w:rPr>
        <w:t>FR-001: Authentication</w:t>
      </w:r>
    </w:p>
    <w:p>
      <w:pPr>
        <w:pStyle w:val="ListBullet"/>
      </w:pPr>
      <w:r>
        <w:t>JWT auth with 24h expiry</w:t>
      </w:r>
    </w:p>
    <w:p>
      <w:pPr>
        <w:pStyle w:val="ListBullet"/>
      </w:pPr>
      <w:r>
        <w:t>RBAC (Trader/Treasury/Admin/Sysadmin)</w:t>
      </w:r>
    </w:p>
    <w:p>
      <w:pPr>
        <w:pStyle w:val="ListBullet"/>
      </w:pPr>
      <w:r>
        <w:t>bcrypt password hashing</w:t>
      </w:r>
    </w:p>
    <w:p>
      <w:pPr>
        <w:pStyle w:val="Heading2"/>
      </w:pPr>
      <w:r>
        <w:rPr>
          <w:color w:val="08263E"/>
        </w:rPr>
        <w:t>FR-002: Deal Management</w:t>
      </w:r>
    </w:p>
    <w:p>
      <w:pPr>
        <w:pStyle w:val="ListBullet"/>
      </w:pPr>
      <w:r>
        <w:t>Create deals with Buy/Sell, 6 transfer types</w:t>
      </w:r>
    </w:p>
    <w:p>
      <w:pPr>
        <w:pStyle w:val="ListBullet"/>
      </w:pPr>
      <w:r>
        <w:t>Auto reference FX-YYYYMMDD-NNNN</w:t>
      </w:r>
    </w:p>
    <w:p>
      <w:pPr>
        <w:pStyle w:val="ListBullet"/>
      </w:pPr>
      <w:r>
        <w:t>Crypto network selection (SOLANA/ETHEREUM/TRON)</w:t>
      </w:r>
    </w:p>
    <w:p>
      <w:pPr>
        <w:pStyle w:val="ListBullet"/>
      </w:pPr>
      <w:r>
        <w:t>FX-Intercompany dual Ours</w:t>
      </w:r>
    </w:p>
    <w:p>
      <w:pPr>
        <w:pStyle w:val="Heading2"/>
      </w:pPr>
      <w:r>
        <w:rPr>
          <w:color w:val="08263E"/>
        </w:rPr>
        <w:t>FR-003: Treasury</w:t>
      </w:r>
    </w:p>
    <w:p>
      <w:pPr>
        <w:pStyle w:val="ListBullet"/>
      </w:pPr>
      <w:r>
        <w:t>Pending queue with customizable columns</w:t>
      </w:r>
    </w:p>
    <w:p>
      <w:pPr>
        <w:pStyle w:val="ListBullet"/>
      </w:pPr>
      <w:r>
        <w:t>Confirm/Return with mandatory remarks</w:t>
      </w:r>
    </w:p>
    <w:p>
      <w:pPr>
        <w:pStyle w:val="ListBullet"/>
      </w:pPr>
      <w:r>
        <w:t>Proof requirement enforcement</w:t>
      </w:r>
    </w:p>
    <w:p>
      <w:pPr>
        <w:pStyle w:val="Heading2"/>
      </w:pPr>
      <w:r>
        <w:rPr>
          <w:color w:val="08263E"/>
        </w:rPr>
        <w:t>FR-004: Reference Data</w:t>
      </w:r>
    </w:p>
    <w:p>
      <w:pPr>
        <w:pStyle w:val="ListBullet"/>
      </w:pPr>
      <w:r>
        <w:t>Admin CRUD for all reference entities</w:t>
      </w:r>
    </w:p>
    <w:p>
      <w:pPr>
        <w:pStyle w:val="ListBullet"/>
      </w:pPr>
      <w:r>
        <w:t>Bank account searchable autocomplete</w:t>
      </w:r>
    </w:p>
    <w:p>
      <w:pPr>
        <w:pStyle w:val="ListBullet"/>
      </w:pPr>
      <w:r>
        <w:t>CSV/Excel import with fld_* format support</w:t>
      </w:r>
    </w:p>
    <w:p>
      <w:pPr>
        <w:pStyle w:val="Heading2"/>
      </w:pPr>
      <w:r>
        <w:rPr>
          <w:color w:val="08263E"/>
        </w:rPr>
        <w:t>FR-005: Reports</w:t>
      </w:r>
    </w:p>
    <w:p>
      <w:pPr>
        <w:pStyle w:val="ListBullet"/>
      </w:pPr>
      <w:r>
        <w:t>8 report types with server-side pagination</w:t>
      </w:r>
    </w:p>
    <w:p>
      <w:pPr>
        <w:pStyle w:val="ListBullet"/>
      </w:pPr>
      <w:r>
        <w:t>CSV and branded PDF export</w:t>
      </w:r>
    </w:p>
    <w:p>
      <w:pPr>
        <w:pStyle w:val="ListBullet"/>
      </w:pPr>
      <w:r>
        <w:t>Admin-configurable permissions</w:t>
      </w:r>
    </w:p>
    <w:p>
      <w:r>
        <w:br w:type="page"/>
      </w:r>
    </w:p>
    <w:p>
      <w:pPr>
        <w:pStyle w:val="Heading1"/>
      </w:pPr>
      <w:r>
        <w:rPr>
          <w:color w:val="08263E"/>
        </w:rPr>
        <w:t>5. API Specification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/api/auth/login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Authenticate, returns JWT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 deal ticket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List deals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/api/deals/treasury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Treasury queue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/api/deals/{id}/confirm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Confirm deal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/api/deals/{id}/return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Return deal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/api/deals/{id}/proof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Upload proof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/api/reports/{type}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Report data (json/csv/pdf)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/api/reference/bank-accounts/import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Global bank account import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/api/reference/companies/import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Client import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6. Data Models</w:t>
      </w:r>
    </w:p>
    <w:p>
      <w:pPr>
        <w:pStyle w:val="Heading2"/>
      </w:pPr>
      <w:r>
        <w:rPr>
          <w:color w:val="08263E"/>
        </w:rPr>
        <w:t>6.1 Deal Document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reference_number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FX-YYYYMMDD-NNNN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client_name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Client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transaction_type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Buy/Sell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transfer_type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type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currency_amount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Principal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rate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amount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Converted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from_network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Crypto network (if applicable)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pending/confirmed/returned/cancelled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7. Security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SEC-01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JWT auth on all endpoints except login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SEC-02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bcrypt password hashing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SEC-03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Role-based access enforcement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SEC-04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File upload validation (10MB)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SEC-05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CORS configured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SEC-06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All actions audit-logged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8. User Interface Specifications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8.1 - Login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8.2 -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_d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8.3 - New Deal Form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easury_que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8.4 - Treasury Queue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ference_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8.5 -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8.6 -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udit_t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8.7 - Audit Trail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ystem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8.8 - System Admin</w:t>
      </w:r>
    </w:p>
    <w:p>
      <w:r>
        <w:br w:type="page"/>
      </w:r>
    </w:p>
    <w:p>
      <w:pPr>
        <w:pStyle w:val="Heading1"/>
      </w:pPr>
      <w:r>
        <w:rPr>
          <w:color w:val="08263E"/>
        </w:rPr>
        <w:t>9. Deployment Architecture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mongodb or couchbase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emergent or s3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MongoDB connection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REACT_APP_BACKEND_URL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Frontend API URL</w:t>
            </w:r>
          </w:p>
        </w:tc>
      </w:tr>
    </w:tbl>
    <w:p>
      <w:pPr>
        <w:pStyle w:val="Heading1"/>
      </w:pPr>
      <w:r>
        <w:rPr>
          <w:color w:val="08263E"/>
        </w:rPr>
        <w:t>10. Integration 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Integration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Protocol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Motor async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Active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SDK 4.6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Validated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Emergent Storage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HTTP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Active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S3/Huawei OBS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boto3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Validated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ReportLab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Active</w:t>
            </w:r>
          </w:p>
        </w:tc>
      </w:tr>
    </w:tbl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