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ED165D">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ED165D">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ED165D">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ED165D">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ED165D">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ED165D">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ED165D">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ED165D">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ED165D">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ED165D">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ED165D">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ED165D">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ED165D">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ED165D">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ED165D">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0" w:name="_Toc34665366"/>
      <w:r>
        <w:rPr>
          <w:b/>
          <w:color w:val="538135" w:themeColor="accent6" w:themeShade="BF"/>
        </w:rPr>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w:t>
      </w:r>
      <w:proofErr w:type="gramStart"/>
      <w:r w:rsidR="002B4D54">
        <w:t>the</w:t>
      </w:r>
      <w:proofErr w:type="gramEnd"/>
      <w:r w:rsidR="002B4D54">
        <w:t xml:space="preserv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ListParagraph"/>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3E9E9C53" w:rsidR="00D774E1" w:rsidRDefault="00D774E1" w:rsidP="00E32A83">
      <w:pPr>
        <w:pStyle w:val="ListParagraph"/>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1</w:t>
      </w:r>
      <w:r w:rsidR="00ED165D">
        <w:rPr>
          <w:i/>
        </w:rPr>
        <w:t>3</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Heading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5" w:name="_Toc34665371"/>
      <w:r>
        <w:rPr>
          <w:color w:val="538135" w:themeColor="accent6" w:themeShade="BF"/>
        </w:rPr>
        <w:t>Point forecasts</w:t>
      </w:r>
      <w:bookmarkEnd w:id="5"/>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FootnoteReferenc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r w:rsidR="00AE06A3" w:rsidRPr="00AE06A3">
        <w:rPr>
          <w:rFonts w:eastAsiaTheme="minorEastAsia"/>
          <w:i/>
        </w:rPr>
        <w:t>n</w:t>
      </w:r>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 xml:space="preserve">RMSSE for all the </w:t>
      </w:r>
      <w:proofErr w:type="gramStart"/>
      <w:r w:rsidRPr="00975D99">
        <w:t>4</w:t>
      </w:r>
      <w:r w:rsidR="002C75BE">
        <w:t>2</w:t>
      </w:r>
      <w:r w:rsidRPr="00975D99">
        <w:t>,</w:t>
      </w:r>
      <w:r w:rsidR="002C75BE">
        <w:t>840</w:t>
      </w:r>
      <w:r w:rsidRPr="00975D99">
        <w:t xml:space="preserve"> time</w:t>
      </w:r>
      <w:proofErr w:type="gramEnd"/>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w:t>
      </w:r>
      <w:proofErr w:type="gramStart"/>
      <w:r>
        <w:t>competition.</w:t>
      </w:r>
      <w:proofErr w:type="gramEnd"/>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FootnoteReference"/>
        </w:rPr>
        <w:footnoteReference w:id="5"/>
      </w:r>
      <w:r w:rsidR="00975D99">
        <w:t xml:space="preserve"> repository of the competition</w:t>
      </w:r>
      <w:r w:rsidR="005D0D18">
        <w:t xml:space="preserve">. </w:t>
      </w:r>
    </w:p>
    <w:p w14:paraId="442471F4" w14:textId="77777777" w:rsidR="00C53D5F" w:rsidRPr="00972DAB" w:rsidRDefault="00C53D5F" w:rsidP="00C53D5F">
      <w:pPr>
        <w:pStyle w:val="Heading2"/>
        <w:rPr>
          <w:color w:val="538135" w:themeColor="accent6" w:themeShade="BF"/>
        </w:rPr>
      </w:pPr>
      <w:bookmarkStart w:id="6" w:name="_Toc34665372"/>
      <w:r>
        <w:rPr>
          <w:color w:val="538135" w:themeColor="accent6" w:themeShade="BF"/>
        </w:rPr>
        <w:t>Probabilistic forecasts</w:t>
      </w:r>
      <w:bookmarkEnd w:id="6"/>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 xml:space="preserve">of the examined </w:t>
      </w:r>
      <w:proofErr w:type="gramStart"/>
      <w:r w:rsidR="00030F99">
        <w:t>quantiles</w:t>
      </w:r>
      <w:r>
        <w:t>.</w:t>
      </w:r>
      <w:proofErr w:type="gramEnd"/>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7" w:name="_Toc34665373"/>
      <w:r>
        <w:rPr>
          <w:color w:val="538135" w:themeColor="accent6" w:themeShade="BF"/>
        </w:rPr>
        <w:t>Weighting</w:t>
      </w:r>
      <w:bookmarkEnd w:id="7"/>
      <w:r>
        <w:rPr>
          <w:color w:val="538135" w:themeColor="accent6" w:themeShade="BF"/>
        </w:rPr>
        <w:t xml:space="preserve"> </w:t>
      </w:r>
    </w:p>
    <w:p w14:paraId="0AED2E39" w14:textId="1C8B9AC7" w:rsidR="00BF134E" w:rsidRDefault="002B4E10" w:rsidP="002B4E10">
      <w:pPr>
        <w:pStyle w:val="NoSpacing"/>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NoSpacing"/>
        <w:jc w:val="both"/>
      </w:pPr>
    </w:p>
    <w:p w14:paraId="59476761" w14:textId="77777777" w:rsidR="002A4630" w:rsidRPr="00A1136D" w:rsidRDefault="002B4E10" w:rsidP="000C44EF">
      <w:pPr>
        <w:pStyle w:val="NoSpacing"/>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NoSpacing"/>
        <w:jc w:val="both"/>
      </w:pPr>
    </w:p>
    <w:p w14:paraId="5EB68E71" w14:textId="2355D19A" w:rsidR="002A2902" w:rsidRPr="00A1136D" w:rsidRDefault="002B4E10" w:rsidP="000C44EF">
      <w:pPr>
        <w:pStyle w:val="NoSpacing"/>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ED165D"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This weighting scheme can be expanded in order to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8" w:name="_Toc34665374"/>
      <w:r w:rsidRPr="00A1136D">
        <w:rPr>
          <w:b/>
          <w:color w:val="538135" w:themeColor="accent6" w:themeShade="BF"/>
        </w:rPr>
        <w:t xml:space="preserve">The </w:t>
      </w:r>
      <w:r w:rsidR="00AF2821" w:rsidRPr="00A1136D">
        <w:rPr>
          <w:b/>
          <w:color w:val="538135" w:themeColor="accent6" w:themeShade="BF"/>
        </w:rPr>
        <w:t>Prizes</w:t>
      </w:r>
      <w:bookmarkEnd w:id="8"/>
    </w:p>
    <w:p w14:paraId="4EF60395" w14:textId="0C00FAC5" w:rsidR="003F6F3F" w:rsidRPr="00975D99" w:rsidRDefault="003F6F3F" w:rsidP="003F6F3F">
      <w:pPr>
        <w:pStyle w:val="Heading2"/>
        <w:rPr>
          <w:color w:val="538135" w:themeColor="accent6" w:themeShade="BF"/>
        </w:rPr>
      </w:pPr>
      <w:bookmarkStart w:id="9" w:name="_Toc34665375"/>
      <w:r>
        <w:rPr>
          <w:color w:val="538135" w:themeColor="accent6" w:themeShade="BF"/>
        </w:rPr>
        <w:t>Distribution of prize money</w:t>
      </w:r>
      <w:bookmarkEnd w:id="9"/>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0" w:name="OLE_LINK15"/>
      <w:bookmarkStart w:id="11" w:name="OLE_LINK16"/>
      <w:bookmarkStart w:id="12" w:name="OLE_LINK17"/>
      <w:bookmarkStart w:id="13" w:name="_Toc34665376"/>
      <w:r w:rsidRPr="00975D99">
        <w:rPr>
          <w:color w:val="538135" w:themeColor="accent6" w:themeShade="BF"/>
        </w:rPr>
        <w:t>Reproducibility</w:t>
      </w:r>
      <w:bookmarkEnd w:id="10"/>
      <w:bookmarkEnd w:id="11"/>
      <w:bookmarkEnd w:id="12"/>
      <w:bookmarkEnd w:id="13"/>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4" w:name="_Toc34665377"/>
      <w:r>
        <w:rPr>
          <w:b/>
          <w:color w:val="538135" w:themeColor="accent6" w:themeShade="BF"/>
        </w:rPr>
        <w:t>Publications</w:t>
      </w:r>
      <w:bookmarkEnd w:id="14"/>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5" w:name="_Toc501204178"/>
      <w:bookmarkStart w:id="16" w:name="_Toc501204374"/>
      <w:bookmarkStart w:id="17" w:name="_Toc501204399"/>
      <w:bookmarkStart w:id="18" w:name="_Toc501204474"/>
      <w:bookmarkStart w:id="19" w:name="_Toc501204502"/>
      <w:bookmarkStart w:id="20" w:name="_Toc501204179"/>
      <w:bookmarkStart w:id="21" w:name="_Toc501204375"/>
      <w:bookmarkStart w:id="22" w:name="_Toc501204400"/>
      <w:bookmarkStart w:id="23" w:name="_Toc501204475"/>
      <w:bookmarkStart w:id="24" w:name="_Toc501204503"/>
      <w:bookmarkStart w:id="25" w:name="_Toc501191132"/>
      <w:bookmarkStart w:id="26" w:name="_Toc501191163"/>
      <w:bookmarkStart w:id="27" w:name="_Toc501204181"/>
      <w:bookmarkStart w:id="28" w:name="_Toc501204377"/>
      <w:bookmarkStart w:id="29" w:name="_Toc501204402"/>
      <w:bookmarkStart w:id="30" w:name="_Toc501204477"/>
      <w:bookmarkStart w:id="31" w:name="_Toc501204505"/>
      <w:bookmarkStart w:id="32" w:name="_Toc346653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75D99">
        <w:rPr>
          <w:b/>
          <w:color w:val="538135" w:themeColor="accent6" w:themeShade="BF"/>
        </w:rPr>
        <w:t xml:space="preserve">The </w:t>
      </w:r>
      <w:r w:rsidR="009E5482" w:rsidRPr="00975D99">
        <w:rPr>
          <w:b/>
          <w:color w:val="538135" w:themeColor="accent6" w:themeShade="BF"/>
        </w:rPr>
        <w:t>Benchmarks</w:t>
      </w:r>
      <w:bookmarkEnd w:id="32"/>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3" w:name="_Toc34665379"/>
      <w:r>
        <w:rPr>
          <w:color w:val="538135" w:themeColor="accent6" w:themeShade="BF"/>
        </w:rPr>
        <w:t>Point forecasts</w:t>
      </w:r>
      <w:bookmarkEnd w:id="33"/>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ED165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ED165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ED165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FootnoteReferenc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ED165D"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t xml:space="preserve">7. </w:t>
      </w:r>
      <w:proofErr w:type="spellStart"/>
      <w:r w:rsidRPr="003D45B8">
        <w:rPr>
          <w:b/>
        </w:rPr>
        <w:t>Syntetos</w:t>
      </w:r>
      <w:proofErr w:type="spellEnd"/>
      <w:r w:rsidRPr="003D45B8">
        <w:rPr>
          <w:b/>
        </w:rPr>
        <w:t>-Boylan Approximation</w:t>
      </w:r>
      <w:r>
        <w:rPr>
          <w:rStyle w:val="FootnoteReferenc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ED165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FootnoteReferenc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ED165D"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FootnoteReferenc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4" w:name="_Toc34665380"/>
      <w:r>
        <w:rPr>
          <w:color w:val="538135" w:themeColor="accent6" w:themeShade="BF"/>
        </w:rPr>
        <w:t>Probabilistic forecasts</w:t>
      </w:r>
      <w:bookmarkEnd w:id="34"/>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5" w:name="_Toc34665381"/>
      <w:r>
        <w:rPr>
          <w:b/>
          <w:color w:val="538135" w:themeColor="accent6" w:themeShade="BF"/>
        </w:rPr>
        <w:t>Submission</w:t>
      </w:r>
      <w:bookmarkEnd w:id="35"/>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2ED6" w14:textId="77777777" w:rsidR="00F9441A" w:rsidRDefault="00F9441A" w:rsidP="00951C6C">
      <w:pPr>
        <w:spacing w:after="0" w:line="240" w:lineRule="auto"/>
      </w:pPr>
      <w:r>
        <w:separator/>
      </w:r>
    </w:p>
  </w:endnote>
  <w:endnote w:type="continuationSeparator" w:id="0">
    <w:p w14:paraId="0E6A1AFD" w14:textId="77777777" w:rsidR="00F9441A" w:rsidRDefault="00F9441A"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067698"/>
      <w:docPartObj>
        <w:docPartGallery w:val="Page Numbers (Bottom of Page)"/>
        <w:docPartUnique/>
      </w:docPartObj>
    </w:sdtPr>
    <w:sdtEndPr>
      <w:rPr>
        <w:noProof/>
      </w:rPr>
    </w:sdtEndPr>
    <w:sdtContent>
      <w:p w14:paraId="0D5AC104" w14:textId="7C99719C" w:rsidR="00124388" w:rsidRDefault="00124388">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A0572" w14:textId="77777777" w:rsidR="00F9441A" w:rsidRDefault="00F9441A" w:rsidP="00951C6C">
      <w:pPr>
        <w:spacing w:after="0" w:line="240" w:lineRule="auto"/>
      </w:pPr>
      <w:r>
        <w:separator/>
      </w:r>
    </w:p>
  </w:footnote>
  <w:footnote w:type="continuationSeparator" w:id="0">
    <w:p w14:paraId="161BA67F" w14:textId="77777777" w:rsidR="00F9441A" w:rsidRDefault="00F9441A" w:rsidP="00951C6C">
      <w:pPr>
        <w:spacing w:after="0" w:line="240" w:lineRule="auto"/>
      </w:pPr>
      <w:r>
        <w:continuationSeparator/>
      </w:r>
    </w:p>
  </w:footnote>
  <w:footnote w:id="1">
    <w:p w14:paraId="767018AD" w14:textId="4BE4314C" w:rsidR="00124388" w:rsidRDefault="00124388" w:rsidP="0003451B">
      <w:pPr>
        <w:pStyle w:val="FootnoteText"/>
        <w:jc w:val="both"/>
      </w:pPr>
      <w:r>
        <w:rPr>
          <w:rStyle w:val="FootnoteReference"/>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124388" w:rsidRDefault="00124388">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124388" w:rsidRDefault="00124388"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FootnoteText"/>
        <w:jc w:val="both"/>
      </w:pPr>
      <w:r>
        <w:rPr>
          <w:rStyle w:val="FootnoteReference"/>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FootnoteText"/>
        <w:jc w:val="both"/>
      </w:pPr>
      <w:r>
        <w:rPr>
          <w:rStyle w:val="FootnoteReference"/>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FootnoteText"/>
        <w:jc w:val="both"/>
      </w:pPr>
      <w:r>
        <w:rPr>
          <w:rStyle w:val="FootnoteReference"/>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FootnoteText"/>
        <w:jc w:val="both"/>
      </w:pPr>
      <w:r>
        <w:rPr>
          <w:rStyle w:val="FootnoteReference"/>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FootnoteText"/>
        <w:jc w:val="both"/>
      </w:pPr>
      <w:r>
        <w:rPr>
          <w:rStyle w:val="FootnoteReference"/>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FootnoteText"/>
      </w:pPr>
      <w:r>
        <w:rPr>
          <w:rStyle w:val="FootnoteReference"/>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FootnoteText"/>
      </w:pPr>
      <w:r>
        <w:rPr>
          <w:rStyle w:val="FootnoteReference"/>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8D8" w14:textId="4FB27122" w:rsidR="00124388" w:rsidRDefault="00124388">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165D"/>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EE24F-E967-0344-A0AC-FE872DA6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Paolo Angeles</cp:lastModifiedBy>
  <cp:revision>3</cp:revision>
  <dcterms:created xsi:type="dcterms:W3CDTF">2020-03-10T08:02:00Z</dcterms:created>
  <dcterms:modified xsi:type="dcterms:W3CDTF">2020-05-18T20:01:00Z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