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3621" w14:textId="77777777" w:rsidR="00FE6531" w:rsidRPr="00DF5478" w:rsidRDefault="00000000">
      <w:pPr>
        <w:pStyle w:val="Title"/>
        <w:rPr>
          <w:lang w:val="en-US"/>
        </w:rPr>
      </w:pPr>
      <w:r w:rsidRPr="00DF5478">
        <w:rPr>
          <w:lang w:val="en-US"/>
        </w:rPr>
        <w:t>Case Study</w:t>
      </w:r>
      <w:r w:rsidRPr="00DF5478">
        <w:rPr>
          <w:lang w:val="en-US"/>
        </w:rPr>
        <w:tab/>
      </w:r>
    </w:p>
    <w:p w14:paraId="200A844F" w14:textId="5EB84C7A" w:rsidR="000F2C16" w:rsidRPr="000F2C16" w:rsidRDefault="00000000" w:rsidP="000F2C16">
      <w:pPr>
        <w:pStyle w:val="Subtitle"/>
        <w:rPr>
          <w:lang w:val="en-IT"/>
        </w:rPr>
      </w:pPr>
      <w:r w:rsidRPr="00DF5478">
        <w:rPr>
          <w:lang w:val="en-US"/>
        </w:rPr>
        <w:t>C</w:t>
      </w:r>
      <w:r w:rsidR="000F2C16">
        <w:rPr>
          <w:lang w:val="en-US"/>
        </w:rPr>
        <w:t>5</w:t>
      </w:r>
      <w:r w:rsidRPr="00DF5478">
        <w:rPr>
          <w:lang w:val="en-US"/>
        </w:rPr>
        <w:t xml:space="preserve">: </w:t>
      </w:r>
      <w:hyperlink r:id="rId7" w:history="1">
        <w:r w:rsidR="000F2C16" w:rsidRPr="000F2C16">
          <w:rPr>
            <w:rStyle w:val="Hyperlink"/>
            <w:u w:val="none"/>
            <w:lang w:val="en-IT"/>
          </w:rPr>
          <w:t>Sepsis - Diagnosis and treatment</w:t>
        </w:r>
      </w:hyperlink>
    </w:p>
    <w:p w14:paraId="1A0F9349" w14:textId="4E82984A" w:rsidR="00FE6531" w:rsidRPr="00DF5478" w:rsidRDefault="00000000" w:rsidP="000F2C16">
      <w:pPr>
        <w:pStyle w:val="Subtitle"/>
        <w:rPr>
          <w:lang w:val="en-US"/>
        </w:rPr>
      </w:pPr>
      <w:r w:rsidRPr="00DF5478">
        <w:rPr>
          <w:lang w:val="en-US"/>
        </w:rPr>
        <w:t xml:space="preserve">Description </w:t>
      </w:r>
    </w:p>
    <w:p w14:paraId="4524E277" w14:textId="1CE1D260" w:rsidR="009C462F" w:rsidRDefault="009C462F" w:rsidP="009C462F">
      <w:pPr>
        <w:pStyle w:val="Body0"/>
        <w:spacing w:before="60" w:after="80" w:line="288" w:lineRule="auto"/>
        <w:jc w:val="both"/>
        <w:rPr>
          <w:lang w:val="en-IT"/>
        </w:rPr>
      </w:pPr>
      <w:r w:rsidRPr="009C462F">
        <w:rPr>
          <w:lang w:val="en-IT"/>
        </w:rPr>
        <w:t xml:space="preserve">Sepsis </w:t>
      </w:r>
      <w:r w:rsidR="008023ED">
        <w:rPr>
          <w:rStyle w:val="FootnoteReference"/>
          <w:lang w:val="en-IT"/>
        </w:rPr>
        <w:footnoteReference w:id="1"/>
      </w:r>
      <w:r w:rsidRPr="009C462F">
        <w:rPr>
          <w:lang w:val="en-IT"/>
        </w:rPr>
        <w:t xml:space="preserve">is a life-threatening condition in which an unregulated host response to infection can cause tissue damage and multi-organ dysfunction. </w:t>
      </w:r>
      <w:r w:rsidR="004B561E" w:rsidRPr="004B561E">
        <w:rPr>
          <w:lang w:val="en-IT"/>
        </w:rPr>
        <w:t>In septic shock, there is a critical reduction in tissue perfusion that can lead to a state of multi-organ failure involving lungs, kidneys and liver.</w:t>
      </w:r>
      <w:r w:rsidRPr="009C462F">
        <w:rPr>
          <w:lang w:val="en-IT"/>
        </w:rPr>
        <w:t xml:space="preserve"> The impact of sepsis on certain patient populations, such as pediatric, neonatal, and geriatric patients can vary, making timely and appropriate treatment even more important.</w:t>
      </w:r>
    </w:p>
    <w:p w14:paraId="6C3CCA7B" w14:textId="30CDBAE9" w:rsidR="004B561E" w:rsidRDefault="004B561E" w:rsidP="009C462F">
      <w:pPr>
        <w:pStyle w:val="Body0"/>
        <w:spacing w:before="60" w:after="80" w:line="288" w:lineRule="auto"/>
        <w:jc w:val="both"/>
        <w:rPr>
          <w:lang w:val="en-IT"/>
        </w:rPr>
      </w:pPr>
      <w:r w:rsidRPr="004B561E">
        <w:rPr>
          <w:lang w:val="en-IT"/>
        </w:rPr>
        <w:t>Symptoms include fever, hypotension, oliguria and confusional state. Diagnosis is made by combining clinical findings with microbiological data showing the presence of an infection; early recognition and treatment are crucial. Treatment is based on intensive fluid infusion, early administration of antibiotics, surgical removal of infected or necrotic tissue, drainage of pus and supportive therapies.</w:t>
      </w:r>
    </w:p>
    <w:p w14:paraId="39F7A131" w14:textId="6C6B0B6F" w:rsidR="004B561E" w:rsidRDefault="004B561E" w:rsidP="004B561E">
      <w:pPr>
        <w:pStyle w:val="Body0"/>
        <w:spacing w:before="60" w:after="80" w:line="288" w:lineRule="auto"/>
        <w:jc w:val="both"/>
        <w:rPr>
          <w:lang w:val="en-GB"/>
        </w:rPr>
      </w:pPr>
      <w:r>
        <w:rPr>
          <w:lang w:val="en-GB"/>
        </w:rPr>
        <w:t>N</w:t>
      </w:r>
      <w:r w:rsidRPr="004B561E">
        <w:rPr>
          <w:lang w:val="en-GB"/>
        </w:rPr>
        <w:t xml:space="preserve">o current clinical measures reflect the concept of </w:t>
      </w:r>
      <w:r w:rsidRPr="004B561E">
        <w:rPr>
          <w:lang w:val="en-GB"/>
        </w:rPr>
        <w:t>an</w:t>
      </w:r>
      <w:r w:rsidRPr="004B561E">
        <w:rPr>
          <w:lang w:val="en-GB"/>
        </w:rPr>
        <w:t xml:space="preserve"> </w:t>
      </w:r>
      <w:r w:rsidRPr="009C462F">
        <w:rPr>
          <w:lang w:val="en-IT"/>
        </w:rPr>
        <w:t xml:space="preserve">unregulated </w:t>
      </w:r>
      <w:r w:rsidRPr="004B561E">
        <w:rPr>
          <w:lang w:val="en-GB"/>
        </w:rPr>
        <w:t>host response</w:t>
      </w:r>
      <w:r>
        <w:rPr>
          <w:lang w:val="en-GB"/>
        </w:rPr>
        <w:t xml:space="preserve"> </w:t>
      </w:r>
      <w:r w:rsidRPr="009C462F">
        <w:rPr>
          <w:lang w:val="en-IT"/>
        </w:rPr>
        <w:t>to infection</w:t>
      </w:r>
      <w:r w:rsidRPr="004B561E">
        <w:rPr>
          <w:lang w:val="en-GB"/>
        </w:rPr>
        <w:t>.</w:t>
      </w:r>
      <w:r>
        <w:rPr>
          <w:lang w:val="en-GB"/>
        </w:rPr>
        <w:t xml:space="preserve"> </w:t>
      </w:r>
      <w:r w:rsidRPr="004B561E">
        <w:rPr>
          <w:lang w:val="en-GB"/>
        </w:rPr>
        <w:t xml:space="preserve"> However, many bedside examination findings and routine laboratory test results are indicative of inflammation or organ dysfunction.  Early treatment of sepsis improves survival, but early diagnosis of hospital-acquired sepsis, especially in critically ill patients, is challenging.  </w:t>
      </w:r>
    </w:p>
    <w:p w14:paraId="689CB47F" w14:textId="387F490B" w:rsidR="004B561E" w:rsidRPr="004B561E" w:rsidRDefault="004B561E" w:rsidP="004B561E">
      <w:pPr>
        <w:pStyle w:val="Body0"/>
        <w:spacing w:before="60" w:after="80" w:line="288" w:lineRule="auto"/>
        <w:jc w:val="both"/>
        <w:rPr>
          <w:lang w:val="en-US"/>
        </w:rPr>
      </w:pPr>
      <w:r w:rsidRPr="004B561E">
        <w:rPr>
          <w:lang w:val="en-US"/>
        </w:rPr>
        <w:t xml:space="preserve">Several scores have been developed to enable early diagnosis and assess prognosis: some of them require a minimum of technological sophistication (blood gas analysis, assessment of cardiac output and peripheral </w:t>
      </w:r>
      <w:r w:rsidR="00F70B25" w:rsidRPr="004B561E">
        <w:rPr>
          <w:lang w:val="en-US"/>
        </w:rPr>
        <w:t>Resistance</w:t>
      </w:r>
      <w:r>
        <w:rPr>
          <w:lang w:val="en-US"/>
        </w:rPr>
        <w:t>), p</w:t>
      </w:r>
      <w:r w:rsidRPr="004B561E">
        <w:rPr>
          <w:lang w:val="en-US"/>
        </w:rPr>
        <w:t>articularly useful in low-income countries</w:t>
      </w:r>
      <w:r>
        <w:rPr>
          <w:lang w:val="en-US"/>
        </w:rPr>
        <w:t>. Among them</w:t>
      </w:r>
      <w:r w:rsidRPr="004B561E">
        <w:rPr>
          <w:lang w:val="en-US"/>
        </w:rPr>
        <w:t>, some easy-to-detect indices that can be carried out in any peripheral laboratory</w:t>
      </w:r>
      <w:r>
        <w:rPr>
          <w:lang w:val="en-US"/>
        </w:rPr>
        <w:t xml:space="preserve"> are</w:t>
      </w:r>
      <w:r w:rsidRPr="004B561E">
        <w:rPr>
          <w:lang w:val="en-US"/>
        </w:rPr>
        <w:t>:</w:t>
      </w:r>
    </w:p>
    <w:p w14:paraId="07252065" w14:textId="6CA45505" w:rsidR="004B561E" w:rsidRDefault="004B561E" w:rsidP="004B561E">
      <w:pPr>
        <w:pStyle w:val="Body0"/>
        <w:numPr>
          <w:ilvl w:val="0"/>
          <w:numId w:val="5"/>
        </w:numPr>
        <w:spacing w:before="60" w:after="80" w:line="288" w:lineRule="auto"/>
        <w:jc w:val="both"/>
        <w:rPr>
          <w:lang w:val="en-US"/>
        </w:rPr>
      </w:pPr>
      <w:r w:rsidRPr="004B561E">
        <w:rPr>
          <w:lang w:val="en-US"/>
        </w:rPr>
        <w:t>Fever</w:t>
      </w:r>
      <w:r>
        <w:rPr>
          <w:lang w:val="en-US"/>
        </w:rPr>
        <w:t>.</w:t>
      </w:r>
    </w:p>
    <w:p w14:paraId="40042B24" w14:textId="7F5AA7C7" w:rsidR="004B561E" w:rsidRPr="004B561E" w:rsidRDefault="004B561E" w:rsidP="004B561E">
      <w:pPr>
        <w:pStyle w:val="Body0"/>
        <w:numPr>
          <w:ilvl w:val="0"/>
          <w:numId w:val="5"/>
        </w:numPr>
        <w:spacing w:before="60" w:after="80" w:line="288" w:lineRule="auto"/>
        <w:jc w:val="both"/>
        <w:rPr>
          <w:lang w:val="en-US"/>
        </w:rPr>
      </w:pPr>
      <w:r w:rsidRPr="004B561E">
        <w:rPr>
          <w:lang w:val="en-GB"/>
        </w:rPr>
        <w:t>A WBC counts of less than 4,000/</w:t>
      </w:r>
      <w:proofErr w:type="spellStart"/>
      <w:r w:rsidRPr="004B561E">
        <w:rPr>
          <w:lang w:val="en-GB"/>
        </w:rPr>
        <w:t>μl</w:t>
      </w:r>
      <w:proofErr w:type="spellEnd"/>
      <w:r w:rsidRPr="004B561E">
        <w:rPr>
          <w:lang w:val="en-GB"/>
        </w:rPr>
        <w:t xml:space="preserve"> or more than 12,000/</w:t>
      </w:r>
      <w:proofErr w:type="spellStart"/>
      <w:r w:rsidRPr="004B561E">
        <w:rPr>
          <w:lang w:val="en-GB"/>
        </w:rPr>
        <w:t>μl</w:t>
      </w:r>
      <w:proofErr w:type="spellEnd"/>
      <w:r>
        <w:rPr>
          <w:lang w:val="en-GB"/>
        </w:rPr>
        <w:t>.</w:t>
      </w:r>
    </w:p>
    <w:p w14:paraId="7AF7E88E" w14:textId="77777777" w:rsidR="004B561E" w:rsidRPr="004B561E" w:rsidRDefault="004B561E" w:rsidP="004B561E">
      <w:pPr>
        <w:pStyle w:val="Body0"/>
        <w:numPr>
          <w:ilvl w:val="0"/>
          <w:numId w:val="5"/>
        </w:numPr>
        <w:spacing w:before="60"/>
        <w:rPr>
          <w:lang w:val="en-GB"/>
        </w:rPr>
      </w:pPr>
      <w:proofErr w:type="spellStart"/>
      <w:r w:rsidRPr="004B561E">
        <w:rPr>
          <w:lang w:val="en-GB"/>
        </w:rPr>
        <w:t>LacticAcid</w:t>
      </w:r>
      <w:proofErr w:type="spellEnd"/>
      <w:r w:rsidRPr="004B561E">
        <w:rPr>
          <w:lang w:val="en-GB"/>
        </w:rPr>
        <w:t xml:space="preserve"> levels &gt; 2.0 µg/L indicate a high probability of systemic bacterial infection and a risk of progression to sepsis or septic shock. </w:t>
      </w:r>
      <w:proofErr w:type="spellStart"/>
      <w:r w:rsidRPr="004B561E">
        <w:rPr>
          <w:lang w:val="en-GB"/>
        </w:rPr>
        <w:t>LacticAcid</w:t>
      </w:r>
      <w:proofErr w:type="spellEnd"/>
      <w:r w:rsidRPr="004B561E">
        <w:rPr>
          <w:lang w:val="en-GB"/>
        </w:rPr>
        <w:t xml:space="preserve"> levels &lt; 0.5 µg/L indicate a low probability of systemic bacterial infection and a low risk of progression to sepsis or septic shock. </w:t>
      </w:r>
    </w:p>
    <w:p w14:paraId="14C53C95" w14:textId="18D82C91" w:rsidR="00F70B25" w:rsidRPr="00F70B25" w:rsidRDefault="004B561E" w:rsidP="00F70B25">
      <w:pPr>
        <w:pStyle w:val="Body0"/>
        <w:numPr>
          <w:ilvl w:val="0"/>
          <w:numId w:val="5"/>
        </w:numPr>
        <w:spacing w:before="60"/>
        <w:rPr>
          <w:lang w:val="en-GB"/>
        </w:rPr>
      </w:pPr>
      <w:r w:rsidRPr="004B561E">
        <w:rPr>
          <w:lang w:val="en-GB"/>
        </w:rPr>
        <w:t>A plasma CRP of 50 mg/l or more was highly suggestive of sepsis. The risk of sepsis-related mortality appears to be increased when the 3rd day CRP value is greater than 100 mg/dL.</w:t>
      </w:r>
    </w:p>
    <w:p w14:paraId="2CBB800B" w14:textId="77777777" w:rsidR="00194EE7" w:rsidRDefault="00F70B25" w:rsidP="00F70B25">
      <w:pPr>
        <w:pStyle w:val="Body0"/>
        <w:spacing w:before="60"/>
        <w:rPr>
          <w:lang w:val="en-GB"/>
        </w:rPr>
      </w:pPr>
      <w:r>
        <w:rPr>
          <w:lang w:val="en-GB"/>
        </w:rPr>
        <w:t xml:space="preserve">After having defined these </w:t>
      </w:r>
      <w:r w:rsidR="00194EE7">
        <w:rPr>
          <w:lang w:val="en-GB"/>
        </w:rPr>
        <w:t>scores,</w:t>
      </w:r>
      <w:r>
        <w:rPr>
          <w:lang w:val="en-GB"/>
        </w:rPr>
        <w:t xml:space="preserve"> the hospital </w:t>
      </w:r>
      <w:r w:rsidR="00194EE7">
        <w:rPr>
          <w:lang w:val="en-GB"/>
        </w:rPr>
        <w:t>wants</w:t>
      </w:r>
      <w:r>
        <w:rPr>
          <w:lang w:val="en-GB"/>
        </w:rPr>
        <w:t xml:space="preserve"> to verify if the treatment conducted in the clinic is</w:t>
      </w:r>
      <w:r w:rsidR="00194EE7">
        <w:rPr>
          <w:lang w:val="en-GB"/>
        </w:rPr>
        <w:t>:</w:t>
      </w:r>
    </w:p>
    <w:p w14:paraId="2C59809B" w14:textId="7617B355" w:rsidR="00194EE7" w:rsidRDefault="00194EE7" w:rsidP="00194EE7">
      <w:pPr>
        <w:pStyle w:val="Body0"/>
        <w:numPr>
          <w:ilvl w:val="0"/>
          <w:numId w:val="6"/>
        </w:numPr>
        <w:spacing w:before="60"/>
        <w:rPr>
          <w:lang w:val="en-GB"/>
        </w:rPr>
      </w:pPr>
      <w:r>
        <w:rPr>
          <w:lang w:val="en-GB"/>
        </w:rPr>
        <w:t xml:space="preserve">correctly adopted, i.e., </w:t>
      </w:r>
      <w:r w:rsidR="0073558B">
        <w:rPr>
          <w:lang w:val="en-GB"/>
        </w:rPr>
        <w:t xml:space="preserve">the number of cases deviating from the protocol is </w:t>
      </w:r>
      <w:proofErr w:type="gramStart"/>
      <w:r w:rsidR="0073558B">
        <w:rPr>
          <w:lang w:val="en-GB"/>
        </w:rPr>
        <w:t>limited</w:t>
      </w:r>
      <w:r>
        <w:rPr>
          <w:lang w:val="en-GB"/>
        </w:rPr>
        <w:t>;</w:t>
      </w:r>
      <w:proofErr w:type="gramEnd"/>
    </w:p>
    <w:p w14:paraId="5FF8703E" w14:textId="189E82CA" w:rsidR="00F70B25" w:rsidRDefault="00F70B25" w:rsidP="00194EE7">
      <w:pPr>
        <w:pStyle w:val="Body0"/>
        <w:numPr>
          <w:ilvl w:val="0"/>
          <w:numId w:val="6"/>
        </w:numPr>
        <w:spacing w:before="60"/>
        <w:rPr>
          <w:lang w:val="en-GB"/>
        </w:rPr>
      </w:pPr>
      <w:r>
        <w:rPr>
          <w:lang w:val="en-GB"/>
        </w:rPr>
        <w:t xml:space="preserve">effective, </w:t>
      </w:r>
      <w:r w:rsidR="00194EE7">
        <w:rPr>
          <w:lang w:val="en-GB"/>
        </w:rPr>
        <w:t>i.e.,</w:t>
      </w:r>
      <w:r>
        <w:rPr>
          <w:lang w:val="en-GB"/>
        </w:rPr>
        <w:t xml:space="preserve"> it </w:t>
      </w:r>
      <w:r w:rsidR="00194EE7">
        <w:rPr>
          <w:lang w:val="en-GB"/>
        </w:rPr>
        <w:t>rarely brings to complications</w:t>
      </w:r>
      <w:r w:rsidR="0073558B">
        <w:rPr>
          <w:lang w:val="en-GB"/>
        </w:rPr>
        <w:t xml:space="preserve"> for the </w:t>
      </w:r>
      <w:proofErr w:type="gramStart"/>
      <w:r w:rsidR="0073558B">
        <w:rPr>
          <w:lang w:val="en-GB"/>
        </w:rPr>
        <w:t>patient;</w:t>
      </w:r>
      <w:proofErr w:type="gramEnd"/>
    </w:p>
    <w:p w14:paraId="5C7D7B67" w14:textId="77777777" w:rsidR="008023ED" w:rsidRDefault="0073558B" w:rsidP="00194EE7">
      <w:pPr>
        <w:pStyle w:val="Body0"/>
        <w:numPr>
          <w:ilvl w:val="0"/>
          <w:numId w:val="6"/>
        </w:numPr>
        <w:spacing w:before="60"/>
        <w:rPr>
          <w:lang w:val="en-GB"/>
        </w:rPr>
      </w:pPr>
      <w:r>
        <w:rPr>
          <w:lang w:val="en-GB"/>
        </w:rPr>
        <w:t xml:space="preserve">optimal, i.e., we don’t know alternative ways of </w:t>
      </w:r>
      <w:r w:rsidR="008023ED">
        <w:rPr>
          <w:lang w:val="en-GB"/>
        </w:rPr>
        <w:t>conducting the treatment that could improve its effectiveness.</w:t>
      </w:r>
    </w:p>
    <w:p w14:paraId="348082A7" w14:textId="1B31B1C4" w:rsidR="0073558B" w:rsidRDefault="008023ED" w:rsidP="008023ED">
      <w:pPr>
        <w:pStyle w:val="Body0"/>
        <w:spacing w:before="60"/>
        <w:rPr>
          <w:lang w:val="en-GB"/>
        </w:rPr>
      </w:pPr>
      <w:r>
        <w:rPr>
          <w:lang w:val="en-GB"/>
        </w:rPr>
        <w:t xml:space="preserve"> </w:t>
      </w:r>
    </w:p>
    <w:p w14:paraId="37B36B46" w14:textId="77777777" w:rsidR="00F70B25" w:rsidRPr="004B561E" w:rsidRDefault="00F70B25" w:rsidP="00F70B25">
      <w:pPr>
        <w:pStyle w:val="Body0"/>
        <w:spacing w:before="60"/>
        <w:rPr>
          <w:lang w:val="en-GB"/>
        </w:rPr>
      </w:pPr>
    </w:p>
    <w:p w14:paraId="17C549EC" w14:textId="77777777" w:rsidR="00FE6531" w:rsidRPr="00DF5478" w:rsidRDefault="00000000">
      <w:pPr>
        <w:pStyle w:val="Heading"/>
        <w:rPr>
          <w:lang w:val="en-US"/>
        </w:rPr>
      </w:pPr>
      <w:r w:rsidRPr="00DF5478">
        <w:rPr>
          <w:lang w:val="en-US"/>
        </w:rPr>
        <w:lastRenderedPageBreak/>
        <w:t>Assignment</w:t>
      </w:r>
    </w:p>
    <w:p w14:paraId="06B1AFC4" w14:textId="33EB5694" w:rsidR="00FE6531" w:rsidRPr="00DF5478" w:rsidRDefault="00513B3F">
      <w:pPr>
        <w:pStyle w:val="Body0"/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For each goal, d</w:t>
      </w:r>
      <w:r w:rsidRPr="00DF5478">
        <w:rPr>
          <w:lang w:val="en-US"/>
        </w:rPr>
        <w:t>escribe the Knowledge U</w:t>
      </w:r>
      <w:r>
        <w:rPr>
          <w:lang w:val="en-US"/>
        </w:rPr>
        <w:t xml:space="preserve">plift </w:t>
      </w:r>
      <w:r w:rsidRPr="00DF5478">
        <w:rPr>
          <w:lang w:val="en-US"/>
        </w:rPr>
        <w:t xml:space="preserve">Trail </w:t>
      </w:r>
      <w:r>
        <w:rPr>
          <w:lang w:val="en-US"/>
        </w:rPr>
        <w:t>that allow</w:t>
      </w:r>
      <w:r w:rsidR="009D6482">
        <w:rPr>
          <w:lang w:val="en-US"/>
        </w:rPr>
        <w:t>s</w:t>
      </w:r>
      <w:r>
        <w:rPr>
          <w:lang w:val="en-US"/>
        </w:rPr>
        <w:t xml:space="preserve"> you to provide answers</w:t>
      </w:r>
      <w:r w:rsidRPr="00DF5478">
        <w:rPr>
          <w:lang w:val="en-US"/>
        </w:rPr>
        <w:t>.</w:t>
      </w:r>
    </w:p>
    <w:p w14:paraId="69B09B30" w14:textId="66652B9A" w:rsidR="00FE6531" w:rsidRPr="00DF5478" w:rsidRDefault="00513B3F">
      <w:pPr>
        <w:pStyle w:val="Body0"/>
        <w:spacing w:before="60" w:after="80" w:line="288" w:lineRule="auto"/>
        <w:ind w:left="360"/>
        <w:jc w:val="both"/>
        <w:rPr>
          <w:lang w:val="en-US"/>
        </w:rPr>
      </w:pPr>
      <w:proofErr w:type="gramStart"/>
      <w:r>
        <w:rPr>
          <w:lang w:val="en-US"/>
        </w:rPr>
        <w:t>In particular</w:t>
      </w:r>
      <w:r w:rsidR="009D6482">
        <w:rPr>
          <w:lang w:val="en-US"/>
        </w:rPr>
        <w:t>,</w:t>
      </w:r>
      <w:r>
        <w:rPr>
          <w:lang w:val="en-US"/>
        </w:rPr>
        <w:t xml:space="preserve"> define</w:t>
      </w:r>
      <w:proofErr w:type="gramEnd"/>
      <w:r w:rsidRPr="00DF5478">
        <w:rPr>
          <w:lang w:val="en-US"/>
        </w:rPr>
        <w:t>:</w:t>
      </w:r>
    </w:p>
    <w:p w14:paraId="373E67FD" w14:textId="0F9FB405" w:rsidR="00FE6531" w:rsidRDefault="000D2F7E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Filtering steps to remove noise.</w:t>
      </w:r>
    </w:p>
    <w:p w14:paraId="744A0CFD" w14:textId="31963E97" w:rsidR="009728EF" w:rsidRDefault="009728EF" w:rsidP="009728EF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Filtering steps to remove irrelevant data.</w:t>
      </w:r>
    </w:p>
    <w:p w14:paraId="38FECC18" w14:textId="2ADE557F" w:rsidR="00FE6531" w:rsidRDefault="009728EF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 xml:space="preserve">Segments of the log describing </w:t>
      </w:r>
      <w:r w:rsidR="00AF6C63">
        <w:rPr>
          <w:lang w:val="en-US"/>
        </w:rPr>
        <w:t>normal behavior.</w:t>
      </w:r>
    </w:p>
    <w:p w14:paraId="73EC6B42" w14:textId="5246A9DB" w:rsidR="00AF6C63" w:rsidRDefault="00AF6C63" w:rsidP="00AF6C63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Segments of the log describing anomal</w:t>
      </w:r>
      <w:r w:rsidR="009D6482">
        <w:rPr>
          <w:lang w:val="en-US"/>
        </w:rPr>
        <w:t>o</w:t>
      </w:r>
      <w:r>
        <w:rPr>
          <w:lang w:val="en-US"/>
        </w:rPr>
        <w:t>us behavior.</w:t>
      </w:r>
    </w:p>
    <w:p w14:paraId="7D41B421" w14:textId="1D38AB3F" w:rsidR="007F5825" w:rsidRPr="00AF6C63" w:rsidRDefault="007F5825" w:rsidP="00AF6C63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 xml:space="preserve">Compare the segments to verify their significant correlations with properties that may be connected to effectiveness (case size, case duration, loops) </w:t>
      </w:r>
    </w:p>
    <w:sectPr w:rsidR="007F5825" w:rsidRPr="00AF6C6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87146" w14:textId="77777777" w:rsidR="00FC389D" w:rsidRDefault="00FC389D">
      <w:r>
        <w:separator/>
      </w:r>
    </w:p>
  </w:endnote>
  <w:endnote w:type="continuationSeparator" w:id="0">
    <w:p w14:paraId="4EB5172D" w14:textId="77777777" w:rsidR="00FC389D" w:rsidRDefault="00FC3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5C17" w14:textId="77777777" w:rsidR="00FE6531" w:rsidRDefault="00FE65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9B4B" w14:textId="77777777" w:rsidR="00FC389D" w:rsidRDefault="00FC389D">
      <w:r>
        <w:separator/>
      </w:r>
    </w:p>
  </w:footnote>
  <w:footnote w:type="continuationSeparator" w:id="0">
    <w:p w14:paraId="572065A8" w14:textId="77777777" w:rsidR="00FC389D" w:rsidRDefault="00FC389D">
      <w:r>
        <w:continuationSeparator/>
      </w:r>
    </w:p>
  </w:footnote>
  <w:footnote w:id="1">
    <w:p w14:paraId="1E50636D" w14:textId="0F8E4FAB" w:rsidR="008023ED" w:rsidRPr="008023ED" w:rsidRDefault="008023ED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r w:rsidRPr="008023ED">
        <w:t>https://jamanetwork.com/journals/jama/fullarticle/2492881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F2F7" w14:textId="77777777" w:rsidR="00FE6531" w:rsidRDefault="00FE65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D4584F"/>
    <w:multiLevelType w:val="hybridMultilevel"/>
    <w:tmpl w:val="9EE8B432"/>
    <w:lvl w:ilvl="0" w:tplc="32F8A35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28CC"/>
    <w:multiLevelType w:val="hybridMultilevel"/>
    <w:tmpl w:val="C91495A0"/>
    <w:lvl w:ilvl="0" w:tplc="A4AAC140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EA2A0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0545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BE1B3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F058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6CC6C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AC29E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A6393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E748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47A4E1F"/>
    <w:multiLevelType w:val="hybridMultilevel"/>
    <w:tmpl w:val="940E852A"/>
    <w:lvl w:ilvl="0" w:tplc="32F8A35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600E6"/>
    <w:multiLevelType w:val="hybridMultilevel"/>
    <w:tmpl w:val="4408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C407B"/>
    <w:multiLevelType w:val="hybridMultilevel"/>
    <w:tmpl w:val="BE1CED52"/>
    <w:lvl w:ilvl="0" w:tplc="32F8A356">
      <w:numFmt w:val="bullet"/>
      <w:lvlText w:val="-"/>
      <w:lvlJc w:val="left"/>
      <w:pPr>
        <w:ind w:left="360" w:hanging="360"/>
      </w:pPr>
      <w:rPr>
        <w:rFonts w:ascii="Helvetica Neue" w:eastAsia="Arial Unicode MS" w:hAnsi="Helvetica Neue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081408">
    <w:abstractNumId w:val="2"/>
  </w:num>
  <w:num w:numId="2" w16cid:durableId="1188909428">
    <w:abstractNumId w:val="0"/>
  </w:num>
  <w:num w:numId="3" w16cid:durableId="1879003203">
    <w:abstractNumId w:val="4"/>
  </w:num>
  <w:num w:numId="4" w16cid:durableId="1503819197">
    <w:abstractNumId w:val="1"/>
  </w:num>
  <w:num w:numId="5" w16cid:durableId="471755352">
    <w:abstractNumId w:val="5"/>
  </w:num>
  <w:num w:numId="6" w16cid:durableId="919631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31"/>
    <w:rsid w:val="000C3E5E"/>
    <w:rsid w:val="000D2F7E"/>
    <w:rsid w:val="000F2C16"/>
    <w:rsid w:val="00123130"/>
    <w:rsid w:val="00137D9E"/>
    <w:rsid w:val="00194EE7"/>
    <w:rsid w:val="002952D6"/>
    <w:rsid w:val="00330E71"/>
    <w:rsid w:val="00472408"/>
    <w:rsid w:val="00493E5E"/>
    <w:rsid w:val="004B561E"/>
    <w:rsid w:val="00513B3F"/>
    <w:rsid w:val="00557D79"/>
    <w:rsid w:val="00711459"/>
    <w:rsid w:val="0073558B"/>
    <w:rsid w:val="007F5825"/>
    <w:rsid w:val="008023ED"/>
    <w:rsid w:val="00847CCC"/>
    <w:rsid w:val="0086668E"/>
    <w:rsid w:val="009728EF"/>
    <w:rsid w:val="009C462F"/>
    <w:rsid w:val="009D6482"/>
    <w:rsid w:val="00A14FB1"/>
    <w:rsid w:val="00AB3D9F"/>
    <w:rsid w:val="00AF6C63"/>
    <w:rsid w:val="00BB0BB4"/>
    <w:rsid w:val="00C151BB"/>
    <w:rsid w:val="00C54988"/>
    <w:rsid w:val="00DF2929"/>
    <w:rsid w:val="00DF5478"/>
    <w:rsid w:val="00DF63DD"/>
    <w:rsid w:val="00EA415A"/>
    <w:rsid w:val="00EB32BC"/>
    <w:rsid w:val="00F11EF7"/>
    <w:rsid w:val="00F31952"/>
    <w:rsid w:val="00F70B25"/>
    <w:rsid w:val="00FC389D"/>
    <w:rsid w:val="00FE3360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53486"/>
  <w15:docId w15:val="{C2273F82-2604-EF40-A5A5-6562200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C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spacing w:after="380"/>
    </w:pPr>
    <w:rPr>
      <w:rFonts w:ascii="Helvetica Neue" w:hAnsi="Helvetica Neue" w:cs="Arial Unicode MS"/>
      <w:color w:val="000000"/>
      <w:sz w:val="38"/>
      <w:szCs w:val="38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spacing w:before="120" w:after="180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F2C16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C16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F2C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4FB1"/>
  </w:style>
  <w:style w:type="paragraph" w:styleId="FootnoteText">
    <w:name w:val="footnote text"/>
    <w:basedOn w:val="Normal"/>
    <w:link w:val="FootnoteTextChar"/>
    <w:uiPriority w:val="99"/>
    <w:semiHidden/>
    <w:unhideWhenUsed/>
    <w:rsid w:val="008023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3ED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023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yoclinic.org/diseases-conditions/sepsis/diagnosis-treatment/drc-203512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Ceravolo</cp:lastModifiedBy>
  <cp:revision>27</cp:revision>
  <dcterms:created xsi:type="dcterms:W3CDTF">2023-04-14T11:51:00Z</dcterms:created>
  <dcterms:modified xsi:type="dcterms:W3CDTF">2023-05-26T10:47:00Z</dcterms:modified>
</cp:coreProperties>
</file>