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Inter" w:hAnsi="Inter"/>
          <w:b/>
          <w:i w:val="0"/>
          <w:sz w:val="21"/>
        </w:rPr>
        <w:t>THÔNG TIN QUY CÁCH BÀI VIẾT - dành cho khách hàng tham khảo, không đăng báo</w:t>
      </w:r>
    </w:p>
    <w:tbl>
      <w:tblPr>
        <w:tblStyle w:val="TableGrid"/>
        <w:tblW w:type="auto" w:w="0"/>
        <w:tblLook w:firstColumn="1" w:firstRow="1" w:lastColumn="0" w:lastRow="0" w:noHBand="0" w:noVBand="1" w:val="04A0"/>
      </w:tblPr>
      <w:tblGrid>
        <w:gridCol w:w="3120"/>
        <w:gridCol w:w="3120"/>
        <w:gridCol w:w="3120"/>
      </w:tblGrid>
      <w:tr>
        <w:tc>
          <w:tcPr>
            <w:tcW w:type="dxa" w:w="2160"/>
            <w:shd w:val="clear" w:color="auto" w:fill="D9E2F3"/>
          </w:tcPr>
          <w:p>
            <w:r/>
            <w:r>
              <w:rPr>
                <w:rFonts w:ascii="Inter" w:hAnsi="Inter"/>
                <w:b/>
                <w:i w:val="0"/>
                <w:sz w:val="19"/>
              </w:rPr>
              <w:t>Tiêu chí</w:t>
            </w:r>
          </w:p>
        </w:tc>
        <w:tc>
          <w:tcPr>
            <w:tcW w:type="dxa" w:w="3168"/>
            <w:shd w:val="clear" w:color="auto" w:fill="D9E2F3"/>
          </w:tcPr>
          <w:p>
            <w:r/>
            <w:r>
              <w:rPr>
                <w:rFonts w:ascii="Inter" w:hAnsi="Inter"/>
                <w:b/>
                <w:i w:val="0"/>
                <w:sz w:val="19"/>
              </w:rPr>
              <w:t>Yêu cầu của báo</w:t>
            </w:r>
          </w:p>
        </w:tc>
        <w:tc>
          <w:tcPr>
            <w:tcW w:type="dxa" w:w="4032"/>
            <w:shd w:val="clear" w:color="auto" w:fill="D9E2F3"/>
          </w:tcPr>
          <w:p>
            <w:r/>
            <w:r>
              <w:rPr>
                <w:rFonts w:ascii="Inter" w:hAnsi="Inter"/>
                <w:b/>
                <w:i w:val="0"/>
                <w:sz w:val="19"/>
              </w:rPr>
              <w:t>Bài này</w:t>
            </w:r>
          </w:p>
        </w:tc>
      </w:tr>
      <w:tr>
        <w:tc>
          <w:tcPr>
            <w:tcW w:type="dxa" w:w="2160"/>
          </w:tcPr>
          <w:p>
            <w:r/>
            <w:r>
              <w:rPr>
                <w:rFonts w:ascii="Inter" w:hAnsi="Inter"/>
                <w:b w:val="0"/>
                <w:i w:val="0"/>
                <w:sz w:val="19"/>
              </w:rPr>
              <w:t>Kênh đăng</w:t>
            </w:r>
          </w:p>
        </w:tc>
        <w:tc>
          <w:tcPr>
            <w:tcW w:type="dxa" w:w="3168"/>
          </w:tcPr>
          <w:p>
            <w:r/>
            <w:r>
              <w:rPr>
                <w:rFonts w:ascii="Inter" w:hAnsi="Inter"/>
                <w:b w:val="0"/>
                <w:i w:val="0"/>
                <w:sz w:val="19"/>
              </w:rPr>
              <w:t>Tạp chí Diễn đàn Doanh nghiệp</w:t>
            </w:r>
          </w:p>
        </w:tc>
        <w:tc>
          <w:tcPr>
            <w:tcW w:type="dxa" w:w="4032"/>
          </w:tcPr>
          <w:p>
            <w:r/>
            <w:r>
              <w:rPr>
                <w:rFonts w:ascii="Inter" w:hAnsi="Inter"/>
                <w:b w:val="0"/>
                <w:i w:val="0"/>
                <w:sz w:val="19"/>
              </w:rPr>
              <w:t>Diễn đàn Doanh nghiệp</w:t>
            </w:r>
          </w:p>
        </w:tc>
      </w:tr>
      <w:tr>
        <w:tc>
          <w:tcPr>
            <w:tcW w:type="dxa" w:w="2160"/>
          </w:tcPr>
          <w:p>
            <w:r/>
            <w:r>
              <w:rPr>
                <w:rFonts w:ascii="Inter" w:hAnsi="Inter"/>
                <w:b w:val="0"/>
                <w:i w:val="0"/>
                <w:sz w:val="19"/>
              </w:rPr>
              <w:t>Tiêu đề</w:t>
            </w:r>
          </w:p>
        </w:tc>
        <w:tc>
          <w:tcPr>
            <w:tcW w:type="dxa" w:w="3168"/>
          </w:tcPr>
          <w:p>
            <w:r/>
            <w:r>
              <w:rPr>
                <w:rFonts w:ascii="Inter" w:hAnsi="Inter"/>
                <w:b w:val="0"/>
                <w:i w:val="0"/>
                <w:sz w:val="19"/>
              </w:rPr>
              <w:t>Dưới 160 ký tự</w:t>
            </w:r>
          </w:p>
        </w:tc>
        <w:tc>
          <w:tcPr>
            <w:tcW w:type="dxa" w:w="4032"/>
          </w:tcPr>
          <w:p>
            <w:r/>
            <w:r>
              <w:rPr>
                <w:rFonts w:ascii="Inter" w:hAnsi="Inter"/>
                <w:b w:val="0"/>
                <w:i w:val="0"/>
                <w:sz w:val="19"/>
              </w:rPr>
              <w:t>105 ký tự</w:t>
            </w:r>
          </w:p>
        </w:tc>
      </w:tr>
      <w:tr>
        <w:tc>
          <w:tcPr>
            <w:tcW w:type="dxa" w:w="2160"/>
          </w:tcPr>
          <w:p>
            <w:r/>
            <w:r>
              <w:rPr>
                <w:rFonts w:ascii="Inter" w:hAnsi="Inter"/>
                <w:b w:val="0"/>
                <w:i w:val="0"/>
                <w:sz w:val="19"/>
              </w:rPr>
              <w:t>Sapo</w:t>
            </w:r>
          </w:p>
        </w:tc>
        <w:tc>
          <w:tcPr>
            <w:tcW w:type="dxa" w:w="3168"/>
          </w:tcPr>
          <w:p>
            <w:r/>
            <w:r>
              <w:rPr>
                <w:rFonts w:ascii="Inter" w:hAnsi="Inter"/>
                <w:b w:val="0"/>
                <w:i w:val="0"/>
                <w:sz w:val="19"/>
              </w:rPr>
              <w:t>Dưới 200 ký tự</w:t>
            </w:r>
          </w:p>
        </w:tc>
        <w:tc>
          <w:tcPr>
            <w:tcW w:type="dxa" w:w="4032"/>
          </w:tcPr>
          <w:p>
            <w:r/>
            <w:r>
              <w:rPr>
                <w:rFonts w:ascii="Inter" w:hAnsi="Inter"/>
                <w:b w:val="0"/>
                <w:i w:val="0"/>
                <w:sz w:val="19"/>
              </w:rPr>
              <w:t>183 ký tự</w:t>
            </w:r>
          </w:p>
        </w:tc>
      </w:tr>
      <w:tr>
        <w:tc>
          <w:tcPr>
            <w:tcW w:type="dxa" w:w="2160"/>
          </w:tcPr>
          <w:p>
            <w:r/>
            <w:r>
              <w:rPr>
                <w:rFonts w:ascii="Inter" w:hAnsi="Inter"/>
                <w:b w:val="0"/>
                <w:i w:val="0"/>
                <w:sz w:val="19"/>
              </w:rPr>
              <w:t>Số ảnh</w:t>
            </w:r>
          </w:p>
        </w:tc>
        <w:tc>
          <w:tcPr>
            <w:tcW w:type="dxa" w:w="3168"/>
          </w:tcPr>
          <w:p>
            <w:r/>
            <w:r>
              <w:rPr>
                <w:rFonts w:ascii="Inter" w:hAnsi="Inter"/>
                <w:b w:val="0"/>
                <w:i w:val="0"/>
                <w:sz w:val="19"/>
              </w:rPr>
              <w:t>3 ảnh</w:t>
            </w:r>
          </w:p>
        </w:tc>
        <w:tc>
          <w:tcPr>
            <w:tcW w:type="dxa" w:w="4032"/>
          </w:tcPr>
          <w:p>
            <w:r/>
            <w:r>
              <w:rPr>
                <w:rFonts w:ascii="Inter" w:hAnsi="Inter"/>
                <w:b w:val="0"/>
                <w:i w:val="0"/>
                <w:sz w:val="19"/>
              </w:rPr>
              <w:t>3 ảnh, có chú thích</w:t>
            </w:r>
          </w:p>
        </w:tc>
      </w:tr>
      <w:tr>
        <w:tc>
          <w:tcPr>
            <w:tcW w:type="dxa" w:w="2160"/>
          </w:tcPr>
          <w:p>
            <w:r/>
            <w:r>
              <w:rPr>
                <w:rFonts w:ascii="Inter" w:hAnsi="Inter"/>
                <w:b w:val="0"/>
                <w:i w:val="0"/>
                <w:sz w:val="19"/>
              </w:rPr>
              <w:t>Số link</w:t>
            </w:r>
          </w:p>
        </w:tc>
        <w:tc>
          <w:tcPr>
            <w:tcW w:type="dxa" w:w="3168"/>
          </w:tcPr>
          <w:p>
            <w:r/>
            <w:r>
              <w:rPr>
                <w:rFonts w:ascii="Inter" w:hAnsi="Inter"/>
                <w:b w:val="0"/>
                <w:i w:val="0"/>
                <w:sz w:val="19"/>
              </w:rPr>
              <w:t>1 link, chỉ nhận tên miền .vn</w:t>
            </w:r>
          </w:p>
        </w:tc>
        <w:tc>
          <w:tcPr>
            <w:tcW w:type="dxa" w:w="4032"/>
          </w:tcPr>
          <w:p>
            <w:r/>
            <w:r>
              <w:rPr>
                <w:rFonts w:ascii="Inter" w:hAnsi="Inter"/>
                <w:b w:val="0"/>
                <w:i w:val="0"/>
                <w:sz w:val="19"/>
              </w:rPr>
              <w:t>1 link: apconsulting.vn (cuối bài)</w:t>
            </w:r>
          </w:p>
        </w:tc>
      </w:tr>
      <w:tr>
        <w:tc>
          <w:tcPr>
            <w:tcW w:type="dxa" w:w="2160"/>
          </w:tcPr>
          <w:p>
            <w:r/>
            <w:r>
              <w:rPr>
                <w:rFonts w:ascii="Inter" w:hAnsi="Inter"/>
                <w:b w:val="0"/>
                <w:i w:val="0"/>
                <w:sz w:val="19"/>
              </w:rPr>
              <w:t>Độ dài</w:t>
            </w:r>
          </w:p>
        </w:tc>
        <w:tc>
          <w:tcPr>
            <w:tcW w:type="dxa" w:w="3168"/>
          </w:tcPr>
          <w:p>
            <w:r/>
            <w:r>
              <w:rPr>
                <w:rFonts w:ascii="Inter" w:hAnsi="Inter"/>
                <w:b w:val="0"/>
                <w:i w:val="0"/>
                <w:sz w:val="19"/>
              </w:rPr>
              <w:t>Khoảng 1.000 từ</w:t>
            </w:r>
          </w:p>
        </w:tc>
        <w:tc>
          <w:tcPr>
            <w:tcW w:type="dxa" w:w="4032"/>
          </w:tcPr>
          <w:p>
            <w:r/>
            <w:r>
              <w:rPr>
                <w:rFonts w:ascii="Inter" w:hAnsi="Inter"/>
                <w:b w:val="0"/>
                <w:i w:val="0"/>
                <w:sz w:val="19"/>
              </w:rPr>
              <w:t>Khoảng 1.079 từ (tính cả sapo, không tính tiêu đề)</w:t>
            </w:r>
          </w:p>
        </w:tc>
      </w:tr>
      <w:tr>
        <w:tc>
          <w:tcPr>
            <w:tcW w:type="dxa" w:w="2160"/>
          </w:tcPr>
          <w:p>
            <w:r/>
            <w:r>
              <w:rPr>
                <w:rFonts w:ascii="Inter" w:hAnsi="Inter"/>
                <w:b w:val="0"/>
                <w:i w:val="0"/>
                <w:sz w:val="19"/>
              </w:rPr>
              <w:t>Nội dung</w:t>
            </w:r>
          </w:p>
        </w:tc>
        <w:tc>
          <w:tcPr>
            <w:tcW w:type="dxa" w:w="3168"/>
          </w:tcPr>
          <w:p>
            <w:r/>
            <w:r>
              <w:rPr>
                <w:rFonts w:ascii="Inter" w:hAnsi="Inter"/>
                <w:b w:val="0"/>
                <w:i w:val="0"/>
                <w:sz w:val="19"/>
              </w:rPr>
              <w:t>Đủ ý theo bài mẫu khách duyệt</w:t>
            </w:r>
          </w:p>
        </w:tc>
        <w:tc>
          <w:tcPr>
            <w:tcW w:type="dxa" w:w="4032"/>
          </w:tcPr>
          <w:p>
            <w:r/>
            <w:r>
              <w:rPr>
                <w:rFonts w:ascii="Inter" w:hAnsi="Inter"/>
                <w:b w:val="0"/>
                <w:i w:val="0"/>
                <w:sz w:val="19"/>
              </w:rPr>
              <w:t>Giữ đủ ý, số liệu, trích dẫn của bài mẫu; diễn đạt khác bản CafeBiz để không trùng nội dung giữa hai báo</w:t>
            </w:r>
          </w:p>
        </w:tc>
      </w:tr>
    </w:tbl>
    <w:p>
      <w:r>
        <w:rPr>
          <w:rFonts w:ascii="Inter" w:hAnsi="Inter"/>
          <w:b w:val="0"/>
          <w:i/>
          <w:sz w:val="19"/>
        </w:rPr>
        <w:t>Phần dưới đây là nội dung bài đăng.</w:t>
      </w:r>
    </w:p>
    <w:p>
      <w:pPr>
        <w:spacing w:after="280"/>
        <w:pBdr>
          <w:bottom w:val="single" w:sz="8" w:space="1" w:color="808080"/>
        </w:pBdr>
      </w:pPr>
    </w:p>
    <w:p>
      <w:r>
        <w:rPr>
          <w:rFonts w:ascii="Inter" w:hAnsi="Inter"/>
          <w:b/>
          <w:i w:val="0"/>
          <w:sz w:val="26"/>
        </w:rPr>
        <w:t>Phát triển lãnh đạo bắt đầu từ bài toán kinh doanh: Hướng đi của A&amp;P Việt Nam cùng đối tác chiến lược DDI</w:t>
      </w:r>
    </w:p>
    <w:p>
      <w:r>
        <w:rPr>
          <w:rFonts w:ascii="Inter" w:hAnsi="Inter"/>
          <w:b w:val="0"/>
          <w:i/>
        </w:rPr>
        <w:t>Từ kinh nghiệm lãnh đạo tại các tập đoàn đa quốc gia, bà Võ Thị Thanh Loan xây dựng A&amp;P Việt Nam theo hướng đi từ bài toán kinh doanh đến năng lực lãnh đạo, cùng sự đồng hành của DDI.</w:t>
      </w:r>
    </w:p>
    <w:p>
      <w:r>
        <w:rPr>
          <w:rFonts w:ascii="Inter" w:hAnsi="Inter"/>
          <w:b w:val="0"/>
          <w:i w:val="0"/>
        </w:rPr>
        <w:t>Nhiều doanh nghiệp có chiến lược sắc bén nhưng kết quả kinh doanh vẫn chưa như kỳ vọng. Theo bà Võ Thị Thanh Loan, Giám đốc Điều hành A&amp;P Việt Nam, phần thiếu hụt thường nằm ở năng lực của đội ngũ thực thi. Nhận định này là xuất phát điểm cho sứ mệnh phát triển năng lực lãnh đạo mà công ty theo đuổi, và cũng là cơ sở để A&amp;P Việt Nam trở thành đối tác chiến lược của Development Dimensions International (DDI) tại Việt Nam.</w:t>
      </w:r>
    </w:p>
    <w:p>
      <w:pPr>
        <w:keepNext/>
        <w:jc w:val="center"/>
      </w:pPr>
      <w:r>
        <w:drawing>
          <wp:inline xmlns:a="http://schemas.openxmlformats.org/drawingml/2006/main" xmlns:pic="http://schemas.openxmlformats.org/drawingml/2006/picture">
            <wp:extent cx="5486400" cy="4111921"/>
            <wp:docPr id="1" name="Picture 1"/>
            <wp:cNvGraphicFramePr>
              <a:graphicFrameLocks noChangeAspect="1"/>
            </wp:cNvGraphicFramePr>
            <a:graphic>
              <a:graphicData uri="http://schemas.openxmlformats.org/drawingml/2006/picture">
                <pic:pic>
                  <pic:nvPicPr>
                    <pic:cNvPr id="0" name="image4.jpeg"/>
                    <pic:cNvPicPr/>
                  </pic:nvPicPr>
                  <pic:blipFill>
                    <a:blip r:embed="rId9"/>
                    <a:stretch>
                      <a:fillRect/>
                    </a:stretch>
                  </pic:blipFill>
                  <pic:spPr>
                    <a:xfrm>
                      <a:off x="0" y="0"/>
                      <a:ext cx="5486400" cy="4111921"/>
                    </a:xfrm>
                    <a:prstGeom prst="rect"/>
                  </pic:spPr>
                </pic:pic>
              </a:graphicData>
            </a:graphic>
          </wp:inline>
        </w:drawing>
      </w:r>
    </w:p>
    <w:p>
      <w:pPr>
        <w:jc w:val="center"/>
      </w:pPr>
      <w:r>
        <w:rPr>
          <w:rFonts w:ascii="Inter" w:hAnsi="Inter"/>
          <w:b w:val="0"/>
          <w:i/>
          <w:sz w:val="20"/>
        </w:rPr>
        <w:t>Bà Võ Thị Thanh Loan, Giám đốc Điều hành A&amp;P Việt Nam, cùng ấn phẩm giới thiệu của công ty.</w:t>
      </w:r>
    </w:p>
    <w:p>
      <w:r>
        <w:rPr>
          <w:rFonts w:ascii="Inter" w:hAnsi="Inter"/>
          <w:b/>
          <w:i w:val="0"/>
        </w:rPr>
        <w:t>Từ bài toán kinh doanh đến bài toán con người</w:t>
      </w:r>
    </w:p>
    <w:p>
      <w:r>
        <w:rPr>
          <w:rFonts w:ascii="Inter" w:hAnsi="Inter"/>
          <w:b w:val="0"/>
          <w:i w:val="0"/>
        </w:rPr>
        <w:t>Bà Thanh Loan từng giữ vị trí lãnh đạo cấp cao về Kinh doanh và Nhân sự tại các tập đoàn đa quốc gia. Làm việc ở cả hai phía, bà hiểu áp lực tăng trưởng của doanh nghiệp lẫn những khó khăn trong quản trị nhân sự. Từ trải nghiệm đó, bà đúc kết: "Chiến lược dù tốt đến đâu cũng chỉ tạo ra kết quả khi được thực thi thông qua đội ngũ."</w:t>
      </w:r>
    </w:p>
    <w:p>
      <w:r>
        <w:rPr>
          <w:rFonts w:ascii="Inter" w:hAnsi="Inter"/>
          <w:b w:val="0"/>
          <w:i w:val="0"/>
        </w:rPr>
        <w:t>Nền tảng chuyên môn của bà gồm chương trình nghiên cứu sinh Tiến sĩ Quản trị Kinh doanh tại Viện Công nghệ Châu Á (AIT) và chứng nhận chuyên gia đào tạo của DDI. Bà nhìn phát triển lãnh đạo như một việc mang tính chiến lược: trước hết phải xác định đúng năng lực cốt lõi giúp doanh nghiệp đạt mục tiêu, sau đó mới thiết kế giải pháp.</w:t>
      </w:r>
    </w:p>
    <w:p>
      <w:r>
        <w:rPr>
          <w:rFonts w:ascii="Inter" w:hAnsi="Inter"/>
          <w:b/>
          <w:i w:val="0"/>
        </w:rPr>
        <w:t>Tìm đúng điểm nghẽn phía sau yêu cầu đào tạo</w:t>
      </w:r>
    </w:p>
    <w:p>
      <w:r>
        <w:rPr>
          <w:rFonts w:ascii="Inter" w:hAnsi="Inter"/>
          <w:b w:val="0"/>
          <w:i w:val="0"/>
        </w:rPr>
        <w:t>Cách nhìn này quyết định phong cách làm việc của A&amp;P Việt Nam. Công ty lấy khách hàng làm trung tâm và tập trung vào điểm nghẽn năng lực thực sự của tổ chức, thay vì chỉ đáp ứng yêu cầu ban đầu. "Một nhóm người được đào tạo một kỹ năng chưa đồng nghĩa với một tổ chức đã sở hữu năng lực đó," bà Thanh Loan nói.</w:t>
      </w:r>
    </w:p>
    <w:p>
      <w:r>
        <w:rPr>
          <w:rFonts w:ascii="Inter" w:hAnsi="Inter"/>
          <w:b w:val="0"/>
          <w:i w:val="0"/>
        </w:rPr>
        <w:t>Một nhà máy thuộc tập đoàn đa quốc gia từng đề nghị nâng cao năng lực giải quyết vấn đề cho đội ngũ quản lý. Khi trao đổi, A&amp;P Việt Nam nhận thấy nhu cầu thật sự của nhà máy là có năng lực tự thân để xử lý các bài toán vận hành về lâu dài.</w:t>
      </w:r>
    </w:p>
    <w:p>
      <w:r>
        <w:rPr>
          <w:rFonts w:ascii="Inter" w:hAnsi="Inter"/>
          <w:b w:val="0"/>
          <w:i w:val="0"/>
        </w:rPr>
        <w:t>Vì vậy, khóa học chỉ là bước mở đầu. Các nhà quản lý trực tiếp xử lý những điểm nghẽn tại nhà máy, có chuyên gia của A&amp;P Việt Nam đồng hành. Lãnh đạo cấp cao đóng vai trò cố vấn, còn quản lý trực tiếp tạo điều kiện để nhân viên áp dụng phương pháp mới vào công việc hằng ngày. Dần dần, tinh thần chủ động trở thành văn hóa chung và nhà máy có đội ngũ lãnh đạo nội bộ đủ năng lực dìu dắt thế hệ kế cận.</w:t>
      </w:r>
    </w:p>
    <w:p>
      <w:pPr>
        <w:keepNext/>
        <w:jc w:val="center"/>
      </w:pPr>
      <w:r>
        <w:drawing>
          <wp:inline xmlns:a="http://schemas.openxmlformats.org/drawingml/2006/main" xmlns:pic="http://schemas.openxmlformats.org/drawingml/2006/picture">
            <wp:extent cx="5486400" cy="3656321"/>
            <wp:docPr id="2" name="Picture 2"/>
            <wp:cNvGraphicFramePr>
              <a:graphicFrameLocks noChangeAspect="1"/>
            </wp:cNvGraphicFramePr>
            <a:graphic>
              <a:graphicData uri="http://schemas.openxmlformats.org/drawingml/2006/picture">
                <pic:pic>
                  <pic:nvPicPr>
                    <pic:cNvPr id="0" name="image2.jpeg"/>
                    <pic:cNvPicPr/>
                  </pic:nvPicPr>
                  <pic:blipFill>
                    <a:blip r:embed="rId10"/>
                    <a:stretch>
                      <a:fillRect/>
                    </a:stretch>
                  </pic:blipFill>
                  <pic:spPr>
                    <a:xfrm>
                      <a:off x="0" y="0"/>
                      <a:ext cx="5486400" cy="3656321"/>
                    </a:xfrm>
                    <a:prstGeom prst="rect"/>
                  </pic:spPr>
                </pic:pic>
              </a:graphicData>
            </a:graphic>
          </wp:inline>
        </w:drawing>
      </w:r>
    </w:p>
    <w:p>
      <w:pPr>
        <w:jc w:val="center"/>
      </w:pPr>
      <w:r>
        <w:rPr>
          <w:rFonts w:ascii="Inter" w:hAnsi="Inter"/>
          <w:b w:val="0"/>
          <w:i/>
          <w:sz w:val="20"/>
        </w:rPr>
        <w:t>Bà Võ Thị Thanh Loan ký kết thỏa thuận hợp tác chiến lược với DDI tại TP.HCM.</w:t>
      </w:r>
    </w:p>
    <w:p>
      <w:r>
        <w:rPr>
          <w:rFonts w:ascii="Inter" w:hAnsi="Inter"/>
          <w:b/>
          <w:i w:val="0"/>
        </w:rPr>
        <w:t>Niềm tin của khách hàng lớn xây từ sự nhất quán</w:t>
      </w:r>
    </w:p>
    <w:p>
      <w:r>
        <w:rPr>
          <w:rFonts w:ascii="Inter" w:hAnsi="Inter"/>
          <w:b w:val="0"/>
          <w:i w:val="0"/>
        </w:rPr>
        <w:t>Hơn 95% khách hàng của A&amp;P Việt Nam là các tập đoàn đa quốc gia và doanh nghiệp lớn, những đơn vị có tiêu chuẩn rất cao khi chọn đối tác. Theo bà Thanh Loan, họ gắn bó lâu dài vì A&amp;P Việt Nam nhất quán từ tư duy đến cách làm.</w:t>
      </w:r>
    </w:p>
    <w:p>
      <w:r>
        <w:rPr>
          <w:rFonts w:ascii="Inter" w:hAnsi="Inter"/>
          <w:b w:val="0"/>
          <w:i w:val="0"/>
        </w:rPr>
        <w:t>Về tư duy, mọi chương trình đều hướng đến kết quả kinh doanh thực chất. Về cách làm, công ty giữ ba nguyên tắc: hiểu rõ bối cảnh doanh nghiệp trước khi tư vấn, duy trì chất lượng đồng đều trong suốt hành trình, và theo sát kết quả chuyển hóa sau lớp học, bất kể dự án lớn hay nhỏ.</w:t>
      </w:r>
    </w:p>
    <w:p>
      <w:r>
        <w:rPr>
          <w:rFonts w:ascii="Inter" w:hAnsi="Inter"/>
          <w:b w:val="0"/>
          <w:i w:val="0"/>
        </w:rPr>
        <w:t>"Niềm tin không được xây bằng việc luôn gật đầu với khách hàng; đôi khi nó được tạo nên từ bản lĩnh dám đặt lại câu hỏi về chính đề bài ban đầu để tìm ra lời giải tốt nhất," bà Thanh Loan chia sẻ.</w:t>
      </w:r>
    </w:p>
    <w:p>
      <w:r>
        <w:rPr>
          <w:rFonts w:ascii="Inter" w:hAnsi="Inter"/>
          <w:b/>
          <w:i w:val="0"/>
        </w:rPr>
        <w:t>Hợp tác với DDI: đưa chuẩn mực lãnh đạo toàn cầu đến doanh nghiệp Việt Nam</w:t>
      </w:r>
    </w:p>
    <w:p>
      <w:r>
        <w:rPr>
          <w:rFonts w:ascii="Inter" w:hAnsi="Inter"/>
          <w:b w:val="0"/>
          <w:i w:val="0"/>
        </w:rPr>
        <w:t>A&amp;P Việt Nam và DDI có chung một triết lý: phát triển lãnh đạo phải là một hệ thống đồng bộ và được đo bằng kết quả.</w:t>
      </w:r>
    </w:p>
    <w:p>
      <w:r>
        <w:rPr>
          <w:rFonts w:ascii="Inter" w:hAnsi="Inter"/>
          <w:b w:val="0"/>
          <w:i w:val="0"/>
        </w:rPr>
        <w:t>DDI đã nghiên cứu hành vi lãnh đạo hơn nửa thế kỷ và mỗi năm đào tạo khoảng 3 triệu lãnh đạo trên toàn cầu, tạo nên nền tảng phương pháp đã được kiểm chứng. A&amp;P Việt Nam bổ sung sự am hiểu về văn hóa, con người và bối cảnh doanh nghiệp trong nước để phương pháp đó phát huy hiệu quả ở từng tổ chức. Kết quả là những lộ trình vừa đạt chuẩn quốc tế, vừa sát thực tiễn Việt Nam.</w:t>
      </w:r>
    </w:p>
    <w:p>
      <w:pPr>
        <w:keepNext/>
        <w:jc w:val="center"/>
      </w:pPr>
      <w:r>
        <w:drawing>
          <wp:inline xmlns:a="http://schemas.openxmlformats.org/drawingml/2006/main" xmlns:pic="http://schemas.openxmlformats.org/drawingml/2006/picture">
            <wp:extent cx="5486400" cy="3656321"/>
            <wp:docPr id="3" name="Picture 3"/>
            <wp:cNvGraphicFramePr>
              <a:graphicFrameLocks noChangeAspect="1"/>
            </wp:cNvGraphicFramePr>
            <a:graphic>
              <a:graphicData uri="http://schemas.openxmlformats.org/drawingml/2006/picture">
                <pic:pic>
                  <pic:nvPicPr>
                    <pic:cNvPr id="0" name="image3.jpeg"/>
                    <pic:cNvPicPr/>
                  </pic:nvPicPr>
                  <pic:blipFill>
                    <a:blip r:embed="rId11"/>
                    <a:stretch>
                      <a:fillRect/>
                    </a:stretch>
                  </pic:blipFill>
                  <pic:spPr>
                    <a:xfrm>
                      <a:off x="0" y="0"/>
                      <a:ext cx="5486400" cy="3656321"/>
                    </a:xfrm>
                    <a:prstGeom prst="rect"/>
                  </pic:spPr>
                </pic:pic>
              </a:graphicData>
            </a:graphic>
          </wp:inline>
        </w:drawing>
      </w:r>
    </w:p>
    <w:p>
      <w:pPr>
        <w:jc w:val="center"/>
      </w:pPr>
      <w:r>
        <w:rPr>
          <w:rFonts w:ascii="Inter" w:hAnsi="Inter"/>
          <w:b w:val="0"/>
          <w:i/>
          <w:sz w:val="20"/>
        </w:rPr>
        <w:t>Lễ ký kết hợp tác chiến lược giữa A&amp;P Việt Nam và DDI.</w:t>
      </w:r>
    </w:p>
    <w:p>
      <w:r>
        <w:rPr>
          <w:rFonts w:ascii="Inter" w:hAnsi="Inter"/>
          <w:b w:val="0"/>
          <w:i w:val="0"/>
        </w:rPr>
        <w:t>"Chúng tôi không tìm kiếm thêm một nhà cung cấp nội dung. Chúng tôi tìm kiếm một tổ chức đồng hành ngang tầm, cùng nâng chuẩn phát triển lãnh đạo tại Việt Nam," bà Thanh Loan khẳng định.</w:t>
      </w:r>
    </w:p>
    <w:p>
      <w:r>
        <w:rPr>
          <w:rFonts w:ascii="Inter" w:hAnsi="Inter"/>
          <w:b/>
          <w:i w:val="0"/>
        </w:rPr>
        <w:t>Chuẩn bị lãnh đạo cho tương lai của tổ chức</w:t>
      </w:r>
    </w:p>
    <w:p>
      <w:r>
        <w:rPr>
          <w:rFonts w:ascii="Inter" w:hAnsi="Inter"/>
          <w:b w:val="0"/>
          <w:i w:val="0"/>
        </w:rPr>
        <w:t>Theo khảo sát năm 2025 của DDI, chỉ 20% lãnh đạo nhân sự đánh giá tổ chức của mình có đủ lực lượng sẵn sàng cho các vị trí trọng yếu. Trong thời đại AI, công nghệ có thể xử lý dữ liệu nhanh hơn, song khả năng phán đoán, tinh thần trách nhiệm và niềm tin vẫn là phần việc của con người.</w:t>
      </w:r>
    </w:p>
    <w:p>
      <w:r>
        <w:rPr>
          <w:rFonts w:ascii="Inter" w:hAnsi="Inter"/>
          <w:b w:val="0"/>
          <w:i w:val="0"/>
        </w:rPr>
        <w:t>Vì vậy, nhà lãnh đạo thế hệ mới cần có tâm thế của người gieo hạt: vừa tạo ra kết quả hôm nay, vừa nuôi dưỡng người sẽ tiếp bước. Thước đo thành công cũng chuyển từ thành tích cá nhân sang mức độ trưởng thành của đội ngũ và một bộ máy đủ vững trước biến động của thị trường.</w:t>
      </w:r>
    </w:p>
    <w:p>
      <w:r>
        <w:rPr>
          <w:rFonts w:ascii="Inter" w:hAnsi="Inter"/>
          <w:b w:val="0"/>
          <w:i w:val="0"/>
        </w:rPr>
        <w:t>Với A&amp;P Việt Nam, bà Thanh Loan mong công ty sẽ là một trong những điểm tựa đầu tiên doanh nghiệp tìm đến khi đối mặt với bài toán nguồn nhân lực. "Tôi muốn góp phần giúp doanh nghiệp biến sức mạnh của con người thành sức mạnh của tổ chức, thông qua những nhà lãnh đạo biết tạo ra kết quả, phát triển người khác và chuẩn bị cho tương lai tăng trưởng trường tồn."</w:t>
      </w:r>
    </w:p>
    <w:p>
      <w:r>
        <w:rPr>
          <w:rFonts w:ascii="Inter" w:hAnsi="Inter"/>
          <w:b w:val="0"/>
          <w:i w:val="0"/>
        </w:rPr>
        <w:t xml:space="preserve">Thông tin về các chương trình tư vấn và đào tạo lãnh đạo của A&amp;P Việt Nam được cập nhật tại </w:t>
      </w:r>
      <w:hyperlink r:id="rId12">
        <w:r>
          <w:rPr>
            <w:color w:val="0563C1"/>
            <w:u w:val="single"/>
          </w:rPr>
          <w:t>apconsulting.vn</w:t>
        </w:r>
      </w:hyperlink>
      <w:r>
        <w:rPr>
          <w:rFonts w:ascii="Inter" w:hAnsi="Inter"/>
          <w:b w:val="0"/>
          <w:i w:val="0"/>
        </w:rP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Inter" w:hAnsi="Inter" w:eastAsia="Inte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hyperlink" Target="https://apconsulting.v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