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5784"/>
      </w:tblGrid>
      <w:tr w:rsidR="00334936" w14:paraId="3968F81D" w14:textId="77777777" w:rsidTr="00334936">
        <w:tc>
          <w:tcPr>
            <w:tcW w:w="3565" w:type="dxa"/>
            <w:vAlign w:val="center"/>
          </w:tcPr>
          <w:p w14:paraId="5CEE29DE" w14:textId="0554BE0B" w:rsidR="00334936" w:rsidRDefault="00334936" w:rsidP="00334936">
            <w:pPr>
              <w:jc w:val="center"/>
              <w:rPr>
                <w:b/>
                <w:bCs/>
                <w:sz w:val="44"/>
                <w:szCs w:val="44"/>
              </w:rPr>
            </w:pPr>
            <w:r w:rsidRPr="00D436A0">
              <w:rPr>
                <w:noProof/>
              </w:rPr>
              <w:drawing>
                <wp:inline distT="0" distB="0" distL="0" distR="0" wp14:anchorId="1F0B4EFD" wp14:editId="0FE21315">
                  <wp:extent cx="2133600" cy="458724"/>
                  <wp:effectExtent l="0" t="0" r="0" b="0"/>
                  <wp:docPr id="5" name="Picture 4" descr="DEEC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EC_medium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5" w:type="dxa"/>
            <w:vAlign w:val="center"/>
          </w:tcPr>
          <w:p w14:paraId="37C91CF7" w14:textId="322C8C8C" w:rsidR="00334936" w:rsidRPr="00334936" w:rsidRDefault="00334936" w:rsidP="00F17F06">
            <w:pPr>
              <w:jc w:val="center"/>
              <w:rPr>
                <w:b/>
                <w:bCs/>
                <w:sz w:val="40"/>
                <w:szCs w:val="40"/>
              </w:rPr>
            </w:pPr>
            <w:r w:rsidRPr="00334936">
              <w:rPr>
                <w:b/>
                <w:bCs/>
                <w:sz w:val="40"/>
                <w:szCs w:val="40"/>
              </w:rPr>
              <w:t>Big Data Measuring Systems</w:t>
            </w:r>
          </w:p>
        </w:tc>
      </w:tr>
    </w:tbl>
    <w:p w14:paraId="1FAAD107" w14:textId="7218B185" w:rsidR="00D436A0" w:rsidRPr="00F17F06" w:rsidRDefault="00D436A0" w:rsidP="00D436A0">
      <w:pPr>
        <w:jc w:val="center"/>
        <w:rPr>
          <w:sz w:val="24"/>
          <w:szCs w:val="24"/>
        </w:rPr>
      </w:pPr>
    </w:p>
    <w:p w14:paraId="385F3347" w14:textId="5C1FC21E" w:rsidR="00F17F06" w:rsidRDefault="00F17F06" w:rsidP="00F17F0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334936">
        <w:rPr>
          <w:b/>
          <w:bCs/>
          <w:sz w:val="40"/>
          <w:szCs w:val="40"/>
        </w:rPr>
        <w:t xml:space="preserve">LAB </w:t>
      </w:r>
      <w:r w:rsidR="00D503EC">
        <w:rPr>
          <w:b/>
          <w:bCs/>
          <w:sz w:val="40"/>
          <w:szCs w:val="40"/>
        </w:rPr>
        <w:t>4</w:t>
      </w:r>
      <w:r w:rsidRPr="00334936">
        <w:rPr>
          <w:b/>
          <w:bCs/>
          <w:sz w:val="40"/>
          <w:szCs w:val="40"/>
        </w:rPr>
        <w:t xml:space="preserve"> Short Report: </w:t>
      </w:r>
      <w:r w:rsidR="006B2D70">
        <w:rPr>
          <w:b/>
          <w:bCs/>
          <w:sz w:val="40"/>
          <w:szCs w:val="40"/>
        </w:rPr>
        <w:t>Cloud Sensor Platforms</w:t>
      </w:r>
    </w:p>
    <w:p w14:paraId="24A440C9" w14:textId="77777777" w:rsidR="00F17F06" w:rsidRPr="00F17F06" w:rsidRDefault="00F17F06" w:rsidP="00D436A0">
      <w:pPr>
        <w:jc w:val="center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70"/>
        <w:gridCol w:w="1253"/>
        <w:gridCol w:w="994"/>
        <w:gridCol w:w="1037"/>
        <w:gridCol w:w="2107"/>
        <w:gridCol w:w="2390"/>
      </w:tblGrid>
      <w:tr w:rsidR="00E05912" w:rsidRPr="00826373" w14:paraId="45BCC15D" w14:textId="77777777" w:rsidTr="00E05912">
        <w:trPr>
          <w:trHeight w:val="340"/>
        </w:trPr>
        <w:tc>
          <w:tcPr>
            <w:tcW w:w="1570" w:type="dxa"/>
            <w:vAlign w:val="center"/>
          </w:tcPr>
          <w:p w14:paraId="046893F7" w14:textId="77777777" w:rsidR="00E05912" w:rsidRPr="00826373" w:rsidRDefault="00E05912" w:rsidP="00AC44A4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Week day</w:t>
            </w:r>
          </w:p>
        </w:tc>
        <w:tc>
          <w:tcPr>
            <w:tcW w:w="1253" w:type="dxa"/>
            <w:vAlign w:val="center"/>
          </w:tcPr>
          <w:p w14:paraId="3B0128D9" w14:textId="77777777" w:rsidR="00E05912" w:rsidRPr="00826373" w:rsidRDefault="00E05912" w:rsidP="00AC44A4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94" w:type="dxa"/>
            <w:vAlign w:val="center"/>
          </w:tcPr>
          <w:p w14:paraId="3688D690" w14:textId="77777777" w:rsidR="00E05912" w:rsidRPr="00826373" w:rsidRDefault="00E05912" w:rsidP="00AC44A4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Hour</w:t>
            </w:r>
          </w:p>
        </w:tc>
        <w:tc>
          <w:tcPr>
            <w:tcW w:w="1037" w:type="dxa"/>
            <w:vAlign w:val="center"/>
          </w:tcPr>
          <w:p w14:paraId="3A9C21F6" w14:textId="77777777" w:rsidR="00E05912" w:rsidRPr="00826373" w:rsidRDefault="00E05912" w:rsidP="00AC44A4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4497" w:type="dxa"/>
            <w:gridSpan w:val="2"/>
            <w:vAlign w:val="center"/>
          </w:tcPr>
          <w:p w14:paraId="12CFB76E" w14:textId="77777777" w:rsidR="00E05912" w:rsidRPr="00826373" w:rsidRDefault="00E05912" w:rsidP="00AC44A4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Students Numbers</w:t>
            </w:r>
          </w:p>
        </w:tc>
      </w:tr>
      <w:tr w:rsidR="00E05912" w:rsidRPr="00826373" w14:paraId="3260426F" w14:textId="77777777" w:rsidTr="00E05912">
        <w:trPr>
          <w:trHeight w:val="340"/>
        </w:trPr>
        <w:tc>
          <w:tcPr>
            <w:tcW w:w="1570" w:type="dxa"/>
            <w:vAlign w:val="center"/>
          </w:tcPr>
          <w:p w14:paraId="7552F4C8" w14:textId="77777777" w:rsidR="00E05912" w:rsidRPr="00826373" w:rsidRDefault="00E05912" w:rsidP="00AC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253" w:type="dxa"/>
            <w:vAlign w:val="center"/>
          </w:tcPr>
          <w:p w14:paraId="0A85A15C" w14:textId="77777777" w:rsidR="00E05912" w:rsidRPr="00826373" w:rsidRDefault="00E05912" w:rsidP="00AC4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24/4/2020</w:t>
            </w:r>
          </w:p>
        </w:tc>
        <w:tc>
          <w:tcPr>
            <w:tcW w:w="994" w:type="dxa"/>
            <w:vAlign w:val="center"/>
          </w:tcPr>
          <w:p w14:paraId="438BEDE9" w14:textId="77777777" w:rsidR="00E05912" w:rsidRPr="00826373" w:rsidRDefault="00E05912" w:rsidP="00AC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6A32D2EB" w14:textId="77777777" w:rsidR="00E05912" w:rsidRPr="00826373" w:rsidRDefault="00E05912" w:rsidP="00AC4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  <w:vAlign w:val="center"/>
          </w:tcPr>
          <w:p w14:paraId="3AD261F4" w14:textId="77777777" w:rsidR="00E05912" w:rsidRPr="00E05544" w:rsidRDefault="00E05912" w:rsidP="00AC44A4">
            <w:pPr>
              <w:rPr>
                <w:sz w:val="24"/>
                <w:szCs w:val="24"/>
              </w:rPr>
            </w:pPr>
            <w:r w:rsidRPr="00E05544">
              <w:rPr>
                <w:sz w:val="24"/>
                <w:szCs w:val="24"/>
              </w:rPr>
              <w:t>Paolo Frazzetto</w:t>
            </w:r>
          </w:p>
        </w:tc>
        <w:tc>
          <w:tcPr>
            <w:tcW w:w="2390" w:type="dxa"/>
            <w:vAlign w:val="center"/>
          </w:tcPr>
          <w:p w14:paraId="3404ACA7" w14:textId="77777777" w:rsidR="00E05912" w:rsidRPr="00826373" w:rsidRDefault="00E05912" w:rsidP="00AC44A4">
            <w:pPr>
              <w:pStyle w:val="ListParagraph"/>
              <w:ind w:left="10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94942</w:t>
            </w:r>
          </w:p>
        </w:tc>
      </w:tr>
    </w:tbl>
    <w:p w14:paraId="7F07A765" w14:textId="77777777" w:rsidR="00183EFD" w:rsidRDefault="00183EFD" w:rsidP="00183EFD">
      <w:pPr>
        <w:jc w:val="both"/>
        <w:rPr>
          <w:b/>
          <w:bCs/>
          <w:sz w:val="24"/>
          <w:szCs w:val="24"/>
        </w:rPr>
      </w:pPr>
    </w:p>
    <w:p w14:paraId="0D81F1EC" w14:textId="06B72864" w:rsidR="002732DB" w:rsidRDefault="002732DB" w:rsidP="002732D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2732DB" w14:paraId="036C23FD" w14:textId="77777777" w:rsidTr="0045359A">
        <w:trPr>
          <w:trHeight w:val="413"/>
        </w:trPr>
        <w:tc>
          <w:tcPr>
            <w:tcW w:w="3397" w:type="dxa"/>
            <w:vAlign w:val="center"/>
          </w:tcPr>
          <w:p w14:paraId="38399367" w14:textId="67D1D77A" w:rsidR="0045359A" w:rsidRDefault="006E60C1" w:rsidP="004535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Channel ID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C980E4D" w14:textId="217A0C6C" w:rsidR="002732DB" w:rsidRDefault="004D2199" w:rsidP="0045359A">
            <w:pPr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>1058393</w:t>
            </w:r>
            <w:r w:rsidR="006A2E69"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 xml:space="preserve"> (Features</w:t>
            </w:r>
            <w:r w:rsidR="004B0659"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 xml:space="preserve"> &amp; Analysis</w:t>
            </w:r>
            <w:r w:rsidR="006A2E69"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>)</w:t>
            </w:r>
          </w:p>
          <w:p w14:paraId="3936B936" w14:textId="6B6A99C3" w:rsidR="006A2E69" w:rsidRDefault="006D1E19" w:rsidP="0045359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hd w:val="clear" w:color="auto" w:fill="FFFFFF"/>
              </w:rPr>
              <w:t>1065024</w:t>
            </w:r>
            <w:r w:rsidR="006A2E69">
              <w:rPr>
                <w:b/>
                <w:bCs/>
                <w:sz w:val="24"/>
                <w:szCs w:val="24"/>
              </w:rPr>
              <w:t xml:space="preserve"> (</w:t>
            </w:r>
            <w:r w:rsidR="004B0659">
              <w:rPr>
                <w:b/>
                <w:bCs/>
                <w:sz w:val="24"/>
                <w:szCs w:val="24"/>
              </w:rPr>
              <w:t>Customer</w:t>
            </w:r>
            <w:r w:rsidR="006A2E69">
              <w:rPr>
                <w:b/>
                <w:bCs/>
                <w:sz w:val="24"/>
                <w:szCs w:val="24"/>
              </w:rPr>
              <w:t xml:space="preserve"> view)</w:t>
            </w:r>
          </w:p>
        </w:tc>
      </w:tr>
    </w:tbl>
    <w:p w14:paraId="097EDADE" w14:textId="77777777" w:rsidR="002732DB" w:rsidRDefault="002732DB" w:rsidP="00C716B1">
      <w:pPr>
        <w:spacing w:after="0"/>
        <w:jc w:val="both"/>
        <w:rPr>
          <w:b/>
          <w:bCs/>
          <w:sz w:val="24"/>
          <w:szCs w:val="24"/>
        </w:rPr>
      </w:pPr>
    </w:p>
    <w:p w14:paraId="3EF23EDF" w14:textId="37615B14" w:rsidR="006E60C1" w:rsidRDefault="006E60C1" w:rsidP="006E60C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6E60C1" w14:paraId="3033E41C" w14:textId="77777777" w:rsidTr="000C49C2">
        <w:tc>
          <w:tcPr>
            <w:tcW w:w="3397" w:type="dxa"/>
            <w:vAlign w:val="center"/>
          </w:tcPr>
          <w:p w14:paraId="6E62B9FD" w14:textId="78CC6E28" w:rsidR="006E60C1" w:rsidRDefault="006E60C1" w:rsidP="000C49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JSON payload size</w:t>
            </w:r>
          </w:p>
        </w:tc>
        <w:tc>
          <w:tcPr>
            <w:tcW w:w="5953" w:type="dxa"/>
            <w:shd w:val="clear" w:color="auto" w:fill="auto"/>
          </w:tcPr>
          <w:p w14:paraId="5C861BF7" w14:textId="6E85F1B6" w:rsidR="006E60C1" w:rsidRDefault="00880486" w:rsidP="000C49C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 byte</w:t>
            </w:r>
          </w:p>
          <w:p w14:paraId="1FEBB2B7" w14:textId="77777777" w:rsidR="006E60C1" w:rsidRDefault="006E60C1" w:rsidP="000C49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E60C1" w14:paraId="472692FF" w14:textId="77777777" w:rsidTr="000C49C2">
        <w:tc>
          <w:tcPr>
            <w:tcW w:w="3397" w:type="dxa"/>
            <w:vAlign w:val="center"/>
          </w:tcPr>
          <w:p w14:paraId="54B9982C" w14:textId="2BFDE8E4" w:rsidR="006E60C1" w:rsidRDefault="006E60C1" w:rsidP="000C49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MSGPACK payload size</w:t>
            </w:r>
          </w:p>
        </w:tc>
        <w:tc>
          <w:tcPr>
            <w:tcW w:w="5953" w:type="dxa"/>
            <w:shd w:val="clear" w:color="auto" w:fill="auto"/>
          </w:tcPr>
          <w:p w14:paraId="0BEEF3E0" w14:textId="55346426" w:rsidR="006E60C1" w:rsidRDefault="00880486" w:rsidP="000C49C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 byte</w:t>
            </w:r>
          </w:p>
          <w:p w14:paraId="6F0FAB2B" w14:textId="46DC4925" w:rsidR="006E60C1" w:rsidRDefault="006E60C1" w:rsidP="000C49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E60C1" w14:paraId="446A90A2" w14:textId="77777777" w:rsidTr="00871F89">
        <w:tc>
          <w:tcPr>
            <w:tcW w:w="9350" w:type="dxa"/>
            <w:gridSpan w:val="2"/>
            <w:vAlign w:val="center"/>
          </w:tcPr>
          <w:p w14:paraId="4902530F" w14:textId="2F313C42" w:rsidR="006E60C1" w:rsidRDefault="006E60C1" w:rsidP="000C49C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3AB9416D" w14:textId="77777777" w:rsidR="006E60C1" w:rsidRDefault="0045359A" w:rsidP="00DC50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expected, th</w:t>
            </w:r>
            <w:r w:rsidR="00DC50E3">
              <w:rPr>
                <w:sz w:val="24"/>
                <w:szCs w:val="24"/>
              </w:rPr>
              <w:t xml:space="preserve">e same entry encoded as </w:t>
            </w:r>
            <w:r>
              <w:rPr>
                <w:sz w:val="24"/>
                <w:szCs w:val="24"/>
              </w:rPr>
              <w:t>MS</w:t>
            </w:r>
            <w:r w:rsidR="00032A5B">
              <w:rPr>
                <w:sz w:val="24"/>
                <w:szCs w:val="24"/>
              </w:rPr>
              <w:t>GPACK</w:t>
            </w:r>
            <w:r w:rsidR="00DC50E3">
              <w:rPr>
                <w:sz w:val="24"/>
                <w:szCs w:val="24"/>
              </w:rPr>
              <w:t xml:space="preserve"> payload</w:t>
            </w:r>
            <w:r w:rsidR="00032A5B">
              <w:rPr>
                <w:sz w:val="24"/>
                <w:szCs w:val="24"/>
              </w:rPr>
              <w:t xml:space="preserve"> </w:t>
            </w:r>
            <w:r w:rsidR="00DC50E3">
              <w:rPr>
                <w:sz w:val="24"/>
                <w:szCs w:val="24"/>
              </w:rPr>
              <w:t>is smaller in size than the corresponding JSON file.</w:t>
            </w:r>
          </w:p>
          <w:p w14:paraId="472DD5A9" w14:textId="4599DCD2" w:rsidR="00DC50E3" w:rsidRDefault="00DC50E3" w:rsidP="00DC50E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2F41A6D3" w14:textId="77777777" w:rsidR="00B21F92" w:rsidRDefault="00B21F92" w:rsidP="00637E87">
      <w:pPr>
        <w:jc w:val="both"/>
        <w:rPr>
          <w:b/>
          <w:bCs/>
          <w:sz w:val="24"/>
          <w:szCs w:val="24"/>
        </w:rPr>
      </w:pPr>
    </w:p>
    <w:p w14:paraId="1BB26367" w14:textId="5302D8BD" w:rsidR="00637E87" w:rsidRDefault="00637E87" w:rsidP="00637E8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7C7C0E">
        <w:rPr>
          <w:b/>
          <w:bCs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E87" w14:paraId="41272FC0" w14:textId="77777777" w:rsidTr="00796464">
        <w:tc>
          <w:tcPr>
            <w:tcW w:w="9350" w:type="dxa"/>
            <w:vAlign w:val="center"/>
          </w:tcPr>
          <w:p w14:paraId="249B4558" w14:textId="77777777" w:rsidR="00637E87" w:rsidRDefault="00637E87" w:rsidP="000C49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Post-processing for rotation speed</w:t>
            </w:r>
          </w:p>
          <w:p w14:paraId="34C981B0" w14:textId="16F54213" w:rsidR="001F74DD" w:rsidRDefault="0051076F" w:rsidP="000C49C2">
            <w:pPr>
              <w:jc w:val="both"/>
              <w:rPr>
                <w:b/>
                <w:bCs/>
                <w:sz w:val="24"/>
                <w:szCs w:val="24"/>
              </w:rPr>
            </w:pPr>
            <w:r w:rsidRPr="0051076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rotation speed</w:t>
            </w:r>
            <w:r w:rsidR="007D4F1E">
              <w:rPr>
                <w:sz w:val="24"/>
                <w:szCs w:val="24"/>
              </w:rPr>
              <w:t xml:space="preserve"> frequency</w:t>
            </w:r>
            <w:r>
              <w:rPr>
                <w:sz w:val="24"/>
                <w:szCs w:val="24"/>
              </w:rPr>
              <w:t xml:space="preserve"> follows a linear behavior </w:t>
            </w:r>
            <w:r w:rsidR="00804EC2">
              <w:rPr>
                <w:sz w:val="24"/>
                <w:szCs w:val="24"/>
              </w:rPr>
              <w:t xml:space="preserve">proportional to the supply voltage. </w:t>
            </w:r>
            <w:r w:rsidR="007D4F1E">
              <w:rPr>
                <w:sz w:val="24"/>
                <w:szCs w:val="24"/>
              </w:rPr>
              <w:t xml:space="preserve">The post-processing consists of the inversion of this linear model </w:t>
            </w:r>
            <w:r w:rsidR="00947F7C">
              <w:rPr>
                <w:sz w:val="24"/>
                <w:szCs w:val="24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=13.9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+0.006</m:t>
              </m:r>
            </m:oMath>
            <w:r w:rsidR="00356483">
              <w:rPr>
                <w:rFonts w:eastAsiaTheme="minorEastAsia"/>
                <w:sz w:val="24"/>
                <w:szCs w:val="24"/>
              </w:rPr>
              <w:t>. N</w:t>
            </w:r>
            <w:r w:rsidR="00356483">
              <w:rPr>
                <w:sz w:val="24"/>
                <w:szCs w:val="24"/>
              </w:rPr>
              <w:t>ext</w:t>
            </w:r>
            <w:r w:rsidR="00804EC2">
              <w:rPr>
                <w:sz w:val="24"/>
                <w:szCs w:val="24"/>
              </w:rPr>
              <w:t xml:space="preserve">, the main frequency is the </w:t>
            </w:r>
            <w:r w:rsidR="009918D3">
              <w:rPr>
                <w:sz w:val="24"/>
                <w:szCs w:val="24"/>
              </w:rPr>
              <w:t xml:space="preserve">angular velocity of the </w:t>
            </w:r>
            <w:r w:rsidR="00532E17">
              <w:rPr>
                <w:sz w:val="24"/>
                <w:szCs w:val="24"/>
              </w:rPr>
              <w:t>shaft</w:t>
            </w:r>
            <w:r w:rsidR="00555368">
              <w:rPr>
                <w:sz w:val="24"/>
                <w:szCs w:val="24"/>
              </w:rPr>
              <w:t xml:space="preserve"> that gets divided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50 </m:t>
              </m:r>
            </m:oMath>
            <w:r w:rsidR="00555368">
              <w:rPr>
                <w:sz w:val="24"/>
                <w:szCs w:val="24"/>
              </w:rPr>
              <w:t>for the gear ratio</w:t>
            </w:r>
            <w:r w:rsidR="009600F6">
              <w:rPr>
                <w:sz w:val="24"/>
                <w:szCs w:val="24"/>
              </w:rPr>
              <w:t xml:space="preserve"> and again divided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oMath>
            <w:r w:rsidR="009600F6">
              <w:rPr>
                <w:sz w:val="24"/>
                <w:szCs w:val="24"/>
              </w:rPr>
              <w:t xml:space="preserve"> to convert it from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Hz</m:t>
              </m:r>
            </m:oMath>
            <w:r w:rsidR="009600F6">
              <w:rPr>
                <w:rFonts w:eastAsiaTheme="minorEastAsia"/>
                <w:sz w:val="24"/>
                <w:szCs w:val="24"/>
              </w:rPr>
              <w:t xml:space="preserve"> to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RPM</m:t>
              </m:r>
            </m:oMath>
            <w:r w:rsidR="009600F6">
              <w:rPr>
                <w:rFonts w:eastAsiaTheme="minorEastAsia"/>
                <w:sz w:val="24"/>
                <w:szCs w:val="24"/>
              </w:rPr>
              <w:t xml:space="preserve">. </w:t>
            </w:r>
          </w:p>
          <w:p w14:paraId="45F0C7A0" w14:textId="77777777" w:rsidR="00637E87" w:rsidRDefault="00637E87" w:rsidP="000C49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637E87" w14:paraId="5DD66A01" w14:textId="77777777" w:rsidTr="004067AB">
        <w:tc>
          <w:tcPr>
            <w:tcW w:w="9350" w:type="dxa"/>
            <w:vAlign w:val="center"/>
          </w:tcPr>
          <w:p w14:paraId="6121B8AA" w14:textId="520F3573" w:rsidR="00637E87" w:rsidRDefault="00637E87" w:rsidP="00637E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Post-processing for unbalancing weight</w:t>
            </w:r>
          </w:p>
          <w:p w14:paraId="55A8EF1A" w14:textId="77777777" w:rsidR="00637E87" w:rsidRDefault="001D28E3" w:rsidP="00AB2569">
            <w:pPr>
              <w:rPr>
                <w:rFonts w:eastAsiaTheme="minorEastAsia"/>
                <w:sz w:val="24"/>
                <w:szCs w:val="24"/>
              </w:rPr>
            </w:pPr>
            <w:r w:rsidRPr="001D28E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amplitude of the weight feature</w:t>
            </w:r>
            <w:r w:rsidR="002B44CA">
              <w:rPr>
                <w:sz w:val="24"/>
                <w:szCs w:val="24"/>
              </w:rPr>
              <w:t xml:space="preserve"> has been modeled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4.35 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speed</m:t>
                          </m:r>
                        </m:e>
                      </m:d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  <w:r w:rsidR="00A25BAB">
              <w:rPr>
                <w:rFonts w:eastAsiaTheme="minorEastAsia"/>
                <w:sz w:val="24"/>
                <w:szCs w:val="24"/>
              </w:rPr>
              <w:t xml:space="preserve"> taking into account the double dependency on the rotating speed and </w:t>
            </w:r>
            <w:r w:rsidR="008009CB">
              <w:rPr>
                <w:rFonts w:eastAsiaTheme="minorEastAsia"/>
                <w:sz w:val="24"/>
                <w:szCs w:val="24"/>
              </w:rPr>
              <w:t xml:space="preserve">unbalancing weight. 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&gt;0.05</m:t>
              </m:r>
            </m:oMath>
            <w:r w:rsidR="00603E23">
              <w:rPr>
                <w:rFonts w:eastAsiaTheme="minorEastAsia"/>
                <w:sz w:val="24"/>
                <w:szCs w:val="24"/>
              </w:rPr>
              <w:t xml:space="preserve"> (an arbitrary threshold) the inverted </w:t>
            </w:r>
            <w:r w:rsidR="00AB2569">
              <w:rPr>
                <w:rFonts w:eastAsiaTheme="minorEastAsia"/>
                <w:sz w:val="24"/>
                <w:szCs w:val="24"/>
              </w:rPr>
              <w:t>formula gives the estimated weight, that otherwise is set to zero.</w:t>
            </w:r>
          </w:p>
          <w:p w14:paraId="4B762BAA" w14:textId="77777777" w:rsidR="00AB2569" w:rsidRDefault="00AB2569" w:rsidP="00AB2569">
            <w:pPr>
              <w:rPr>
                <w:b/>
                <w:bCs/>
                <w:sz w:val="24"/>
                <w:szCs w:val="24"/>
              </w:rPr>
            </w:pPr>
          </w:p>
          <w:p w14:paraId="3CE5725D" w14:textId="77777777" w:rsidR="00B21F92" w:rsidRDefault="00B21F92" w:rsidP="00AB2569">
            <w:pPr>
              <w:rPr>
                <w:b/>
                <w:bCs/>
                <w:sz w:val="24"/>
                <w:szCs w:val="24"/>
              </w:rPr>
            </w:pPr>
          </w:p>
          <w:p w14:paraId="287CFBD9" w14:textId="0F75FFDD" w:rsidR="00B21F92" w:rsidRDefault="00B21F92" w:rsidP="00AB25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7E87" w14:paraId="25CB05DA" w14:textId="77777777" w:rsidTr="000C49C2">
        <w:tc>
          <w:tcPr>
            <w:tcW w:w="9350" w:type="dxa"/>
            <w:vAlign w:val="center"/>
          </w:tcPr>
          <w:p w14:paraId="65B63E67" w14:textId="588DFD79" w:rsidR="00637E87" w:rsidRDefault="00637E87" w:rsidP="00637E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Post-processing for gear’s health condition</w:t>
            </w:r>
          </w:p>
          <w:p w14:paraId="15DC33B9" w14:textId="0430B503" w:rsidR="00637E87" w:rsidRDefault="00EF6184" w:rsidP="000C49C2">
            <w:pPr>
              <w:jc w:val="both"/>
              <w:rPr>
                <w:b/>
                <w:bCs/>
                <w:sz w:val="24"/>
                <w:szCs w:val="24"/>
              </w:rPr>
            </w:pPr>
            <w:r w:rsidRPr="00EF6184">
              <w:rPr>
                <w:sz w:val="24"/>
                <w:szCs w:val="24"/>
              </w:rPr>
              <w:t>Simil</w:t>
            </w:r>
            <w:r>
              <w:rPr>
                <w:sz w:val="24"/>
                <w:szCs w:val="24"/>
              </w:rPr>
              <w:t xml:space="preserve">arly, the health conditions follows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health-100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0.0085 speed</m:t>
                  </m:r>
                </m:e>
              </m:d>
            </m:oMath>
            <w:r w:rsidR="009E0567">
              <w:rPr>
                <w:rFonts w:eastAsiaTheme="minorEastAsia"/>
                <w:sz w:val="24"/>
                <w:szCs w:val="24"/>
              </w:rPr>
              <w:t xml:space="preserve"> that leads to a rounded estimate of the health if the feature is </w:t>
            </w:r>
            <w:r w:rsidR="00B25B16">
              <w:rPr>
                <w:rFonts w:eastAsiaTheme="minorEastAsia"/>
                <w:sz w:val="24"/>
                <w:szCs w:val="24"/>
              </w:rPr>
              <w:t xml:space="preserve">heuristically </w:t>
            </w:r>
            <w:r w:rsidR="009E0567">
              <w:rPr>
                <w:rFonts w:eastAsiaTheme="minorEastAsia"/>
                <w:sz w:val="24"/>
                <w:szCs w:val="24"/>
              </w:rPr>
              <w:t xml:space="preserve">greater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&gt;0.001</m:t>
              </m:r>
            </m:oMath>
            <w:r w:rsidR="00B25B16">
              <w:rPr>
                <w:rFonts w:eastAsiaTheme="minorEastAsia"/>
                <w:sz w:val="24"/>
                <w:szCs w:val="24"/>
              </w:rPr>
              <w:t xml:space="preserve">, otherwise </w:t>
            </w:r>
            <w:r w:rsidR="00C466D2">
              <w:rPr>
                <w:rFonts w:eastAsiaTheme="minorEastAsia"/>
                <w:sz w:val="24"/>
                <w:szCs w:val="24"/>
              </w:rPr>
              <w:t xml:space="preserve">it is set to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100 %.</m:t>
              </m:r>
            </m:oMath>
          </w:p>
          <w:p w14:paraId="67EDB87A" w14:textId="77777777" w:rsidR="00637E87" w:rsidRDefault="00637E87" w:rsidP="000C49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7FB80C55" w14:textId="77777777" w:rsidR="00C716B1" w:rsidRDefault="00C716B1" w:rsidP="00F90AA4">
      <w:pPr>
        <w:jc w:val="both"/>
        <w:rPr>
          <w:b/>
          <w:bCs/>
          <w:sz w:val="24"/>
          <w:szCs w:val="24"/>
        </w:rPr>
      </w:pPr>
    </w:p>
    <w:p w14:paraId="6A53DFBF" w14:textId="7CCDD6D8" w:rsidR="00F90AA4" w:rsidRDefault="00F90AA4" w:rsidP="00F90AA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AA4" w14:paraId="575B04DF" w14:textId="77777777" w:rsidTr="000C49C2">
        <w:tc>
          <w:tcPr>
            <w:tcW w:w="9350" w:type="dxa"/>
            <w:vAlign w:val="center"/>
          </w:tcPr>
          <w:p w14:paraId="2EBB9B53" w14:textId="5B9CD5E2" w:rsidR="00F90AA4" w:rsidRDefault="00F90AA4" w:rsidP="000C49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Motor state variables evolution</w:t>
            </w:r>
          </w:p>
          <w:p w14:paraId="2AC615DF" w14:textId="7C8637E2" w:rsidR="00C466D2" w:rsidRPr="00C466D2" w:rsidRDefault="00C466D2" w:rsidP="000C49C2">
            <w:pPr>
              <w:rPr>
                <w:sz w:val="24"/>
                <w:szCs w:val="24"/>
              </w:rPr>
            </w:pPr>
            <w:r w:rsidRPr="00C466D2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motor </w:t>
            </w:r>
            <w:r w:rsidR="006030A7">
              <w:rPr>
                <w:sz w:val="24"/>
                <w:szCs w:val="24"/>
              </w:rPr>
              <w:t xml:space="preserve">state variable follows a repeated cycle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≈</m:t>
              </m:r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oMath>
            <w:r w:rsidR="006030A7">
              <w:rPr>
                <w:rFonts w:eastAsiaTheme="minorEastAsia"/>
                <w:sz w:val="24"/>
                <w:szCs w:val="24"/>
              </w:rPr>
              <w:t xml:space="preserve"> minutes</w:t>
            </w:r>
            <w:r w:rsidR="00516AF8">
              <w:rPr>
                <w:rFonts w:eastAsiaTheme="minorEastAsia"/>
                <w:sz w:val="24"/>
                <w:szCs w:val="24"/>
              </w:rPr>
              <w:t xml:space="preserve">. The speed increases linearly up to </w:t>
            </w:r>
            <w:r w:rsidR="00797538">
              <w:rPr>
                <w:rFonts w:eastAsiaTheme="minorEastAsia"/>
                <w:sz w:val="24"/>
                <w:szCs w:val="24"/>
              </w:rPr>
              <w:t xml:space="preserve">half cycle and then it decreases </w:t>
            </w:r>
            <w:r w:rsidR="00A63C89">
              <w:rPr>
                <w:rFonts w:eastAsiaTheme="minorEastAsia"/>
                <w:sz w:val="24"/>
                <w:szCs w:val="24"/>
              </w:rPr>
              <w:t xml:space="preserve">with the same </w:t>
            </w:r>
            <w:r w:rsidR="009117EB">
              <w:rPr>
                <w:rFonts w:eastAsiaTheme="minorEastAsia"/>
                <w:sz w:val="24"/>
                <w:szCs w:val="24"/>
              </w:rPr>
              <w:t xml:space="preserve">behavior, thus resulting in a </w:t>
            </w:r>
            <w:r w:rsidR="00BF13E4">
              <w:rPr>
                <w:rFonts w:eastAsiaTheme="minorEastAsia"/>
                <w:sz w:val="24"/>
                <w:szCs w:val="24"/>
              </w:rPr>
              <w:t>triangular wave</w:t>
            </w:r>
            <w:r w:rsidR="00564812">
              <w:rPr>
                <w:rFonts w:eastAsiaTheme="minorEastAsia"/>
                <w:sz w:val="24"/>
                <w:szCs w:val="24"/>
              </w:rPr>
              <w:t xml:space="preserve"> with little noise</w:t>
            </w:r>
            <w:r w:rsidR="00BF13E4">
              <w:rPr>
                <w:rFonts w:eastAsiaTheme="minorEastAsia"/>
                <w:sz w:val="24"/>
                <w:szCs w:val="24"/>
              </w:rPr>
              <w:t xml:space="preserve">. </w:t>
            </w:r>
            <w:r w:rsidR="00FB7ADA">
              <w:rPr>
                <w:rFonts w:eastAsiaTheme="minorEastAsia"/>
                <w:sz w:val="24"/>
                <w:szCs w:val="24"/>
              </w:rPr>
              <w:t>At around the m</w:t>
            </w:r>
            <w:r w:rsidR="00564812">
              <w:rPr>
                <w:rFonts w:eastAsiaTheme="minorEastAsia"/>
                <w:sz w:val="24"/>
                <w:szCs w:val="24"/>
              </w:rPr>
              <w:t xml:space="preserve">aximum speed, from </w:t>
            </w:r>
            <w:r w:rsidR="00DF4119">
              <w:rPr>
                <w:rFonts w:eastAsiaTheme="minorEastAsia"/>
                <w:sz w:val="24"/>
                <w:szCs w:val="24"/>
              </w:rPr>
              <w:t xml:space="preserve">roughly </w:t>
            </w:r>
            <w:r w:rsidR="00564812">
              <w:rPr>
                <w:rFonts w:eastAsiaTheme="minorEastAsia"/>
                <w:sz w:val="24"/>
                <w:szCs w:val="24"/>
              </w:rPr>
              <w:t xml:space="preserve">minute 4 to </w:t>
            </w:r>
            <w:r w:rsidR="00DF4119">
              <w:rPr>
                <w:rFonts w:eastAsiaTheme="minorEastAsia"/>
                <w:sz w:val="24"/>
                <w:szCs w:val="24"/>
              </w:rPr>
              <w:t xml:space="preserve">7, the unbalancing weight is added. </w:t>
            </w:r>
            <w:r w:rsidR="003B79D7">
              <w:rPr>
                <w:rFonts w:eastAsiaTheme="minorEastAsia"/>
                <w:sz w:val="24"/>
                <w:szCs w:val="24"/>
              </w:rPr>
              <w:t xml:space="preserve">The estimated weight is </w:t>
            </w:r>
            <w:r w:rsidR="00413BC3">
              <w:rPr>
                <w:rFonts w:eastAsiaTheme="minorEastAsia"/>
                <w:sz w:val="24"/>
                <w:szCs w:val="24"/>
              </w:rPr>
              <w:t xml:space="preserve">firstly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80g</m:t>
              </m:r>
            </m:oMath>
            <w:r w:rsidR="00413BC3">
              <w:rPr>
                <w:rFonts w:eastAsiaTheme="minorEastAsia"/>
                <w:sz w:val="24"/>
                <w:szCs w:val="24"/>
              </w:rPr>
              <w:t xml:space="preserve"> and after one minute </w:t>
            </w:r>
            <w:r w:rsidR="002136C1">
              <w:rPr>
                <w:rFonts w:eastAsiaTheme="minorEastAsia"/>
                <w:sz w:val="24"/>
                <w:szCs w:val="24"/>
              </w:rPr>
              <w:t xml:space="preserve">it reaches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100g</m:t>
              </m:r>
            </m:oMath>
            <w:r w:rsidR="002136C1">
              <w:rPr>
                <w:rFonts w:eastAsiaTheme="minorEastAsia"/>
                <w:sz w:val="24"/>
                <w:szCs w:val="24"/>
              </w:rPr>
              <w:t>.</w:t>
            </w:r>
            <w:r w:rsidR="00110031">
              <w:rPr>
                <w:rFonts w:eastAsiaTheme="minorEastAsia"/>
                <w:sz w:val="24"/>
                <w:szCs w:val="24"/>
              </w:rPr>
              <w:t xml:space="preserve"> Here </w:t>
            </w:r>
            <w:r w:rsidR="00A804F2">
              <w:rPr>
                <w:rFonts w:eastAsiaTheme="minorEastAsia"/>
                <w:sz w:val="24"/>
                <w:szCs w:val="24"/>
              </w:rPr>
              <w:t>however</w:t>
            </w:r>
            <w:r w:rsidR="00110031">
              <w:rPr>
                <w:rFonts w:eastAsiaTheme="minorEastAsia"/>
                <w:sz w:val="24"/>
                <w:szCs w:val="24"/>
              </w:rPr>
              <w:t xml:space="preserve"> the post processe</w:t>
            </w:r>
            <w:r w:rsidR="00C01302">
              <w:rPr>
                <w:rFonts w:eastAsiaTheme="minorEastAsia"/>
                <w:sz w:val="24"/>
                <w:szCs w:val="24"/>
              </w:rPr>
              <w:t xml:space="preserve">d points are </w:t>
            </w:r>
            <w:r w:rsidR="0020658A">
              <w:rPr>
                <w:rFonts w:eastAsiaTheme="minorEastAsia"/>
                <w:sz w:val="24"/>
                <w:szCs w:val="24"/>
              </w:rPr>
              <w:t>noisier</w:t>
            </w:r>
            <w:r w:rsidR="00C01302">
              <w:rPr>
                <w:rFonts w:eastAsiaTheme="minorEastAsia"/>
                <w:sz w:val="24"/>
                <w:szCs w:val="24"/>
              </w:rPr>
              <w:t xml:space="preserve">, so </w:t>
            </w:r>
            <w:r w:rsidR="00A804F2">
              <w:rPr>
                <w:rFonts w:eastAsiaTheme="minorEastAsia"/>
                <w:sz w:val="24"/>
                <w:szCs w:val="24"/>
              </w:rPr>
              <w:t>better</w:t>
            </w:r>
            <w:r w:rsidR="00C01302">
              <w:rPr>
                <w:rFonts w:eastAsiaTheme="minorEastAsia"/>
                <w:sz w:val="24"/>
                <w:szCs w:val="24"/>
              </w:rPr>
              <w:t xml:space="preserve"> parameters or model would be required to get a more accurate estimate</w:t>
            </w:r>
            <w:r w:rsidR="00A804F2">
              <w:rPr>
                <w:rFonts w:eastAsiaTheme="minorEastAsia"/>
                <w:sz w:val="24"/>
                <w:szCs w:val="24"/>
              </w:rPr>
              <w:t>.</w:t>
            </w:r>
            <w:r w:rsidR="002136C1">
              <w:rPr>
                <w:rFonts w:eastAsiaTheme="minorEastAsia"/>
                <w:sz w:val="24"/>
                <w:szCs w:val="24"/>
              </w:rPr>
              <w:t xml:space="preserve"> Concerning the health, </w:t>
            </w:r>
            <w:r w:rsidR="00110031">
              <w:rPr>
                <w:rFonts w:eastAsiaTheme="minorEastAsia"/>
                <w:sz w:val="24"/>
                <w:szCs w:val="24"/>
              </w:rPr>
              <w:t>it is at top conditions on the first half of the cycle and</w:t>
            </w:r>
            <w:r w:rsidR="00131C89">
              <w:rPr>
                <w:rFonts w:eastAsiaTheme="minorEastAsia"/>
                <w:sz w:val="24"/>
                <w:szCs w:val="24"/>
              </w:rPr>
              <w:t xml:space="preserve"> then it decreases exponentially to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10%.</m:t>
              </m:r>
            </m:oMath>
          </w:p>
          <w:p w14:paraId="095D3230" w14:textId="77777777" w:rsidR="00F90AA4" w:rsidRDefault="00F90AA4" w:rsidP="000C49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11D31832" w14:textId="77777777" w:rsidR="00F90AA4" w:rsidRDefault="00F90AA4" w:rsidP="00725F21">
      <w:pPr>
        <w:jc w:val="both"/>
        <w:rPr>
          <w:b/>
          <w:bCs/>
          <w:sz w:val="24"/>
          <w:szCs w:val="24"/>
        </w:rPr>
      </w:pPr>
    </w:p>
    <w:p w14:paraId="5398B60A" w14:textId="7EB8C7BA" w:rsidR="00725F21" w:rsidRDefault="00725F21" w:rsidP="00725F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F21" w14:paraId="5ECAE51C" w14:textId="77777777" w:rsidTr="005B3ACE">
        <w:tc>
          <w:tcPr>
            <w:tcW w:w="9350" w:type="dxa"/>
          </w:tcPr>
          <w:p w14:paraId="4EB3137F" w14:textId="0B6EBC52" w:rsidR="00725F21" w:rsidRPr="00BC3714" w:rsidRDefault="00B21F92" w:rsidP="005B3ACE">
            <w:pPr>
              <w:jc w:val="both"/>
              <w:rPr>
                <w:sz w:val="24"/>
                <w:szCs w:val="24"/>
              </w:rPr>
            </w:pPr>
            <w:r w:rsidRPr="00B21F92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experiment has been carried out successfully. </w:t>
            </w:r>
            <w:r w:rsidR="00A50EF4">
              <w:rPr>
                <w:sz w:val="24"/>
                <w:szCs w:val="24"/>
              </w:rPr>
              <w:t xml:space="preserve">The sensor and feature extractions have been integrated in the ThingSpeak </w:t>
            </w:r>
            <w:r w:rsidR="001718CB">
              <w:rPr>
                <w:sz w:val="24"/>
                <w:szCs w:val="24"/>
              </w:rPr>
              <w:t xml:space="preserve">platform by means of dedicated channels and visualization tools. Moreover, </w:t>
            </w:r>
            <w:r w:rsidR="008E712E">
              <w:rPr>
                <w:sz w:val="24"/>
                <w:szCs w:val="24"/>
              </w:rPr>
              <w:t xml:space="preserve">cloud computing </w:t>
            </w:r>
            <w:r w:rsidR="00644BC3">
              <w:rPr>
                <w:sz w:val="24"/>
                <w:szCs w:val="24"/>
              </w:rPr>
              <w:t xml:space="preserve">was used to </w:t>
            </w:r>
            <w:r w:rsidR="00057227">
              <w:rPr>
                <w:sz w:val="24"/>
                <w:szCs w:val="24"/>
              </w:rPr>
              <w:t>post-process</w:t>
            </w:r>
            <w:r w:rsidR="00644BC3">
              <w:rPr>
                <w:sz w:val="24"/>
                <w:szCs w:val="24"/>
              </w:rPr>
              <w:t xml:space="preserve"> the</w:t>
            </w:r>
            <w:r w:rsidR="008E712E">
              <w:rPr>
                <w:sz w:val="24"/>
                <w:szCs w:val="24"/>
              </w:rPr>
              <w:t xml:space="preserve"> sensor data</w:t>
            </w:r>
            <w:r w:rsidR="005D6174">
              <w:rPr>
                <w:sz w:val="24"/>
                <w:szCs w:val="24"/>
              </w:rPr>
              <w:t xml:space="preserve"> similarly to what</w:t>
            </w:r>
            <w:r w:rsidR="007E165B">
              <w:rPr>
                <w:sz w:val="24"/>
                <w:szCs w:val="24"/>
              </w:rPr>
              <w:t xml:space="preserve"> happens</w:t>
            </w:r>
            <w:r w:rsidR="005D6174">
              <w:rPr>
                <w:sz w:val="24"/>
                <w:szCs w:val="24"/>
              </w:rPr>
              <w:t xml:space="preserve"> in real life scenarios, where cloud computing is exploited</w:t>
            </w:r>
            <w:r w:rsidR="007E165B">
              <w:rPr>
                <w:sz w:val="24"/>
                <w:szCs w:val="24"/>
              </w:rPr>
              <w:t xml:space="preserve"> </w:t>
            </w:r>
            <w:r w:rsidR="00BC3714">
              <w:rPr>
                <w:sz w:val="24"/>
                <w:szCs w:val="24"/>
              </w:rPr>
              <w:t>for remote monitoring, analysis and maintenance</w:t>
            </w:r>
            <w:r w:rsidR="00030577">
              <w:rPr>
                <w:sz w:val="24"/>
                <w:szCs w:val="24"/>
              </w:rPr>
              <w:t>.</w:t>
            </w:r>
            <w:r w:rsidR="00F8318C">
              <w:rPr>
                <w:sz w:val="24"/>
                <w:szCs w:val="24"/>
              </w:rPr>
              <w:t xml:space="preserve"> </w:t>
            </w:r>
          </w:p>
          <w:p w14:paraId="46FFCF92" w14:textId="77777777" w:rsidR="00725F21" w:rsidRDefault="00725F21" w:rsidP="005B3AC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007996BE" w14:textId="77777777" w:rsidR="00725F21" w:rsidRDefault="00725F21" w:rsidP="00E60835">
      <w:pPr>
        <w:jc w:val="both"/>
        <w:rPr>
          <w:b/>
          <w:bCs/>
          <w:sz w:val="24"/>
          <w:szCs w:val="24"/>
        </w:rPr>
      </w:pPr>
    </w:p>
    <w:sectPr w:rsidR="00725F2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94776" w14:textId="77777777" w:rsidR="00062250" w:rsidRDefault="00062250" w:rsidP="00D436A0">
      <w:pPr>
        <w:spacing w:after="0" w:line="240" w:lineRule="auto"/>
      </w:pPr>
      <w:r>
        <w:separator/>
      </w:r>
    </w:p>
  </w:endnote>
  <w:endnote w:type="continuationSeparator" w:id="0">
    <w:p w14:paraId="1E16E267" w14:textId="77777777" w:rsidR="00062250" w:rsidRDefault="00062250" w:rsidP="00D4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9DB85" w14:textId="0C95BE46" w:rsidR="00457082" w:rsidRPr="00457082" w:rsidRDefault="00457082" w:rsidP="00457082">
    <w:pPr>
      <w:jc w:val="right"/>
      <w:rPr>
        <w:sz w:val="20"/>
        <w:szCs w:val="20"/>
      </w:rPr>
    </w:pPr>
    <w:r w:rsidRPr="00232403">
      <w:rPr>
        <w:sz w:val="18"/>
        <w:szCs w:val="18"/>
      </w:rPr>
      <w:t>2019.</w:t>
    </w:r>
    <w:r w:rsidR="00F4646A">
      <w:rPr>
        <w:sz w:val="18"/>
        <w:szCs w:val="18"/>
      </w:rPr>
      <w:t>05</w:t>
    </w:r>
    <w:r w:rsidRPr="00232403">
      <w:rPr>
        <w:sz w:val="18"/>
        <w:szCs w:val="18"/>
      </w:rPr>
      <w:t>.</w:t>
    </w:r>
    <w:r w:rsidR="00F4646A">
      <w:rPr>
        <w:sz w:val="18"/>
        <w:szCs w:val="18"/>
      </w:rPr>
      <w:t>06</w:t>
    </w:r>
    <w:r w:rsidRPr="00232403">
      <w:rPr>
        <w:sz w:val="18"/>
        <w:szCs w:val="18"/>
      </w:rPr>
      <w:t xml:space="preserve"> Initial version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E4E75" w14:textId="77777777" w:rsidR="00062250" w:rsidRDefault="00062250" w:rsidP="00D436A0">
      <w:pPr>
        <w:spacing w:after="0" w:line="240" w:lineRule="auto"/>
      </w:pPr>
      <w:r>
        <w:separator/>
      </w:r>
    </w:p>
  </w:footnote>
  <w:footnote w:type="continuationSeparator" w:id="0">
    <w:p w14:paraId="11610B4E" w14:textId="77777777" w:rsidR="00062250" w:rsidRDefault="00062250" w:rsidP="00D4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C0B"/>
    <w:multiLevelType w:val="hybridMultilevel"/>
    <w:tmpl w:val="CF3A7AFA"/>
    <w:lvl w:ilvl="0" w:tplc="BB3213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52327"/>
    <w:multiLevelType w:val="hybridMultilevel"/>
    <w:tmpl w:val="7BF84682"/>
    <w:lvl w:ilvl="0" w:tplc="34EC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27F6E"/>
    <w:multiLevelType w:val="hybridMultilevel"/>
    <w:tmpl w:val="4BCAE8A2"/>
    <w:lvl w:ilvl="0" w:tplc="75FE0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FB"/>
    <w:rsid w:val="00030577"/>
    <w:rsid w:val="00032A5B"/>
    <w:rsid w:val="00057227"/>
    <w:rsid w:val="00062250"/>
    <w:rsid w:val="0006528B"/>
    <w:rsid w:val="00110031"/>
    <w:rsid w:val="00131C89"/>
    <w:rsid w:val="00150A7C"/>
    <w:rsid w:val="00155AC4"/>
    <w:rsid w:val="001718CB"/>
    <w:rsid w:val="00183EFD"/>
    <w:rsid w:val="001D28E3"/>
    <w:rsid w:val="001F74DD"/>
    <w:rsid w:val="0020658A"/>
    <w:rsid w:val="002136C1"/>
    <w:rsid w:val="002732DB"/>
    <w:rsid w:val="002B050B"/>
    <w:rsid w:val="002B44CA"/>
    <w:rsid w:val="002E3CDF"/>
    <w:rsid w:val="00334936"/>
    <w:rsid w:val="00356483"/>
    <w:rsid w:val="00360BC0"/>
    <w:rsid w:val="003905F7"/>
    <w:rsid w:val="003A22E1"/>
    <w:rsid w:val="003B79D7"/>
    <w:rsid w:val="003E6C9C"/>
    <w:rsid w:val="00413BC3"/>
    <w:rsid w:val="00417425"/>
    <w:rsid w:val="00450F91"/>
    <w:rsid w:val="0045359A"/>
    <w:rsid w:val="00457082"/>
    <w:rsid w:val="004B0659"/>
    <w:rsid w:val="004B2BE5"/>
    <w:rsid w:val="004D2199"/>
    <w:rsid w:val="004F0810"/>
    <w:rsid w:val="0051076F"/>
    <w:rsid w:val="00516AF8"/>
    <w:rsid w:val="00532E17"/>
    <w:rsid w:val="00555368"/>
    <w:rsid w:val="00564812"/>
    <w:rsid w:val="005D6174"/>
    <w:rsid w:val="006030A7"/>
    <w:rsid w:val="00603E23"/>
    <w:rsid w:val="00637E87"/>
    <w:rsid w:val="00640E28"/>
    <w:rsid w:val="00644BC3"/>
    <w:rsid w:val="006745D2"/>
    <w:rsid w:val="006A2E69"/>
    <w:rsid w:val="006B2D70"/>
    <w:rsid w:val="006D1E19"/>
    <w:rsid w:val="006D57BF"/>
    <w:rsid w:val="006E604B"/>
    <w:rsid w:val="006E60C1"/>
    <w:rsid w:val="00721032"/>
    <w:rsid w:val="00725F21"/>
    <w:rsid w:val="00797538"/>
    <w:rsid w:val="007C7C0E"/>
    <w:rsid w:val="007D4328"/>
    <w:rsid w:val="007D4F1E"/>
    <w:rsid w:val="007E165B"/>
    <w:rsid w:val="007F74A8"/>
    <w:rsid w:val="008009CB"/>
    <w:rsid w:val="00804EC2"/>
    <w:rsid w:val="00826373"/>
    <w:rsid w:val="00851939"/>
    <w:rsid w:val="00867C62"/>
    <w:rsid w:val="00875B24"/>
    <w:rsid w:val="00880486"/>
    <w:rsid w:val="00881A1F"/>
    <w:rsid w:val="008C0EDF"/>
    <w:rsid w:val="008E712E"/>
    <w:rsid w:val="009117EB"/>
    <w:rsid w:val="00921569"/>
    <w:rsid w:val="00925D9E"/>
    <w:rsid w:val="009362DC"/>
    <w:rsid w:val="00947F7C"/>
    <w:rsid w:val="009600F6"/>
    <w:rsid w:val="009918D3"/>
    <w:rsid w:val="009E0567"/>
    <w:rsid w:val="00A25BAB"/>
    <w:rsid w:val="00A50EF4"/>
    <w:rsid w:val="00A63C89"/>
    <w:rsid w:val="00A804F2"/>
    <w:rsid w:val="00A84F98"/>
    <w:rsid w:val="00AA64E9"/>
    <w:rsid w:val="00AB2569"/>
    <w:rsid w:val="00B07FFB"/>
    <w:rsid w:val="00B21F92"/>
    <w:rsid w:val="00B25B16"/>
    <w:rsid w:val="00B356EA"/>
    <w:rsid w:val="00B803D2"/>
    <w:rsid w:val="00BA0722"/>
    <w:rsid w:val="00BA3A01"/>
    <w:rsid w:val="00BC3714"/>
    <w:rsid w:val="00BF13E4"/>
    <w:rsid w:val="00C01302"/>
    <w:rsid w:val="00C31AD5"/>
    <w:rsid w:val="00C466D2"/>
    <w:rsid w:val="00C716B1"/>
    <w:rsid w:val="00D436A0"/>
    <w:rsid w:val="00D47D28"/>
    <w:rsid w:val="00D503EC"/>
    <w:rsid w:val="00D8021C"/>
    <w:rsid w:val="00D976F7"/>
    <w:rsid w:val="00DA38B9"/>
    <w:rsid w:val="00DC50E3"/>
    <w:rsid w:val="00DF4119"/>
    <w:rsid w:val="00E05912"/>
    <w:rsid w:val="00E05BF4"/>
    <w:rsid w:val="00E573FA"/>
    <w:rsid w:val="00E60835"/>
    <w:rsid w:val="00E84BAE"/>
    <w:rsid w:val="00ED29BF"/>
    <w:rsid w:val="00EF6184"/>
    <w:rsid w:val="00F17F06"/>
    <w:rsid w:val="00F400A0"/>
    <w:rsid w:val="00F4646A"/>
    <w:rsid w:val="00F8318C"/>
    <w:rsid w:val="00F90AA4"/>
    <w:rsid w:val="00FB3209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BD4"/>
  <w15:chartTrackingRefBased/>
  <w15:docId w15:val="{08063FCB-2B8A-4639-BAF9-54E74DD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A0"/>
  </w:style>
  <w:style w:type="paragraph" w:styleId="Footer">
    <w:name w:val="footer"/>
    <w:basedOn w:val="Normal"/>
    <w:link w:val="FooterChar"/>
    <w:uiPriority w:val="99"/>
    <w:unhideWhenUsed/>
    <w:rsid w:val="00D4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A0"/>
  </w:style>
  <w:style w:type="table" w:styleId="TableGrid">
    <w:name w:val="Table Grid"/>
    <w:basedOn w:val="TableNormal"/>
    <w:uiPriority w:val="39"/>
    <w:rsid w:val="00D4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D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600F6"/>
    <w:rPr>
      <w:color w:val="808080"/>
    </w:rPr>
  </w:style>
  <w:style w:type="character" w:customStyle="1" w:styleId="s0d0ccdc921">
    <w:name w:val="s0d0ccdc921"/>
    <w:basedOn w:val="DefaultParagraphFont"/>
    <w:rsid w:val="00947F7C"/>
    <w:rPr>
      <w:strike w:val="0"/>
      <w:dstrike w:val="0"/>
      <w:color w:val="228B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A671809ED1BF4FBA1C6C233A710965" ma:contentTypeVersion="13" ma:contentTypeDescription="Creare un nuovo documento." ma:contentTypeScope="" ma:versionID="9bebde1d993a1012ec7ac92795588df9">
  <xsd:schema xmlns:xsd="http://www.w3.org/2001/XMLSchema" xmlns:xs="http://www.w3.org/2001/XMLSchema" xmlns:p="http://schemas.microsoft.com/office/2006/metadata/properties" xmlns:ns3="db74294b-bfc6-47e6-ba2f-b1c6455a7642" xmlns:ns4="1255a47d-6997-4c86-a30f-60dab373a685" targetNamespace="http://schemas.microsoft.com/office/2006/metadata/properties" ma:root="true" ma:fieldsID="7881f0107ef1b9849bc92bb084e94efb" ns3:_="" ns4:_="">
    <xsd:import namespace="db74294b-bfc6-47e6-ba2f-b1c6455a7642"/>
    <xsd:import namespace="1255a47d-6997-4c86-a30f-60dab373a6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294b-bfc6-47e6-ba2f-b1c6455a76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5a47d-6997-4c86-a30f-60dab373a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75DCD-663A-4750-853B-ABE62132E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294b-bfc6-47e6-ba2f-b1c6455a7642"/>
    <ds:schemaRef ds:uri="1255a47d-6997-4c86-a30f-60dab373a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5577D-123F-4391-ABF5-E82E2D34E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6A7D9-BDD0-4BFF-8D41-A8ABF3F4AC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Filipe Soldado Granadeiro Rosado</dc:creator>
  <cp:keywords/>
  <dc:description/>
  <cp:lastModifiedBy>Paolo Frazzetto</cp:lastModifiedBy>
  <cp:revision>74</cp:revision>
  <cp:lastPrinted>2020-05-06T17:36:00Z</cp:lastPrinted>
  <dcterms:created xsi:type="dcterms:W3CDTF">2020-05-21T16:00:00Z</dcterms:created>
  <dcterms:modified xsi:type="dcterms:W3CDTF">2020-05-22T17:29:00Z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0x01010097A671809ED1BF4FBA1C6C233A710965</vt:lpwstr>
  </property>
</Properties>
</file>