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29BB8" w14:textId="77777777" w:rsidR="001A3EF5" w:rsidRDefault="001A3EF5"/>
    <w:p w14:paraId="0792B4E4" w14:textId="45C2B9BC" w:rsidR="0026149F" w:rsidRDefault="0026149F">
      <w:r>
        <w:t>En el contexto actual, la automatización de flujos de trabajo en procesos logísticos ha dejado de ser una mejora opcional para convertirse en una condición necesaria de eficiencia organizacional, especialmente en empresas cuyo activo principal es el producto que ofrecen y no la logística en sí misma. En esa línea, CAF sostiene que la digitalización transforma positivamente los procesos de diseño, planificación, gestión y operación del sector logístico, mientras que EY Perú señala que la digitalización se ha convertido en un requisito esencial para que las empresas mantengan su relevancia y competitividad. Para el caso peruano, ICEX identifica una alta demanda de tecnologías vinculadas con automatización, trazabilidad y gestión eficiente dentro del smart agro, lo que sugiere que, en agroindustrias orientadas a la exportación, automatizar los flujos logísticos y documentarios permite liberar recursos, reducir fricciones administrativas y concentrar esfuerzos en la generación de valor del producto principal (Escudero, 2024; Gómez Pineda et al., 2022; ICEX España Exportación e Inversiones, 2025).</w:t>
      </w:r>
    </w:p>
    <w:p w14:paraId="1D2218BD" w14:textId="502D2064" w:rsidR="0026149F" w:rsidRDefault="0026149F">
      <w:r>
        <w:t>En el sector agroindustrial peruano, contar con procesos logísticos más eficientes resulta especialmente importante para sostener la competitividad exportadora frente a otros países y responder con mayor solidez a las exigencias del comercio internacional. El Banco Central de Reserva del Perú reportó que, durante 2023, las condiciones climáticas cálidas redujeron la productividad de cultivos como arándanos, espárragos y mangos, afectando el volumen exportado y el empleo del sector; ello evidencia que, en un entorno ya expuesto a riesgos productivos, las ineficiencias logísticas agravan la pérdida de competitividad. Asimismo, una investigación de la Universidad Tecnológica del Perú concluye que la digitalización de la cadena logística impacta positivamente en el desempeño exportador de cinco empresas agroexportadoras peruanas de jengibre. En la misma línea, ADEX ha advertido que el Perú tiene el desafío de llegar a más mercados y diversificar su oferta, lo que refuerza la necesidad de mejorar la eficiencia logística como soporte del desempeño exportador (Banco Central de Reserva del Perú [BCRP], 2024; Vargas Uñurucu &amp; Velásquez Schaeffer, 2024; Asociación de Exportadores [ADEX], 2024).</w:t>
      </w:r>
    </w:p>
    <w:p w14:paraId="38FC8D10" w14:textId="3EB90BC2" w:rsidR="0026149F" w:rsidRDefault="0026149F">
      <w:r>
        <w:t>A ello se suma que las empresas agroindustriales y agroexportadoras operan bajo exigencias sanitarias, fitosanitarias y de trazabilidad que requieren un control cada vez más riguroso de la información generada a lo largo de sus procesos logísticos. En el Perú, SENASA aprobó en 2026 medidas fitosanitarias para la certificación de lugares de producción, transporte, empacadoras y centros de inspección para exportación, incorporando registros, inspección, certificación y trazabilidad. De manera complementaria, la FDA establece en su Food Traceability Final Rule requisitos adicionales de registro para determinados alimentos, incluyendo el mantenimiento de key data elements y critical tracking events, así como la obligación de entregar la información a la autoridad en plazos breves. En conjunto, estas disposiciones evidencian que la gestión de datos en procesos logísticos ya no puede depender de controles débiles, dispersos o excesivamente manuales (Servicio Nacional de Sanidad Agraria [SENASA], 2026; U.S. Food and Drug Administration [FDA].</w:t>
      </w:r>
    </w:p>
    <w:p w14:paraId="444B6E05" w14:textId="778D9398" w:rsidR="0026149F" w:rsidRDefault="0026149F">
      <w:r>
        <w:t>En el contexto de 2026, la migración desde flujos manuales hacia flujos automatizados responde no solo a una necesidad interna de eficiencia, sino también a una tendencia regional y empresarial más amplia. La Agenda Digital para América Latina y el Caribe (eLAC2026) reconoce la transformación digital para el desarrollo productivo como uno de sus ejes centrales, mientras que EY Perú reporta que alrededor del 74% de las organizaciones del país se encuentran encaminadas en su proceso de transformación digital y que el índice de madurez digital nacional alcanzó 61.46 en 2024. En consecuencia, mantener procesos logísticos sustentados en revisiones manuales repetitivas implica rezagarse frente a un entorno en el que la automatización y el uso estratégico de los datos se vienen consolidando como parte del estándar competitivo (Comisión Económica para América Latina y el Caribe [CEPAL], 2024; Escudero, 2024).</w:t>
      </w:r>
    </w:p>
    <w:p w14:paraId="5456396F" w14:textId="1621F5CD" w:rsidR="0026149F" w:rsidRDefault="0026149F">
      <w:r>
        <w:t>Finalmente, la literatura reciente y algunos antecedentes peruanos muestran que muchas organizaciones aún sostienen parte de sus flujos de trabajo mediante tareas repetitivas, revisiones manuales y uso intensivo de hojas de cálculo para validar información crítica. Poon et al. (2024) advierten que en las hojas de cálculo operativas suelen existir fallas que pueden comprometer severamente la calidad de las conclusiones y decisiones basadas en ellas. De forma complementaria, Zhang et al. (2023) muestran, en un caso industrial, que la validación automatizada de datos mejora la detección eficiente de errores y reduce significativamente el costo de prueba. En el ámbito agroexportador peruano, Yalle Palomino y Herquinigo Cabezas (2023) identificaron en una empresa del sector un problema persistente de congestión documentaria asociado a la falta de recursos tecnológicos, con pérdidas económicas y afectación de relaciones comerciales. En la empresa objeto de estudio, esta problemática se refleja en la revisión manual en Excel de la integridad de reportes producidos por una base de datos de una entidad externa, actividad que actualmente demanda la participación de cinco personas, evidenciando una dependencia elevada de recurso humano para una tarea repetitiva de validación que podría ser reducida mediante automatización parcial o total (Poon et al., 2024; Zhang et al., 2023; Yalle Palomino &amp; Herquinigo Cabezas, 2023).</w:t>
      </w:r>
    </w:p>
    <w:sectPr w:rsidR="002614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9F"/>
    <w:rsid w:val="001A3EF5"/>
    <w:rsid w:val="0026149F"/>
    <w:rsid w:val="003F2ACF"/>
    <w:rsid w:val="006560D6"/>
    <w:rsid w:val="00C266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09C5B"/>
  <w15:chartTrackingRefBased/>
  <w15:docId w15:val="{D7CDFBA7-91EE-444F-B261-7224E9F2A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1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1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14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14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14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14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14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14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14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14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14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14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14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14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14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14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14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149F"/>
    <w:rPr>
      <w:rFonts w:eastAsiaTheme="majorEastAsia" w:cstheme="majorBidi"/>
      <w:color w:val="272727" w:themeColor="text1" w:themeTint="D8"/>
    </w:rPr>
  </w:style>
  <w:style w:type="paragraph" w:styleId="Ttulo">
    <w:name w:val="Title"/>
    <w:basedOn w:val="Normal"/>
    <w:next w:val="Normal"/>
    <w:link w:val="TtuloCar"/>
    <w:uiPriority w:val="10"/>
    <w:qFormat/>
    <w:rsid w:val="00261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14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14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14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149F"/>
    <w:pPr>
      <w:spacing w:before="160"/>
      <w:jc w:val="center"/>
    </w:pPr>
    <w:rPr>
      <w:i/>
      <w:iCs/>
      <w:color w:val="404040" w:themeColor="text1" w:themeTint="BF"/>
    </w:rPr>
  </w:style>
  <w:style w:type="character" w:customStyle="1" w:styleId="CitaCar">
    <w:name w:val="Cita Car"/>
    <w:basedOn w:val="Fuentedeprrafopredeter"/>
    <w:link w:val="Cita"/>
    <w:uiPriority w:val="29"/>
    <w:rsid w:val="0026149F"/>
    <w:rPr>
      <w:i/>
      <w:iCs/>
      <w:color w:val="404040" w:themeColor="text1" w:themeTint="BF"/>
    </w:rPr>
  </w:style>
  <w:style w:type="paragraph" w:styleId="Prrafodelista">
    <w:name w:val="List Paragraph"/>
    <w:basedOn w:val="Normal"/>
    <w:uiPriority w:val="34"/>
    <w:qFormat/>
    <w:rsid w:val="0026149F"/>
    <w:pPr>
      <w:ind w:left="720"/>
      <w:contextualSpacing/>
    </w:pPr>
  </w:style>
  <w:style w:type="character" w:styleId="nfasisintenso">
    <w:name w:val="Intense Emphasis"/>
    <w:basedOn w:val="Fuentedeprrafopredeter"/>
    <w:uiPriority w:val="21"/>
    <w:qFormat/>
    <w:rsid w:val="0026149F"/>
    <w:rPr>
      <w:i/>
      <w:iCs/>
      <w:color w:val="0F4761" w:themeColor="accent1" w:themeShade="BF"/>
    </w:rPr>
  </w:style>
  <w:style w:type="paragraph" w:styleId="Citadestacada">
    <w:name w:val="Intense Quote"/>
    <w:basedOn w:val="Normal"/>
    <w:next w:val="Normal"/>
    <w:link w:val="CitadestacadaCar"/>
    <w:uiPriority w:val="30"/>
    <w:qFormat/>
    <w:rsid w:val="00261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149F"/>
    <w:rPr>
      <w:i/>
      <w:iCs/>
      <w:color w:val="0F4761" w:themeColor="accent1" w:themeShade="BF"/>
    </w:rPr>
  </w:style>
  <w:style w:type="character" w:styleId="Referenciaintensa">
    <w:name w:val="Intense Reference"/>
    <w:basedOn w:val="Fuentedeprrafopredeter"/>
    <w:uiPriority w:val="32"/>
    <w:qFormat/>
    <w:rsid w:val="002614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879</Words>
  <Characters>4836</Characters>
  <Application>Microsoft Office Word</Application>
  <DocSecurity>0</DocSecurity>
  <Lines>40</Lines>
  <Paragraphs>11</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Paolo Leon Antunez</dc:creator>
  <cp:keywords/>
  <dc:description/>
  <cp:lastModifiedBy>Christopher Paolo Leon Antunez</cp:lastModifiedBy>
  <cp:revision>1</cp:revision>
  <dcterms:created xsi:type="dcterms:W3CDTF">2026-04-22T04:42:00Z</dcterms:created>
  <dcterms:modified xsi:type="dcterms:W3CDTF">2026-04-22T04:42:00Z</dcterms:modified>
</cp:coreProperties>
</file>