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30051"/>
          <w:sz w:val="72"/>
        </w:rPr>
        <w:t>CALMARA®</w:t>
      </w:r>
    </w:p>
    <w:p>
      <w:pPr>
        <w:jc w:val="center"/>
      </w:pPr>
      <w:r>
        <w:rPr>
          <w:color w:val="3D5A80"/>
          <w:sz w:val="40"/>
        </w:rPr>
        <w:t>(calmazetine)</w:t>
      </w:r>
    </w:p>
    <w:p/>
    <w:p>
      <w:pPr>
        <w:jc w:val="center"/>
      </w:pPr>
      <w:r>
        <w:rPr>
          <w:color w:val="363B3B"/>
          <w:sz w:val="48"/>
        </w:rPr>
        <w:t>Website Briefing</w:t>
      </w:r>
    </w:p>
    <w:p/>
    <w:p>
      <w:pPr>
        <w:jc w:val="center"/>
      </w:pPr>
      <w:r>
        <w:rPr>
          <w:i/>
          <w:color w:val="3D5A80"/>
          <w:sz w:val="24"/>
        </w:rPr>
        <w:t>Selective V1b receptor antagonist for treatment-inadequate GAD</w:t>
      </w:r>
    </w:p>
    <w:p/>
    <w:p/>
    <w:p>
      <w:pPr>
        <w:jc w:val="center"/>
      </w:pPr>
      <w:r>
        <w:rPr>
          <w:color w:val="666666"/>
          <w:sz w:val="18"/>
        </w:rPr>
        <w:t>Document type: Draft marketing brief for HCP website build</w:t>
      </w:r>
    </w:p>
    <w:p>
      <w:pPr>
        <w:jc w:val="center"/>
      </w:pPr>
      <w:r>
        <w:rPr>
          <w:color w:val="666666"/>
          <w:sz w:val="18"/>
        </w:rPr>
        <w:t>Prepared by: Medical Affairs Lead &amp; Senior Brand Manager, CNS Portfolio</w:t>
      </w:r>
    </w:p>
    <w:p>
      <w:pPr>
        <w:jc w:val="center"/>
      </w:pPr>
      <w:r>
        <w:rPr>
          <w:color w:val="666666"/>
          <w:sz w:val="18"/>
        </w:rPr>
        <w:t>Approval status: Draft v1.0 — indicative copy, pending MLR review</w:t>
      </w:r>
    </w:p>
    <w:p>
      <w:pPr>
        <w:jc w:val="center"/>
      </w:pPr>
      <w:r>
        <w:rPr>
          <w:color w:val="666666"/>
          <w:sz w:val="18"/>
        </w:rPr>
        <w:t>Date: March 2026</w:t>
      </w:r>
    </w:p>
    <w:p>
      <w:pPr>
        <w:jc w:val="center"/>
      </w:pPr>
      <w:r>
        <w:rPr>
          <w:color w:val="666666"/>
          <w:sz w:val="18"/>
        </w:rPr>
        <w:t>Approval code: [GB-XXXXX — assign before MLR submission]</w:t>
      </w:r>
    </w:p>
    <w:p>
      <w:r>
        <w:br w:type="page"/>
      </w:r>
    </w:p>
    <w:p>
      <w:pPr>
        <w:pStyle w:val="Heading1"/>
      </w:pPr>
      <w:r>
        <w:t>Contents</w:t>
      </w:r>
    </w:p>
    <w:p>
      <w:r>
        <w:t>1. Drug Profile</w:t>
      </w:r>
    </w:p>
    <w:p>
      <w:r>
        <w:t>2. Mechanism of Action</w:t>
      </w:r>
    </w:p>
    <w:p>
      <w:r>
        <w:t>3. Clinical Programme: SERENITY</w:t>
      </w:r>
    </w:p>
    <w:p>
      <w:r>
        <w:t>4. Safety Profile</w:t>
      </w:r>
    </w:p>
    <w:p>
      <w:r>
        <w:t>5. Prescribing Information</w:t>
      </w:r>
    </w:p>
    <w:p>
      <w:r>
        <w:t>6. Adverse Event Reporting</w:t>
      </w:r>
    </w:p>
    <w:p>
      <w:r>
        <w:t>7. References</w:t>
      </w:r>
    </w:p>
    <w:p>
      <w:r>
        <w:t>8. Site Navigation</w:t>
      </w:r>
    </w:p>
    <w:p>
      <w:r>
        <w:t>9. Page Content</w:t>
      </w:r>
    </w:p>
    <w:p>
      <w:r>
        <w:t xml:space="preserve">   Page 1: Home</w:t>
      </w:r>
    </w:p>
    <w:p>
      <w:r>
        <w:t xml:space="preserve">   Page 2: Efficacy</w:t>
      </w:r>
    </w:p>
    <w:p>
      <w:r>
        <w:t xml:space="preserve">   Page 3: Safety</w:t>
      </w:r>
    </w:p>
    <w:p>
      <w:r>
        <w:t xml:space="preserve">   Page 4: Dosing &amp; Administration</w:t>
      </w:r>
    </w:p>
    <w:p>
      <w:r>
        <w:t xml:space="preserve">   Page 5: Patient Support</w:t>
      </w:r>
    </w:p>
    <w:p>
      <w:r>
        <w:t xml:space="preserve">   Page 6: Resources</w:t>
      </w:r>
    </w:p>
    <w:p>
      <w:r>
        <w:t>10. Footer Content</w:t>
      </w:r>
    </w:p>
    <w:p>
      <w:r>
        <w:t>11. Image Assets</w:t>
      </w:r>
    </w:p>
    <w:p>
      <w:r>
        <w:t>12. Imagery Direction</w:t>
      </w:r>
    </w:p>
    <w:p>
      <w:r>
        <w:br w:type="page"/>
      </w:r>
    </w:p>
    <w:p>
      <w:pPr>
        <w:pStyle w:val="Heading1"/>
      </w:pPr>
      <w:r>
        <w:t>1. Drug Profile</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Brand name</w:t>
            </w:r>
          </w:p>
        </w:tc>
        <w:tc>
          <w:tcPr>
            <w:tcW w:type="dxa" w:w="4320"/>
          </w:tcPr>
          <w:p>
            <w:r>
              <w:rPr>
                <w:sz w:val="18"/>
              </w:rPr>
              <w:t>CALMARA</w:t>
            </w:r>
          </w:p>
        </w:tc>
      </w:tr>
      <w:tr>
        <w:tc>
          <w:tcPr>
            <w:tcW w:type="dxa" w:w="4320"/>
          </w:tcPr>
          <w:p>
            <w:r>
              <w:rPr>
                <w:sz w:val="18"/>
              </w:rPr>
              <w:t>Generic name</w:t>
            </w:r>
          </w:p>
        </w:tc>
        <w:tc>
          <w:tcPr>
            <w:tcW w:type="dxa" w:w="4320"/>
          </w:tcPr>
          <w:p>
            <w:r>
              <w:rPr>
                <w:sz w:val="18"/>
              </w:rPr>
              <w:t>calmazetine</w:t>
            </w:r>
          </w:p>
        </w:tc>
      </w:tr>
      <w:tr>
        <w:tc>
          <w:tcPr>
            <w:tcW w:type="dxa" w:w="4320"/>
          </w:tcPr>
          <w:p>
            <w:r>
              <w:rPr>
                <w:sz w:val="18"/>
              </w:rPr>
              <w:t>Drug class</w:t>
            </w:r>
          </w:p>
        </w:tc>
        <w:tc>
          <w:tcPr>
            <w:tcW w:type="dxa" w:w="4320"/>
          </w:tcPr>
          <w:p>
            <w:r>
              <w:rPr>
                <w:sz w:val="18"/>
              </w:rPr>
              <w:t>First-in-class oral selective antagonist of the arginine vasopressin V1b receptor (AVPR1B)</w:t>
            </w:r>
          </w:p>
        </w:tc>
      </w:tr>
      <w:tr>
        <w:tc>
          <w:tcPr>
            <w:tcW w:type="dxa" w:w="4320"/>
          </w:tcPr>
          <w:p>
            <w:r>
              <w:rPr>
                <w:sz w:val="18"/>
              </w:rPr>
              <w:t>Indication</w:t>
            </w:r>
          </w:p>
        </w:tc>
        <w:tc>
          <w:tcPr>
            <w:tcW w:type="dxa" w:w="4320"/>
          </w:tcPr>
          <w:p>
            <w:r>
              <w:rPr>
                <w:sz w:val="18"/>
              </w:rPr>
              <w:t>Treatment of generalised anxiety disorder (GAD) in adults who have had an inadequate response to at least one adequate course of an SSRI or SNRI</w:t>
            </w:r>
          </w:p>
        </w:tc>
      </w:tr>
      <w:tr>
        <w:tc>
          <w:tcPr>
            <w:tcW w:type="dxa" w:w="4320"/>
          </w:tcPr>
          <w:p>
            <w:r>
              <w:rPr>
                <w:sz w:val="18"/>
              </w:rPr>
              <w:t>Formulation</w:t>
            </w:r>
          </w:p>
        </w:tc>
        <w:tc>
          <w:tcPr>
            <w:tcW w:type="dxa" w:w="4320"/>
          </w:tcPr>
          <w:p>
            <w:r>
              <w:rPr>
                <w:sz w:val="18"/>
              </w:rPr>
              <w:t>120 mg film-coated tablets</w:t>
            </w:r>
          </w:p>
        </w:tc>
      </w:tr>
      <w:tr>
        <w:tc>
          <w:tcPr>
            <w:tcW w:type="dxa" w:w="4320"/>
          </w:tcPr>
          <w:p>
            <w:r>
              <w:rPr>
                <w:sz w:val="18"/>
              </w:rPr>
              <w:t>Dosing</w:t>
            </w:r>
          </w:p>
        </w:tc>
        <w:tc>
          <w:tcPr>
            <w:tcW w:type="dxa" w:w="4320"/>
          </w:tcPr>
          <w:p>
            <w:r>
              <w:rPr>
                <w:sz w:val="18"/>
              </w:rPr>
              <w:t>120 mg orally once daily from Day 1. No titration. No loading dose. With or without food.</w:t>
            </w:r>
          </w:p>
        </w:tc>
      </w:tr>
      <w:tr>
        <w:tc>
          <w:tcPr>
            <w:tcW w:type="dxa" w:w="4320"/>
          </w:tcPr>
          <w:p>
            <w:r>
              <w:rPr>
                <w:sz w:val="18"/>
              </w:rPr>
              <w:t>Schedule</w:t>
            </w:r>
          </w:p>
        </w:tc>
        <w:tc>
          <w:tcPr>
            <w:tcW w:type="dxa" w:w="4320"/>
          </w:tcPr>
          <w:p>
            <w:r>
              <w:rPr>
                <w:sz w:val="18"/>
              </w:rPr>
              <w:t>Non-scheduled (not a controlled substance). Continuous use; no defined duration limit.</w:t>
            </w:r>
          </w:p>
        </w:tc>
      </w:tr>
      <w:tr>
        <w:tc>
          <w:tcPr>
            <w:tcW w:type="dxa" w:w="4320"/>
          </w:tcPr>
          <w:p>
            <w:r>
              <w:rPr>
                <w:sz w:val="18"/>
              </w:rPr>
              <w:t>Approval</w:t>
            </w:r>
          </w:p>
        </w:tc>
        <w:tc>
          <w:tcPr>
            <w:tcW w:type="dxa" w:w="4320"/>
          </w:tcPr>
          <w:p>
            <w:r>
              <w:rPr>
                <w:sz w:val="18"/>
              </w:rPr>
              <w:t>MHRA — [PLACEHOLDER]</w:t>
            </w:r>
          </w:p>
        </w:tc>
      </w:tr>
      <w:tr>
        <w:tc>
          <w:tcPr>
            <w:tcW w:type="dxa" w:w="4320"/>
          </w:tcPr>
          <w:p>
            <w:r>
              <w:rPr>
                <w:sz w:val="18"/>
              </w:rPr>
              <w:t>Brand colour</w:t>
            </w:r>
          </w:p>
        </w:tc>
        <w:tc>
          <w:tcPr>
            <w:tcW w:type="dxa" w:w="4320"/>
          </w:tcPr>
          <w:p>
            <w:r>
              <w:rPr>
                <w:sz w:val="18"/>
              </w:rPr>
              <w:t>#3D5A80 (steel blue)</w:t>
            </w:r>
          </w:p>
        </w:tc>
      </w:tr>
      <w:tr>
        <w:tc>
          <w:tcPr>
            <w:tcW w:type="dxa" w:w="4320"/>
          </w:tcPr>
          <w:p>
            <w:r>
              <w:rPr>
                <w:sz w:val="18"/>
              </w:rPr>
              <w:t>Accent colour</w:t>
            </w:r>
          </w:p>
        </w:tc>
        <w:tc>
          <w:tcPr>
            <w:tcW w:type="dxa" w:w="4320"/>
          </w:tcPr>
          <w:p>
            <w:r>
              <w:rPr>
                <w:sz w:val="18"/>
              </w:rPr>
              <w:t>#C4A35A (muted gold)</w:t>
            </w:r>
          </w:p>
        </w:tc>
      </w:tr>
      <w:tr>
        <w:tc>
          <w:tcPr>
            <w:tcW w:type="dxa" w:w="4320"/>
          </w:tcPr>
          <w:p>
            <w:r>
              <w:rPr>
                <w:sz w:val="18"/>
              </w:rPr>
              <w:t>Approval code</w:t>
            </w:r>
          </w:p>
        </w:tc>
        <w:tc>
          <w:tcPr>
            <w:tcW w:type="dxa" w:w="4320"/>
          </w:tcPr>
          <w:p>
            <w:r>
              <w:rPr>
                <w:sz w:val="18"/>
              </w:rPr>
              <w:t>[GB-XXXXX — assign before MLR submission]</w:t>
            </w:r>
          </w:p>
        </w:tc>
      </w:tr>
    </w:tbl>
    <w:p/>
    <w:p>
      <w:r>
        <w:t>CALMARA brand rule: CALMARA always appears in capitals, with ® on first mention per page. Generic name (calmazetine) in lowercase parentheses on first mention. No tagline — no promotional strapline in the header.</w:t>
      </w:r>
    </w:p>
    <w:p>
      <w:r>
        <w:t>────────────────────────────────────────────────────────────</w:t>
      </w:r>
    </w:p>
    <w:p>
      <w:pPr>
        <w:pStyle w:val="Heading1"/>
      </w:pPr>
      <w:r>
        <w:t>2. Mechanism of Action</w:t>
      </w:r>
    </w:p>
    <w:p>
      <w:r>
        <w:t>CALMARA (calmazetine) is a first-in-class oral selective antagonist of the arginine vasopressin V1b receptor (AVPR1B). Its mechanism is entirely distinct from monoaminergic, GABAergic, and serotonergic pathways.¹</w:t>
      </w:r>
    </w:p>
    <w:p>
      <w:r>
        <w:t>Arginine vasopressin (AVP) acts synergistically with corticotropin-releasing hormone (CRH) at the pituitary V1b receptor to amplify ACTH and cortisol secretion in response to stress. Dysregulation of AVP/V1b signalling has been identified in chronic stress models and in post-mortem studies of individuals with anxiety and affective disorders.¹²</w:t>
      </w:r>
    </w:p>
    <w:p>
      <w:r>
        <w:t>In patients with GAD, sustained HPA axis hyperactivation contributes to the persistent, excessive worry and somatic symptoms that define the condition. Current pharmacotherapies — SSRIs, SNRIs, buspirone — act on monoaminergic transmission but do not directly address this neuroendocrine component.²</w:t>
      </w:r>
    </w:p>
    <w:p>
      <w:r>
        <w:t>By selectively antagonising V1b receptors, calmazetine:</w:t>
      </w:r>
    </w:p>
    <w:p>
      <w:pPr>
        <w:pStyle w:val="ListBullet"/>
      </w:pPr>
      <w:r>
        <w:t>Reduces stress-axis hyperactivity at the pituitary level¹</w:t>
      </w:r>
    </w:p>
    <w:p>
      <w:pPr>
        <w:pStyle w:val="ListBullet"/>
      </w:pPr>
      <w:r>
        <w:t>Reduces ACTH and cortisol secretion driven by AVP/CRH synergy¹</w:t>
      </w:r>
    </w:p>
    <w:p>
      <w:pPr>
        <w:pStyle w:val="ListBullet"/>
      </w:pPr>
      <w:r>
        <w:t>Does not act on V1a or V2 receptors — basis for favourable CV and renal safety¹</w:t>
      </w:r>
    </w:p>
    <w:p>
      <w:pPr>
        <w:pStyle w:val="ListBullet"/>
      </w:pPr>
      <w:r>
        <w:t>Does not produce sedation, receptor-level dependence, or cognitive dulling¹</w:t>
      </w:r>
    </w:p>
    <w:p>
      <w:pPr>
        <w:pStyle w:val="ListBullet"/>
      </w:pPr>
      <w:r>
        <w:t>No serotonergic side effects; no sexual dysfunction class effect¹</w:t>
      </w:r>
    </w:p>
    <w:p/>
    <w:p>
      <w:r>
        <w:t>Key differentiator: Calmazetine is not a sedative. It is not associated with dependence, withdrawal, or rebound anxiety. This distinction is clinically relevant for prescribers managing patients who drive, operate machinery, or require cognitive clarity at work.¹</w:t>
      </w:r>
    </w:p>
    <w:p>
      <w:r>
        <w:t>────────────────────────────────────────────────────────────</w:t>
      </w:r>
    </w:p>
    <w:p>
      <w:pPr>
        <w:pStyle w:val="Heading1"/>
      </w:pPr>
      <w:r>
        <w:t>3. Clinical Programme: SERENITY</w:t>
      </w:r>
    </w:p>
    <w:p>
      <w:r>
        <w:t>The CALMARA approval is supported by the SERENITY programme — two Phase III, randomised, double-blind, placebo-controlled trials conducted across 74 sites in North America and Western Europe.³⁴</w:t>
      </w:r>
    </w:p>
    <w:p>
      <w:pPr>
        <w:pStyle w:val="Heading2"/>
      </w:pPr>
      <w:r>
        <w:t>SERENITY-1 and SERENITY-2 (pooled analysis)</w:t>
      </w:r>
    </w:p>
    <w:p>
      <w:r>
        <w:t>Design: Randomised, double-blind, placebo-controlled</w:t>
      </w:r>
    </w:p>
    <w:p>
      <w:r>
        <w:t>Population: 614 adults with confirmed DSM-5 GAD, HAM-A ≥18, inadequate response to ≥1 SSRI or SNRI</w:t>
      </w:r>
    </w:p>
    <w:p>
      <w:r>
        <w:t>Inadequate response: Failure to achieve remission (HAM-A ≤7) after ≥8 weeks at adequate dose</w:t>
      </w:r>
    </w:p>
    <w:p>
      <w:r>
        <w:t>Exclusions: Current/recent benzodiazepine use (within 4 weeks), active substance use disorder, primary MDD</w:t>
      </w:r>
    </w:p>
    <w:p>
      <w:r>
        <w:t>Randomisation: 1:1 to CALMARA 120 mg once daily or matching placebo</w:t>
      </w:r>
    </w:p>
    <w:p>
      <w:r>
        <w:t>Duration: 24 weeks</w:t>
      </w:r>
    </w:p>
    <w:p>
      <w:r>
        <w:t>Primary endpoint: Proportion achieving ≥50% reduction in HAM-A total score at Week 24</w:t>
      </w:r>
    </w:p>
    <w:p>
      <w:r>
        <w:t>Publication: [PLACEHOLDER]</w:t>
      </w:r>
    </w:p>
    <w:p/>
    <w:p>
      <w:r>
        <w:t>Primary endpoint: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Endpoint</w:t>
            </w:r>
          </w:p>
        </w:tc>
        <w:tc>
          <w:tcPr>
            <w:tcW w:type="dxa" w:w="2160"/>
          </w:tcPr>
          <w:p>
            <w:r>
              <w:rPr>
                <w:b/>
                <w:sz w:val="18"/>
              </w:rPr>
              <w:t>CALMARA</w:t>
            </w:r>
          </w:p>
        </w:tc>
        <w:tc>
          <w:tcPr>
            <w:tcW w:type="dxa" w:w="2160"/>
          </w:tcPr>
          <w:p>
            <w:r>
              <w:rPr>
                <w:b/>
                <w:sz w:val="18"/>
              </w:rPr>
              <w:t>Placebo</w:t>
            </w:r>
          </w:p>
        </w:tc>
        <w:tc>
          <w:tcPr>
            <w:tcW w:type="dxa" w:w="2160"/>
          </w:tcPr>
          <w:p>
            <w:r>
              <w:rPr>
                <w:b/>
                <w:sz w:val="18"/>
              </w:rPr>
              <w:t>P-value</w:t>
            </w:r>
          </w:p>
        </w:tc>
      </w:tr>
      <w:tr>
        <w:tc>
          <w:tcPr>
            <w:tcW w:type="dxa" w:w="2160"/>
          </w:tcPr>
          <w:p>
            <w:r>
              <w:rPr>
                <w:sz w:val="18"/>
              </w:rPr>
              <w:t>HAM-A total score ≥50% reduction at Week 24</w:t>
            </w:r>
          </w:p>
        </w:tc>
        <w:tc>
          <w:tcPr>
            <w:tcW w:type="dxa" w:w="2160"/>
          </w:tcPr>
          <w:p>
            <w:r>
              <w:rPr>
                <w:sz w:val="18"/>
              </w:rPr>
              <w:t>62.4%</w:t>
            </w:r>
          </w:p>
        </w:tc>
        <w:tc>
          <w:tcPr>
            <w:tcW w:type="dxa" w:w="2160"/>
          </w:tcPr>
          <w:p>
            <w:r>
              <w:rPr>
                <w:sz w:val="18"/>
              </w:rPr>
              <w:t>24.7%</w:t>
            </w:r>
          </w:p>
        </w:tc>
        <w:tc>
          <w:tcPr>
            <w:tcW w:type="dxa" w:w="2160"/>
          </w:tcPr>
          <w:p>
            <w:r>
              <w:rPr>
                <w:sz w:val="18"/>
              </w:rPr>
              <w:t>p &lt; 0.0001</w:t>
            </w:r>
          </w:p>
        </w:tc>
      </w:tr>
    </w:tbl>
    <w:p/>
    <w:p>
      <w:r>
        <w:t>Key secondary endpoints (Week 24):</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Endpoint</w:t>
            </w:r>
          </w:p>
        </w:tc>
        <w:tc>
          <w:tcPr>
            <w:tcW w:type="dxa" w:w="2160"/>
          </w:tcPr>
          <w:p>
            <w:r>
              <w:rPr>
                <w:b/>
                <w:sz w:val="18"/>
              </w:rPr>
              <w:t>CALMARA</w:t>
            </w:r>
          </w:p>
        </w:tc>
        <w:tc>
          <w:tcPr>
            <w:tcW w:type="dxa" w:w="2160"/>
          </w:tcPr>
          <w:p>
            <w:r>
              <w:rPr>
                <w:b/>
                <w:sz w:val="18"/>
              </w:rPr>
              <w:t>Placebo</w:t>
            </w:r>
          </w:p>
        </w:tc>
        <w:tc>
          <w:tcPr>
            <w:tcW w:type="dxa" w:w="2160"/>
          </w:tcPr>
          <w:p>
            <w:r>
              <w:rPr>
                <w:b/>
                <w:sz w:val="18"/>
              </w:rPr>
              <w:t>P-value</w:t>
            </w:r>
          </w:p>
        </w:tc>
      </w:tr>
      <w:tr>
        <w:tc>
          <w:tcPr>
            <w:tcW w:type="dxa" w:w="2160"/>
          </w:tcPr>
          <w:p>
            <w:r>
              <w:rPr>
                <w:sz w:val="18"/>
              </w:rPr>
              <w:t>HAM-A remission (score ≤7)</w:t>
            </w:r>
          </w:p>
        </w:tc>
        <w:tc>
          <w:tcPr>
            <w:tcW w:type="dxa" w:w="2160"/>
          </w:tcPr>
          <w:p>
            <w:r>
              <w:rPr>
                <w:sz w:val="18"/>
              </w:rPr>
              <w:t>41.8%</w:t>
            </w:r>
          </w:p>
        </w:tc>
        <w:tc>
          <w:tcPr>
            <w:tcW w:type="dxa" w:w="2160"/>
          </w:tcPr>
          <w:p>
            <w:r>
              <w:rPr>
                <w:sz w:val="18"/>
              </w:rPr>
              <w:t>13.2%</w:t>
            </w:r>
          </w:p>
        </w:tc>
        <w:tc>
          <w:tcPr>
            <w:tcW w:type="dxa" w:w="2160"/>
          </w:tcPr>
          <w:p>
            <w:r>
              <w:rPr>
                <w:sz w:val="18"/>
              </w:rPr>
              <w:t>p &lt; 0.0001</w:t>
            </w:r>
          </w:p>
        </w:tc>
      </w:tr>
      <w:tr>
        <w:tc>
          <w:tcPr>
            <w:tcW w:type="dxa" w:w="2160"/>
          </w:tcPr>
          <w:p>
            <w:r>
              <w:rPr>
                <w:sz w:val="18"/>
              </w:rPr>
              <w:t>GAD-7 score ≤4 (minimal anxiety)</w:t>
            </w:r>
          </w:p>
        </w:tc>
        <w:tc>
          <w:tcPr>
            <w:tcW w:type="dxa" w:w="2160"/>
          </w:tcPr>
          <w:p>
            <w:r>
              <w:rPr>
                <w:sz w:val="18"/>
              </w:rPr>
              <w:t>54.3%</w:t>
            </w:r>
          </w:p>
        </w:tc>
        <w:tc>
          <w:tcPr>
            <w:tcW w:type="dxa" w:w="2160"/>
          </w:tcPr>
          <w:p>
            <w:r>
              <w:rPr>
                <w:sz w:val="18"/>
              </w:rPr>
              <w:t>19.1%</w:t>
            </w:r>
          </w:p>
        </w:tc>
        <w:tc>
          <w:tcPr>
            <w:tcW w:type="dxa" w:w="2160"/>
          </w:tcPr>
          <w:p>
            <w:r>
              <w:rPr>
                <w:sz w:val="18"/>
              </w:rPr>
              <w:t>p &lt; 0.0001</w:t>
            </w:r>
          </w:p>
        </w:tc>
      </w:tr>
      <w:tr>
        <w:tc>
          <w:tcPr>
            <w:tcW w:type="dxa" w:w="2160"/>
          </w:tcPr>
          <w:p>
            <w:r>
              <w:rPr>
                <w:sz w:val="18"/>
              </w:rPr>
              <w:t>CGI-I score 1 or 2 (much/very much improved)</w:t>
            </w:r>
          </w:p>
        </w:tc>
        <w:tc>
          <w:tcPr>
            <w:tcW w:type="dxa" w:w="2160"/>
          </w:tcPr>
          <w:p>
            <w:r>
              <w:rPr>
                <w:sz w:val="18"/>
              </w:rPr>
              <w:t>66.7%</w:t>
            </w:r>
          </w:p>
        </w:tc>
        <w:tc>
          <w:tcPr>
            <w:tcW w:type="dxa" w:w="2160"/>
          </w:tcPr>
          <w:p>
            <w:r>
              <w:rPr>
                <w:sz w:val="18"/>
              </w:rPr>
              <w:t>28.4%</w:t>
            </w:r>
          </w:p>
        </w:tc>
        <w:tc>
          <w:tcPr>
            <w:tcW w:type="dxa" w:w="2160"/>
          </w:tcPr>
          <w:p>
            <w:r>
              <w:rPr>
                <w:sz w:val="18"/>
              </w:rPr>
              <w:t>p &lt; 0.0001</w:t>
            </w:r>
          </w:p>
        </w:tc>
      </w:tr>
      <w:tr>
        <w:tc>
          <w:tcPr>
            <w:tcW w:type="dxa" w:w="2160"/>
          </w:tcPr>
          <w:p>
            <w:r>
              <w:rPr>
                <w:sz w:val="18"/>
              </w:rPr>
              <w:t>PROMIS Anxiety T-score improvement ≥10 pts</w:t>
            </w:r>
          </w:p>
        </w:tc>
        <w:tc>
          <w:tcPr>
            <w:tcW w:type="dxa" w:w="2160"/>
          </w:tcPr>
          <w:p>
            <w:r>
              <w:rPr>
                <w:sz w:val="18"/>
              </w:rPr>
              <w:t>48.9%</w:t>
            </w:r>
          </w:p>
        </w:tc>
        <w:tc>
          <w:tcPr>
            <w:tcW w:type="dxa" w:w="2160"/>
          </w:tcPr>
          <w:p>
            <w:r>
              <w:rPr>
                <w:sz w:val="18"/>
              </w:rPr>
              <w:t>14.6%</w:t>
            </w:r>
          </w:p>
        </w:tc>
        <w:tc>
          <w:tcPr>
            <w:tcW w:type="dxa" w:w="2160"/>
          </w:tcPr>
          <w:p>
            <w:r>
              <w:rPr>
                <w:sz w:val="18"/>
              </w:rPr>
              <w:t>p &lt; 0.0001</w:t>
            </w:r>
          </w:p>
        </w:tc>
      </w:tr>
      <w:tr>
        <w:tc>
          <w:tcPr>
            <w:tcW w:type="dxa" w:w="2160"/>
          </w:tcPr>
          <w:p>
            <w:r>
              <w:rPr>
                <w:sz w:val="18"/>
              </w:rPr>
              <w:t>SDS total score improvement ≥40%</w:t>
            </w:r>
          </w:p>
        </w:tc>
        <w:tc>
          <w:tcPr>
            <w:tcW w:type="dxa" w:w="2160"/>
          </w:tcPr>
          <w:p>
            <w:r>
              <w:rPr>
                <w:sz w:val="18"/>
              </w:rPr>
              <w:t>55.1%</w:t>
            </w:r>
          </w:p>
        </w:tc>
        <w:tc>
          <w:tcPr>
            <w:tcW w:type="dxa" w:w="2160"/>
          </w:tcPr>
          <w:p>
            <w:r>
              <w:rPr>
                <w:sz w:val="18"/>
              </w:rPr>
              <w:t>20.3%</w:t>
            </w:r>
          </w:p>
        </w:tc>
        <w:tc>
          <w:tcPr>
            <w:tcW w:type="dxa" w:w="2160"/>
          </w:tcPr>
          <w:p>
            <w:r>
              <w:rPr>
                <w:sz w:val="18"/>
              </w:rPr>
              <w:t>p &lt; 0.0001</w:t>
            </w:r>
          </w:p>
        </w:tc>
      </w:tr>
    </w:tbl>
    <w:p/>
    <w:p>
      <w:r>
        <w:rPr>
          <w:sz w:val="16"/>
        </w:rPr>
        <w:t>Pooled ITT population (N=614). All p-values after pre-specified multiplicity correction.</w:t>
      </w:r>
    </w:p>
    <w:p>
      <w:pPr>
        <w:pStyle w:val="Heading2"/>
      </w:pPr>
      <w:r>
        <w:t>Onset of effect</w:t>
      </w:r>
    </w:p>
    <w:p>
      <w:r>
        <w:t>Statistically significant separation from placebo on HAM-A total score from Week 2 (SERENITY-1) and Week 3 (SERENITY-2). HAM-A ≥4-point reduction at Week 4: 38.1% vs 14.9%. Onset notably faster than registrational SSRI data, though cross-trial comparisons require methodological caveats.³⁴</w:t>
      </w:r>
    </w:p>
    <w:p>
      <w:pPr>
        <w:pStyle w:val="Heading2"/>
      </w:pPr>
      <w:r>
        <w:t>Long-term data (open-label extension)</w:t>
      </w:r>
    </w:p>
    <w:p>
      <w:r>
        <w:t>OLE of SERENITY-1 followed 241 patients for an additional 52 weeks. HAM-A response maintained in 78.4%. No new safety signals over 76 weeks. No clinically significant cortisol axis suppression — 24-hour urinary free cortisol within normal reference ranges throughout.⁵</w:t>
      </w:r>
    </w:p>
    <w:p>
      <w:r>
        <w:t>────────────────────────────────────────────────────────────</w:t>
      </w:r>
    </w:p>
    <w:p>
      <w:pPr>
        <w:pStyle w:val="Heading1"/>
      </w:pPr>
      <w:r>
        <w:t>4. Safety Profile</w:t>
      </w:r>
    </w:p>
    <w:p>
      <w:r>
        <w:t>Safety consistent with V1b-selective pharmacology. No signal for dependence, withdrawal, or rebound anxiety. No clinically meaningful effects on BP, serum sodium, or renal function.³⁴</w:t>
      </w:r>
    </w:p>
    <w:p>
      <w:pPr>
        <w:pStyle w:val="Heading2"/>
      </w:pPr>
      <w:r>
        <w:t>Adverse events (pooled SERENITY-1 and SERENITY-2)</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Adverse event</w:t>
            </w:r>
          </w:p>
        </w:tc>
        <w:tc>
          <w:tcPr>
            <w:tcW w:type="dxa" w:w="2880"/>
          </w:tcPr>
          <w:p>
            <w:r>
              <w:rPr>
                <w:b/>
                <w:sz w:val="18"/>
              </w:rPr>
              <w:t>CALMARA</w:t>
            </w:r>
          </w:p>
        </w:tc>
        <w:tc>
          <w:tcPr>
            <w:tcW w:type="dxa" w:w="2880"/>
          </w:tcPr>
          <w:p>
            <w:r>
              <w:rPr>
                <w:b/>
                <w:sz w:val="18"/>
              </w:rPr>
              <w:t>Placebo</w:t>
            </w:r>
          </w:p>
        </w:tc>
      </w:tr>
      <w:tr>
        <w:tc>
          <w:tcPr>
            <w:tcW w:type="dxa" w:w="2880"/>
          </w:tcPr>
          <w:p>
            <w:r>
              <w:rPr>
                <w:sz w:val="18"/>
              </w:rPr>
              <w:t>Somnolence (transient)</w:t>
            </w:r>
          </w:p>
        </w:tc>
        <w:tc>
          <w:tcPr>
            <w:tcW w:type="dxa" w:w="2880"/>
          </w:tcPr>
          <w:p>
            <w:r>
              <w:rPr>
                <w:sz w:val="18"/>
              </w:rPr>
              <w:t>8.4%</w:t>
            </w:r>
          </w:p>
        </w:tc>
        <w:tc>
          <w:tcPr>
            <w:tcW w:type="dxa" w:w="2880"/>
          </w:tcPr>
          <w:p>
            <w:r>
              <w:rPr>
                <w:sz w:val="18"/>
              </w:rPr>
              <w:t>3.1%</w:t>
            </w:r>
          </w:p>
        </w:tc>
      </w:tr>
      <w:tr>
        <w:tc>
          <w:tcPr>
            <w:tcW w:type="dxa" w:w="2880"/>
          </w:tcPr>
          <w:p>
            <w:r>
              <w:rPr>
                <w:sz w:val="18"/>
              </w:rPr>
              <w:t>Nausea</w:t>
            </w:r>
          </w:p>
        </w:tc>
        <w:tc>
          <w:tcPr>
            <w:tcW w:type="dxa" w:w="2880"/>
          </w:tcPr>
          <w:p>
            <w:r>
              <w:rPr>
                <w:sz w:val="18"/>
              </w:rPr>
              <w:t>7.2%</w:t>
            </w:r>
          </w:p>
        </w:tc>
        <w:tc>
          <w:tcPr>
            <w:tcW w:type="dxa" w:w="2880"/>
          </w:tcPr>
          <w:p>
            <w:r>
              <w:rPr>
                <w:sz w:val="18"/>
              </w:rPr>
              <w:t>3.6%</w:t>
            </w:r>
          </w:p>
        </w:tc>
      </w:tr>
      <w:tr>
        <w:tc>
          <w:tcPr>
            <w:tcW w:type="dxa" w:w="2880"/>
          </w:tcPr>
          <w:p>
            <w:r>
              <w:rPr>
                <w:sz w:val="18"/>
              </w:rPr>
              <w:t>Headache</w:t>
            </w:r>
          </w:p>
        </w:tc>
        <w:tc>
          <w:tcPr>
            <w:tcW w:type="dxa" w:w="2880"/>
          </w:tcPr>
          <w:p>
            <w:r>
              <w:rPr>
                <w:sz w:val="18"/>
              </w:rPr>
              <w:t>6.5%</w:t>
            </w:r>
          </w:p>
        </w:tc>
        <w:tc>
          <w:tcPr>
            <w:tcW w:type="dxa" w:w="2880"/>
          </w:tcPr>
          <w:p>
            <w:r>
              <w:rPr>
                <w:sz w:val="18"/>
              </w:rPr>
              <w:t>5.8%</w:t>
            </w:r>
          </w:p>
        </w:tc>
      </w:tr>
      <w:tr>
        <w:tc>
          <w:tcPr>
            <w:tcW w:type="dxa" w:w="2880"/>
          </w:tcPr>
          <w:p>
            <w:r>
              <w:rPr>
                <w:sz w:val="18"/>
              </w:rPr>
              <w:t>Dizziness</w:t>
            </w:r>
          </w:p>
        </w:tc>
        <w:tc>
          <w:tcPr>
            <w:tcW w:type="dxa" w:w="2880"/>
          </w:tcPr>
          <w:p>
            <w:r>
              <w:rPr>
                <w:sz w:val="18"/>
              </w:rPr>
              <w:t>4.9%</w:t>
            </w:r>
          </w:p>
        </w:tc>
        <w:tc>
          <w:tcPr>
            <w:tcW w:type="dxa" w:w="2880"/>
          </w:tcPr>
          <w:p>
            <w:r>
              <w:rPr>
                <w:sz w:val="18"/>
              </w:rPr>
              <w:t>2.0%</w:t>
            </w:r>
          </w:p>
        </w:tc>
      </w:tr>
      <w:tr>
        <w:tc>
          <w:tcPr>
            <w:tcW w:type="dxa" w:w="2880"/>
          </w:tcPr>
          <w:p>
            <w:r>
              <w:rPr>
                <w:sz w:val="18"/>
              </w:rPr>
              <w:t>Fatigue</w:t>
            </w:r>
          </w:p>
        </w:tc>
        <w:tc>
          <w:tcPr>
            <w:tcW w:type="dxa" w:w="2880"/>
          </w:tcPr>
          <w:p>
            <w:r>
              <w:rPr>
                <w:sz w:val="18"/>
              </w:rPr>
              <w:t>4.1%</w:t>
            </w:r>
          </w:p>
        </w:tc>
        <w:tc>
          <w:tcPr>
            <w:tcW w:type="dxa" w:w="2880"/>
          </w:tcPr>
          <w:p>
            <w:r>
              <w:rPr>
                <w:sz w:val="18"/>
              </w:rPr>
              <w:t>3.9%</w:t>
            </w:r>
          </w:p>
        </w:tc>
      </w:tr>
      <w:tr>
        <w:tc>
          <w:tcPr>
            <w:tcW w:type="dxa" w:w="2880"/>
          </w:tcPr>
          <w:p>
            <w:r>
              <w:rPr>
                <w:sz w:val="18"/>
              </w:rPr>
              <w:t>Dry mouth</w:t>
            </w:r>
          </w:p>
        </w:tc>
        <w:tc>
          <w:tcPr>
            <w:tcW w:type="dxa" w:w="2880"/>
          </w:tcPr>
          <w:p>
            <w:r>
              <w:rPr>
                <w:sz w:val="18"/>
              </w:rPr>
              <w:t>3.6%</w:t>
            </w:r>
          </w:p>
        </w:tc>
        <w:tc>
          <w:tcPr>
            <w:tcW w:type="dxa" w:w="2880"/>
          </w:tcPr>
          <w:p>
            <w:r>
              <w:rPr>
                <w:sz w:val="18"/>
              </w:rPr>
              <w:t>1.6%</w:t>
            </w:r>
          </w:p>
        </w:tc>
      </w:tr>
      <w:tr>
        <w:tc>
          <w:tcPr>
            <w:tcW w:type="dxa" w:w="2880"/>
          </w:tcPr>
          <w:p>
            <w:r>
              <w:rPr>
                <w:sz w:val="18"/>
              </w:rPr>
              <w:t>Discontinuation due to AE</w:t>
            </w:r>
          </w:p>
        </w:tc>
        <w:tc>
          <w:tcPr>
            <w:tcW w:type="dxa" w:w="2880"/>
          </w:tcPr>
          <w:p>
            <w:r>
              <w:rPr>
                <w:sz w:val="18"/>
              </w:rPr>
              <w:t>4.2%</w:t>
            </w:r>
          </w:p>
        </w:tc>
        <w:tc>
          <w:tcPr>
            <w:tcW w:type="dxa" w:w="2880"/>
          </w:tcPr>
          <w:p>
            <w:r>
              <w:rPr>
                <w:sz w:val="18"/>
              </w:rPr>
              <w:t>2.6%</w:t>
            </w:r>
          </w:p>
        </w:tc>
      </w:tr>
    </w:tbl>
    <w:p/>
    <w:p>
      <w:pPr>
        <w:pStyle w:val="Heading2"/>
      </w:pPr>
      <w:r>
        <w:t>Notable findings</w:t>
      </w:r>
    </w:p>
    <w:p>
      <w:r>
        <w:t>Somnolence: Predominantly within first 2 weeks, largely self-resolving. Discontinuation due to somnolence: 1.6%. CALMARA is not a sedative.³⁴</w:t>
      </w:r>
    </w:p>
    <w:p>
      <w:r>
        <w:t>No dependence or withdrawal: No signal in 24-week controlled period or 76-week OLE. Not a controlled substance.³⁴⁵</w:t>
      </w:r>
    </w:p>
    <w:p>
      <w:r>
        <w:t>Cortisol axis: No clinically significant suppression. 24-hour urinary free cortisol within normal ranges throughout 76 weeks.⁵</w:t>
      </w:r>
    </w:p>
    <w:p>
      <w:r>
        <w:t>CV and renal: No meaningful effects on BP, serum sodium, or renal function — consistent with V1b selectivity over V1a/V2.¹</w:t>
      </w:r>
    </w:p>
    <w:p>
      <w:pPr>
        <w:pStyle w:val="Heading2"/>
      </w:pPr>
      <w:r>
        <w:t>Special populations</w:t>
      </w:r>
    </w:p>
    <w:p>
      <w:r>
        <w:t>[PLACEHOLDER — requires SmPC data for renal, hepatic, elderly, pregnancy/lactation]</w:t>
      </w:r>
    </w:p>
    <w:p>
      <w:r>
        <w:t>────────────────────────────────────────────────────────────</w:t>
      </w:r>
    </w:p>
    <w:p>
      <w:pPr>
        <w:pStyle w:val="Heading1"/>
      </w:pPr>
      <w:r>
        <w:t>5. Prescribing Information (abbreviated — for every page footer)</w:t>
      </w:r>
    </w:p>
    <w:p>
      <w:r>
        <w:t>CALMARA (calmazetine) 120 mg film-coated tablets. Please refer to the SmPC before prescribing. Indication: GAD in adults with inadequate response to ≥1 SSRI or SNRI. Dosage: 120 mg once daily. No titration. With or without food. Contraindications: [PLACEHOLDER]. Warnings: [PLACEHOLDER]. Interactions: [PLACEHOLDER]. Side effects: Common (≥1/100 to &lt;1/10): Somnolence, nausea, headache, dizziness, fatigue, dry mouth. Legal category: POM (not scheduled). Pack/price: [PLACEHOLDER]. MAH: AstraZeneca UK Ltd. MA number: [PLACEHOLDER]. Full PI from: AstraZeneca UK Ltd, 2 Pancras Square, London N1C 4AG. [GB-XXXXX] | DOP: [Month Year]</w:t>
      </w:r>
    </w:p>
    <w:p>
      <w:r>
        <w:t>────────────────────────────────────────────────────────────</w:t>
      </w:r>
    </w:p>
    <w:p>
      <w:pPr>
        <w:pStyle w:val="Heading1"/>
      </w:pPr>
      <w:r>
        <w:t>6. Adverse Event Reporting (for every page footer)</w:t>
      </w:r>
    </w:p>
    <w:p>
      <w:r>
        <w:t>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r>
        <w:t>────────────────────────────────────────────────────────────</w:t>
      </w:r>
    </w:p>
    <w:p>
      <w:pPr>
        <w:pStyle w:val="Heading1"/>
      </w:pPr>
      <w:r>
        <w:t>7. References (for every page footer)</w:t>
      </w:r>
    </w:p>
    <w:p>
      <w:r>
        <w:t>1.  [PLACEHOLDER — CALMARA SmPC. AstraZeneca UK Ltd.]</w:t>
      </w:r>
    </w:p>
    <w:p>
      <w:r>
        <w:t>2.  [PLACEHOLDER — AVP/V1b pathway and anxiety disorders.]</w:t>
      </w:r>
    </w:p>
    <w:p>
      <w:r>
        <w:t>3.  [PLACEHOLDER — SERENITY-1 publication.]</w:t>
      </w:r>
    </w:p>
    <w:p>
      <w:r>
        <w:t>4.  [PLACEHOLDER — SERENITY-2 publication.]</w:t>
      </w:r>
    </w:p>
    <w:p>
      <w:r>
        <w:t>5.  [PLACEHOLDER — SERENITY-1 OLE publication.]</w:t>
      </w:r>
    </w:p>
    <w:p>
      <w:r>
        <w:t>6.  [PLACEHOLDER — GAD epidemiology, UK-specific.]</w:t>
      </w:r>
    </w:p>
    <w:p>
      <w:r>
        <w:t>7.  [PLACEHOLDER — SSRI/SNRI limitations in GAD.]</w:t>
      </w:r>
    </w:p>
    <w:p>
      <w:r>
        <w:t>────────────────────────────────────────────────────────────</w:t>
      </w:r>
    </w:p>
    <w:p>
      <w:pPr>
        <w:pStyle w:val="Heading1"/>
      </w:pPr>
      <w:r>
        <w:t>8. Site Navigation</w:t>
      </w:r>
    </w:p>
    <w:p>
      <w:r>
        <w:t>Top bar links: Contact Us (https://www.astrazeneca.co.uk/contact-us.html) | AZ Employee Login (https://login.astrazeneca.com)</w:t>
      </w:r>
    </w:p>
    <w:p>
      <w:r>
        <w:t>Main navigation pages: Efficacy | Safety | Dosing &amp; Administration | Patient Support | Resources</w:t>
      </w:r>
    </w:p>
    <w:p>
      <w:r>
        <w:t>Utility: Search | Login</w:t>
      </w:r>
    </w:p>
    <w:p>
      <w:r>
        <w:br w:type="page"/>
      </w:r>
    </w:p>
    <w:p>
      <w:pPr>
        <w:pStyle w:val="Heading1"/>
      </w:pPr>
      <w:r>
        <w:t>9. Page Content</w:t>
      </w:r>
    </w:p>
    <w:p>
      <w:r>
        <w:t>Copy below is indicative and may be adapted for web presentation while preserving all clinical claims and data points verbatim.</w:t>
      </w:r>
    </w:p>
    <w:p>
      <w:r>
        <w:t>Each page must end with expandable sections for Prescribing Information, Adverse Event Reporting, and References (see sections 5, 6, and 7 above).</w:t>
      </w:r>
    </w:p>
    <w:p>
      <w:r>
        <w:t>CALMARA brand rule: CALMARA always appears in capitals, with ® on first mention per page. Generic name (calmazetine) in lowercase parentheses on first mention. No tagline.</w:t>
      </w:r>
    </w:p>
    <w:p>
      <w:r>
        <w:t>────────────────────────────────────────────────────────────</w:t>
      </w:r>
    </w:p>
    <w:p>
      <w:pPr>
        <w:pStyle w:val="Heading2"/>
      </w:pPr>
      <w:r>
        <w:t>PAGE 1: Home</w:t>
      </w:r>
    </w:p>
    <w:p>
      <w:r>
        <w:t>URL path: /calmara/</w:t>
      </w:r>
    </w:p>
    <w:p>
      <w:r>
        <w:t>────────────────────────────────────────────────────────────</w:t>
      </w:r>
    </w:p>
    <w:p>
      <w:pPr>
        <w:pStyle w:val="Heading3"/>
      </w:pPr>
      <w:r>
        <w:t>Section 1 — Hero (indication statement above the fold)</w:t>
      </w:r>
    </w:p>
    <w:p>
      <w:r>
        <w:t>Block: hero-teaser</w:t>
      </w:r>
    </w:p>
    <w:p/>
    <w:p>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806995"/>
                    </a:xfrm>
                    <a:prstGeom prst="rect"/>
                  </pic:spPr>
                </pic:pic>
              </a:graphicData>
            </a:graphic>
          </wp:inline>
        </w:drawing>
      </w:r>
    </w:p>
    <w:p>
      <w:r>
        <w:rPr>
          <w:color w:val="0056B3"/>
          <w:sz w:val="16"/>
        </w:rPr>
        <w:t>https://lumivex-images.pages.dev/hero-home.jpeg</w:t>
      </w:r>
    </w:p>
    <w:p>
      <w:r>
        <w:rPr>
          <w:color w:val="666666"/>
          <w:sz w:val="16"/>
        </w:rPr>
        <w:t>Usage: Home — hero</w:t>
      </w:r>
    </w:p>
    <w:p>
      <w:r>
        <w:t>Heading: CALMARA® (calmazetine) — a non-monoaminergic option for treatment-inadequate GAD</w:t>
      </w:r>
    </w:p>
    <w:p>
      <w:r>
        <w:t>Body text: CALMARA is indicated for the treatment of generalised anxiety disorder in adults who have had an inadequate response to at least one adequate course of an SSRI or SNRI. Selective V1b receptor antagonist — a mechanism distinct from monoaminergic, GABAergic, and serotonergic pathways.¹</w:t>
      </w:r>
    </w:p>
    <w:p>
      <w:r>
        <w:t>Call to action: View clinical data → /calmara/efficacy</w:t>
      </w:r>
    </w:p>
    <w:p>
      <w:r>
        <w:t>Call to action: Prescribing Information → /calmara/resources</w:t>
      </w:r>
    </w:p>
    <w:p>
      <w:r>
        <w:t>────────────────────────────────────────────────────────────</w:t>
      </w:r>
    </w:p>
    <w:p>
      <w:pPr>
        <w:pStyle w:val="Heading3"/>
      </w:pPr>
      <w:r>
        <w:t>Section 2 — Primary efficacy headline (centred text) | light background</w:t>
      </w:r>
    </w:p>
    <w:p>
      <w:r>
        <w:t>Block: introduction</w:t>
      </w:r>
    </w:p>
    <w:p>
      <w:r>
        <w:t>Section metadata: Style: light</w:t>
      </w:r>
    </w:p>
    <w:p>
      <w:r>
        <w:t>Heading: 62.4% achieved ≥50% reduction in HAM-A total score at Week 24</w:t>
      </w:r>
    </w:p>
    <w:p>
      <w:r>
        <w:t>Body text: Versus 24.7% with placebo (p &lt; 0.0001) in the SERENITY Phase III programme. Statistically significant separation observed from Week 2.³⁴</w:t>
      </w:r>
    </w:p>
    <w:p>
      <w:r>
        <w:t>────────────────────────────────────────────────────────────</w:t>
      </w:r>
    </w:p>
    <w:p>
      <w:pPr>
        <w:pStyle w:val="Heading3"/>
      </w:pPr>
      <w:r>
        <w:t>Section 3 — MoA teaser (two-column) | highlight background</w:t>
      </w:r>
    </w:p>
    <w:p>
      <w:r>
        <w:t>Block: columns-teaser</w:t>
      </w:r>
    </w:p>
    <w:p>
      <w:r>
        <w:t>Section metadata: Style: highlight</w:t>
      </w:r>
    </w:p>
    <w:p/>
    <w:p>
      <w:r>
        <w:drawing>
          <wp:inline xmlns:a="http://schemas.openxmlformats.org/drawingml/2006/main" xmlns:pic="http://schemas.openxmlformats.org/drawingml/2006/picture">
            <wp:extent cx="5029200" cy="37551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755136"/>
                    </a:xfrm>
                    <a:prstGeom prst="rect"/>
                  </pic:spPr>
                </pic:pic>
              </a:graphicData>
            </a:graphic>
          </wp:inline>
        </w:drawing>
      </w:r>
    </w:p>
    <w:p>
      <w:r>
        <w:rPr>
          <w:color w:val="0056B3"/>
          <w:sz w:val="16"/>
        </w:rPr>
        <w:t>https://eluvion-images.pages.dev/pathway-cascade.jpeg</w:t>
      </w:r>
    </w:p>
    <w:p>
      <w:r>
        <w:rPr>
          <w:color w:val="666666"/>
          <w:sz w:val="16"/>
        </w:rPr>
        <w:t>Usage: Home — MoA teaser</w:t>
      </w:r>
    </w:p>
    <w:p>
      <w:r>
        <w:t>Heading: Targeting the stress axis, not monoaminergic transmission</w:t>
      </w:r>
    </w:p>
    <w:p>
      <w:r>
        <w:t>Body text: Calmazetine selectively antagonises the V1b receptor at the pituitary, reducing HPA axis hyperactivation in response to stress. It does not act on monoaminergic, GABAergic, or serotonergic pathways. CALMARA is not a sedative and is not associated with dependence, withdrawal, or rebound anxiety.¹</w:t>
      </w:r>
    </w:p>
    <w:p>
      <w:r>
        <w:t>Call to action: Explore mechanism of action → /calmara/efficacy</w:t>
      </w:r>
    </w:p>
    <w:p>
      <w:r>
        <w:t>────────────────────────────────────────────────────────────</w:t>
      </w:r>
    </w:p>
    <w:p>
      <w:pPr>
        <w:pStyle w:val="Heading3"/>
      </w:pPr>
      <w:r>
        <w:t>Section 4 — Key outcome cards (three columns)</w:t>
      </w:r>
    </w:p>
    <w:p>
      <w:r>
        <w:t>Block: cards-teaser</w:t>
      </w:r>
    </w:p>
    <w:p/>
    <w:p>
      <w:r>
        <w:drawing>
          <wp:inline xmlns:a="http://schemas.openxmlformats.org/drawingml/2006/main" xmlns:pic="http://schemas.openxmlformats.org/drawingml/2006/picture">
            <wp:extent cx="5029200" cy="37551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755136"/>
                    </a:xfrm>
                    <a:prstGeom prst="rect"/>
                  </pic:spPr>
                </pic:pic>
              </a:graphicData>
            </a:graphic>
          </wp:inline>
        </w:drawing>
      </w:r>
    </w:p>
    <w:p>
      <w:r>
        <w:rPr>
          <w:color w:val="0056B3"/>
          <w:sz w:val="16"/>
        </w:rPr>
        <w:t>https://revantha-images.pages.dev/card-efficacy.jpeg</w:t>
      </w:r>
    </w:p>
    <w:p>
      <w:r>
        <w:rPr>
          <w:color w:val="666666"/>
          <w:sz w:val="16"/>
        </w:rPr>
        <w:t>Usage: Home — remission card</w:t>
      </w:r>
    </w:p>
    <w:p>
      <w:r>
        <w:t>Card heading: 41.8% achieved remission</w:t>
      </w:r>
    </w:p>
    <w:p>
      <w:r>
        <w:t>Card body: HAM-A remission (score ≤7) at Week 24 versus 13.2% with placebo (p &lt; 0.0001). Response observed from as early as Week 2.³⁴</w:t>
      </w:r>
    </w:p>
    <w:p>
      <w:r>
        <w:t>Card link: View SERENITY data → /calmara/efficacy</w:t>
      </w:r>
    </w:p>
    <w:p>
      <w:r>
        <w:t>────────────────────────────────────────────────────────────</w:t>
      </w:r>
    </w:p>
    <w:p>
      <w:r>
        <w:drawing>
          <wp:inline xmlns:a="http://schemas.openxmlformats.org/drawingml/2006/main" xmlns:pic="http://schemas.openxmlformats.org/drawingml/2006/picture">
            <wp:extent cx="5029200" cy="37551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755136"/>
                    </a:xfrm>
                    <a:prstGeom prst="rect"/>
                  </pic:spPr>
                </pic:pic>
              </a:graphicData>
            </a:graphic>
          </wp:inline>
        </w:drawing>
      </w:r>
    </w:p>
    <w:p>
      <w:r>
        <w:rPr>
          <w:color w:val="0056B3"/>
          <w:sz w:val="16"/>
        </w:rPr>
        <w:t>https://eluvion-images.pages.dev/card-safety.jpeg</w:t>
      </w:r>
    </w:p>
    <w:p>
      <w:r>
        <w:rPr>
          <w:color w:val="666666"/>
          <w:sz w:val="16"/>
        </w:rPr>
        <w:t>Usage: Home — safety card</w:t>
      </w:r>
    </w:p>
    <w:p>
      <w:r>
        <w:t>Card heading: No dependence or withdrawal signal</w:t>
      </w:r>
    </w:p>
    <w:p>
      <w:r>
        <w:t>Card body: Safety profile consistent with V1b selectivity. No signal for dependence, withdrawal, or rebound anxiety. Not a controlled substance.³⁴⁵</w:t>
      </w:r>
    </w:p>
    <w:p>
      <w:r>
        <w:t>Card link: View safety profile → /calmara/safety</w:t>
      </w:r>
    </w:p>
    <w:p>
      <w:r>
        <w:t>────────────────────────────────────────────────────────────</w:t>
      </w:r>
    </w:p>
    <w:p>
      <w:r>
        <w:drawing>
          <wp:inline xmlns:a="http://schemas.openxmlformats.org/drawingml/2006/main" xmlns:pic="http://schemas.openxmlformats.org/drawingml/2006/picture">
            <wp:extent cx="5029200" cy="37551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3755136"/>
                    </a:xfrm>
                    <a:prstGeom prst="rect"/>
                  </pic:spPr>
                </pic:pic>
              </a:graphicData>
            </a:graphic>
          </wp:inline>
        </w:drawing>
      </w:r>
    </w:p>
    <w:p>
      <w:r>
        <w:rPr>
          <w:color w:val="0056B3"/>
          <w:sz w:val="16"/>
        </w:rPr>
        <w:t>https://zenturis-images.pages.dev/card-dosing.jpeg</w:t>
      </w:r>
    </w:p>
    <w:p>
      <w:r>
        <w:rPr>
          <w:color w:val="666666"/>
          <w:sz w:val="16"/>
        </w:rPr>
        <w:t>Usage: Home — dosing card</w:t>
      </w:r>
    </w:p>
    <w:p>
      <w:r>
        <w:t>Card heading: 120 mg once daily from Day 1</w:t>
      </w:r>
    </w:p>
    <w:p>
      <w:r>
        <w:t>Card body: No titration. No loading dose. Can be taken with or without food. Approved for continuous use with no defined treatment duration limit.¹</w:t>
      </w:r>
    </w:p>
    <w:p>
      <w:r>
        <w:t>Card link: See dosing information → /calmara/dosing</w:t>
      </w:r>
    </w:p>
    <w:p>
      <w:r>
        <w:t>────────────────────────────────────────────────────────────</w:t>
      </w:r>
    </w:p>
    <w:p>
      <w:pPr>
        <w:pStyle w:val="Heading3"/>
      </w:pPr>
      <w:r>
        <w:t>Section 5 — Prescribing information footer</w:t>
      </w:r>
    </w:p>
    <w:p>
      <w:r>
        <w:t>Block: accordion  |  Expandable: PI | AE Reporting | References</w:t>
      </w:r>
    </w:p>
    <w:p/>
    <w:p>
      <w:r>
        <w:t>Page metadata</w:t>
      </w:r>
    </w:p>
    <w:p>
      <w:r>
        <w:t>Title: CALMARA (calmazetine) | GAD Treatment | AstraZeneca UK</w:t>
      </w:r>
    </w:p>
    <w:p>
      <w:r>
        <w:t>Description: CALMARA (calmazetine) is a selective V1b receptor antagonist for generalised anxiety disorder in adults with inadequate SSRI/SNRI response. View efficacy, safety, and prescribing information.</w:t>
      </w:r>
    </w:p>
    <w:p>
      <w:r>
        <w:br w:type="page"/>
      </w:r>
    </w:p>
    <w:p>
      <w:pPr>
        <w:pStyle w:val="Heading2"/>
      </w:pPr>
      <w:r>
        <w:t>PAGE 2: Efficacy</w:t>
      </w:r>
    </w:p>
    <w:p>
      <w:r>
        <w:t>URL path: /calmara/efficacy</w:t>
      </w:r>
    </w:p>
    <w:p>
      <w:r>
        <w:t>────────────────────────────────────────────────────────────</w:t>
      </w:r>
    </w:p>
    <w:p>
      <w:pPr>
        <w:pStyle w:val="Heading3"/>
      </w:pPr>
      <w:r>
        <w:t>Section 1 — Page header (text only)</w:t>
      </w:r>
    </w:p>
    <w:p>
      <w:r>
        <w:t>Block: title</w:t>
      </w:r>
    </w:p>
    <w:p>
      <w:r>
        <w:t>Heading: SERENITY Phase III programme — clinical efficacy data</w:t>
      </w:r>
    </w:p>
    <w:p>
      <w:r>
        <w:t>Body text: Two randomised, double-blind, placebo-controlled 24-week trials in 614 adults with GAD and documented inadequate response to ≥1 SSRI or SNRI (HAM-A ≥18)³⁴</w:t>
      </w:r>
    </w:p>
    <w:p>
      <w:r>
        <w:t>────────────────────────────────────────────────────────────</w:t>
      </w:r>
    </w:p>
    <w:p>
      <w:pPr>
        <w:pStyle w:val="Heading3"/>
      </w:pPr>
      <w:r>
        <w:t>Section 2 — Headline statistics carousel (4 slides) | light background</w:t>
      </w:r>
    </w:p>
    <w:p>
      <w:r>
        <w:t>Block: carousel-teaser</w:t>
      </w:r>
    </w:p>
    <w:p>
      <w:r>
        <w:t>Section metadata: Style: light</w:t>
      </w:r>
    </w:p>
    <w:p/>
    <w:p>
      <w:r>
        <w:drawing>
          <wp:inline xmlns:a="http://schemas.openxmlformats.org/drawingml/2006/main" xmlns:pic="http://schemas.openxmlformats.org/drawingml/2006/picture">
            <wp:extent cx="5029200" cy="37551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3755136"/>
                    </a:xfrm>
                    <a:prstGeom prst="rect"/>
                  </pic:spPr>
                </pic:pic>
              </a:graphicData>
            </a:graphic>
          </wp:inline>
        </w:drawing>
      </w:r>
    </w:p>
    <w:p>
      <w:r>
        <w:rPr>
          <w:color w:val="0056B3"/>
          <w:sz w:val="16"/>
        </w:rPr>
        <w:t>https://lumivex-images.pages.dev/tab-luminance1.jpeg</w:t>
      </w:r>
    </w:p>
    <w:p>
      <w:r>
        <w:rPr>
          <w:color w:val="666666"/>
          <w:sz w:val="16"/>
        </w:rPr>
        <w:t>Usage: Efficacy — slide 1</w:t>
      </w:r>
    </w:p>
    <w:p>
      <w:r>
        <w:t>Slide heading: 62.4% HAM-A response at Week 24</w:t>
      </w:r>
    </w:p>
    <w:p>
      <w:r>
        <w:t>Slide body: ≥50% reduction in HAM-A total score versus 24.7% placebo (p &lt; 0.0001).³⁴</w:t>
      </w:r>
    </w:p>
    <w:p>
      <w:r>
        <w:t>────────────────────────────────────────────────────────────</w:t>
      </w:r>
    </w:p>
    <w:p>
      <w:r>
        <w:drawing>
          <wp:inline xmlns:a="http://schemas.openxmlformats.org/drawingml/2006/main" xmlns:pic="http://schemas.openxmlformats.org/drawingml/2006/picture">
            <wp:extent cx="5029200" cy="37551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755136"/>
                    </a:xfrm>
                    <a:prstGeom prst="rect"/>
                  </pic:spPr>
                </pic:pic>
              </a:graphicData>
            </a:graphic>
          </wp:inline>
        </w:drawing>
      </w:r>
    </w:p>
    <w:p>
      <w:r>
        <w:rPr>
          <w:color w:val="0056B3"/>
          <w:sz w:val="16"/>
        </w:rPr>
        <w:t>https://zenturis-images.pages.dev/tab-zenith1.jpeg</w:t>
      </w:r>
    </w:p>
    <w:p>
      <w:r>
        <w:rPr>
          <w:color w:val="666666"/>
          <w:sz w:val="16"/>
        </w:rPr>
        <w:t>Usage: Efficacy — slide 2</w:t>
      </w:r>
    </w:p>
    <w:p>
      <w:r>
        <w:t>Slide heading: 41.8% achieved remission</w:t>
      </w:r>
    </w:p>
    <w:p>
      <w:r>
        <w:t>Slide body: HAM-A remission (score ≤7) versus 13.2% placebo (p &lt; 0.0001).³⁴</w:t>
      </w:r>
    </w:p>
    <w:p>
      <w:r>
        <w:t>────────────────────────────────────────────────────────────</w:t>
      </w:r>
    </w:p>
    <w:p>
      <w:r>
        <w:drawing>
          <wp:inline xmlns:a="http://schemas.openxmlformats.org/drawingml/2006/main" xmlns:pic="http://schemas.openxmlformats.org/drawingml/2006/picture">
            <wp:extent cx="5029200" cy="37551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3755136"/>
                    </a:xfrm>
                    <a:prstGeom prst="rect"/>
                  </pic:spPr>
                </pic:pic>
              </a:graphicData>
            </a:graphic>
          </wp:inline>
        </w:drawing>
      </w:r>
    </w:p>
    <w:p>
      <w:r>
        <w:rPr>
          <w:color w:val="0056B3"/>
          <w:sz w:val="16"/>
        </w:rPr>
        <w:t>https://treluxia-images.pages.dev/tab-luminos1.jpeg</w:t>
      </w:r>
    </w:p>
    <w:p>
      <w:r>
        <w:rPr>
          <w:color w:val="666666"/>
          <w:sz w:val="16"/>
        </w:rPr>
        <w:t>Usage: Efficacy — slide 3</w:t>
      </w:r>
    </w:p>
    <w:p>
      <w:r>
        <w:t>Slide heading: 66.7% much or very much improved</w:t>
      </w:r>
    </w:p>
    <w:p>
      <w:r>
        <w:t>Slide body: CGI-I score 1 or 2 versus 28.4% placebo (p &lt; 0.0001).³⁴</w:t>
      </w:r>
    </w:p>
    <w:p>
      <w:r>
        <w:t>────────────────────────────────────────────────────────────</w:t>
      </w:r>
    </w:p>
    <w:p>
      <w:r>
        <w:drawing>
          <wp:inline xmlns:a="http://schemas.openxmlformats.org/drawingml/2006/main" xmlns:pic="http://schemas.openxmlformats.org/drawingml/2006/picture">
            <wp:extent cx="5029200" cy="37551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3755136"/>
                    </a:xfrm>
                    <a:prstGeom prst="rect"/>
                  </pic:spPr>
                </pic:pic>
              </a:graphicData>
            </a:graphic>
          </wp:inline>
        </w:drawing>
      </w:r>
    </w:p>
    <w:p>
      <w:r>
        <w:rPr>
          <w:color w:val="0056B3"/>
          <w:sz w:val="16"/>
        </w:rPr>
        <w:t>https://lumivex-images.pages.dev/tab-luminance2.jpeg</w:t>
      </w:r>
    </w:p>
    <w:p>
      <w:r>
        <w:rPr>
          <w:color w:val="666666"/>
          <w:sz w:val="16"/>
        </w:rPr>
        <w:t>Usage: Efficacy — slide 4</w:t>
      </w:r>
    </w:p>
    <w:p>
      <w:r>
        <w:t>Slide heading: Separation from placebo by Week 2</w:t>
      </w:r>
    </w:p>
    <w:p>
      <w:r>
        <w:t>Slide body: HAM-A ≥4-point reduction at Week 4: 38.1% vs 14.9%.³⁴</w:t>
      </w:r>
    </w:p>
    <w:p>
      <w:r>
        <w:t>────────────────────────────────────────────────────────────</w:t>
      </w:r>
    </w:p>
    <w:p>
      <w:pPr>
        <w:pStyle w:val="Heading3"/>
      </w:pPr>
      <w:r>
        <w:t>Section 3 — Full results table | highlight background</w:t>
      </w:r>
    </w:p>
    <w:p>
      <w:r>
        <w:t>Block: table-data</w:t>
      </w:r>
    </w:p>
    <w:p>
      <w:r>
        <w:t>Section metadata: Style: highlight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Endpoint (Week 24)</w:t>
            </w:r>
          </w:p>
        </w:tc>
        <w:tc>
          <w:tcPr>
            <w:tcW w:type="dxa" w:w="2160"/>
          </w:tcPr>
          <w:p>
            <w:r>
              <w:rPr>
                <w:b/>
                <w:sz w:val="18"/>
              </w:rPr>
              <w:t>CALMARA</w:t>
            </w:r>
          </w:p>
        </w:tc>
        <w:tc>
          <w:tcPr>
            <w:tcW w:type="dxa" w:w="2160"/>
          </w:tcPr>
          <w:p>
            <w:r>
              <w:rPr>
                <w:b/>
                <w:sz w:val="18"/>
              </w:rPr>
              <w:t>Placebo</w:t>
            </w:r>
          </w:p>
        </w:tc>
        <w:tc>
          <w:tcPr>
            <w:tcW w:type="dxa" w:w="2160"/>
          </w:tcPr>
          <w:p>
            <w:r>
              <w:rPr>
                <w:b/>
                <w:sz w:val="18"/>
              </w:rPr>
              <w:t>P-value</w:t>
            </w:r>
          </w:p>
        </w:tc>
      </w:tr>
      <w:tr>
        <w:tc>
          <w:tcPr>
            <w:tcW w:type="dxa" w:w="2160"/>
          </w:tcPr>
          <w:p>
            <w:r>
              <w:rPr>
                <w:sz w:val="18"/>
              </w:rPr>
              <w:t>HAM-A ≥50% reduction (primary)</w:t>
            </w:r>
          </w:p>
        </w:tc>
        <w:tc>
          <w:tcPr>
            <w:tcW w:type="dxa" w:w="2160"/>
          </w:tcPr>
          <w:p>
            <w:r>
              <w:rPr>
                <w:sz w:val="18"/>
              </w:rPr>
              <w:t>62.4%</w:t>
            </w:r>
          </w:p>
        </w:tc>
        <w:tc>
          <w:tcPr>
            <w:tcW w:type="dxa" w:w="2160"/>
          </w:tcPr>
          <w:p>
            <w:r>
              <w:rPr>
                <w:sz w:val="18"/>
              </w:rPr>
              <w:t>24.7%</w:t>
            </w:r>
          </w:p>
        </w:tc>
        <w:tc>
          <w:tcPr>
            <w:tcW w:type="dxa" w:w="2160"/>
          </w:tcPr>
          <w:p>
            <w:r>
              <w:rPr>
                <w:sz w:val="18"/>
              </w:rPr>
              <w:t>p &lt; 0.0001</w:t>
            </w:r>
          </w:p>
        </w:tc>
      </w:tr>
      <w:tr>
        <w:tc>
          <w:tcPr>
            <w:tcW w:type="dxa" w:w="2160"/>
          </w:tcPr>
          <w:p>
            <w:r>
              <w:rPr>
                <w:sz w:val="18"/>
              </w:rPr>
              <w:t>HAM-A remission (score ≤7)</w:t>
            </w:r>
          </w:p>
        </w:tc>
        <w:tc>
          <w:tcPr>
            <w:tcW w:type="dxa" w:w="2160"/>
          </w:tcPr>
          <w:p>
            <w:r>
              <w:rPr>
                <w:sz w:val="18"/>
              </w:rPr>
              <w:t>41.8%</w:t>
            </w:r>
          </w:p>
        </w:tc>
        <w:tc>
          <w:tcPr>
            <w:tcW w:type="dxa" w:w="2160"/>
          </w:tcPr>
          <w:p>
            <w:r>
              <w:rPr>
                <w:sz w:val="18"/>
              </w:rPr>
              <w:t>13.2%</w:t>
            </w:r>
          </w:p>
        </w:tc>
        <w:tc>
          <w:tcPr>
            <w:tcW w:type="dxa" w:w="2160"/>
          </w:tcPr>
          <w:p>
            <w:r>
              <w:rPr>
                <w:sz w:val="18"/>
              </w:rPr>
              <w:t>p &lt; 0.0001</w:t>
            </w:r>
          </w:p>
        </w:tc>
      </w:tr>
      <w:tr>
        <w:tc>
          <w:tcPr>
            <w:tcW w:type="dxa" w:w="2160"/>
          </w:tcPr>
          <w:p>
            <w:r>
              <w:rPr>
                <w:sz w:val="18"/>
              </w:rPr>
              <w:t>GAD-7 ≤4 (minimal anxiety)</w:t>
            </w:r>
          </w:p>
        </w:tc>
        <w:tc>
          <w:tcPr>
            <w:tcW w:type="dxa" w:w="2160"/>
          </w:tcPr>
          <w:p>
            <w:r>
              <w:rPr>
                <w:sz w:val="18"/>
              </w:rPr>
              <w:t>54.3%</w:t>
            </w:r>
          </w:p>
        </w:tc>
        <w:tc>
          <w:tcPr>
            <w:tcW w:type="dxa" w:w="2160"/>
          </w:tcPr>
          <w:p>
            <w:r>
              <w:rPr>
                <w:sz w:val="18"/>
              </w:rPr>
              <w:t>19.1%</w:t>
            </w:r>
          </w:p>
        </w:tc>
        <w:tc>
          <w:tcPr>
            <w:tcW w:type="dxa" w:w="2160"/>
          </w:tcPr>
          <w:p>
            <w:r>
              <w:rPr>
                <w:sz w:val="18"/>
              </w:rPr>
              <w:t>p &lt; 0.0001</w:t>
            </w:r>
          </w:p>
        </w:tc>
      </w:tr>
      <w:tr>
        <w:tc>
          <w:tcPr>
            <w:tcW w:type="dxa" w:w="2160"/>
          </w:tcPr>
          <w:p>
            <w:r>
              <w:rPr>
                <w:sz w:val="18"/>
              </w:rPr>
              <w:t>CGI-I 1 or 2 (much/very much improved)</w:t>
            </w:r>
          </w:p>
        </w:tc>
        <w:tc>
          <w:tcPr>
            <w:tcW w:type="dxa" w:w="2160"/>
          </w:tcPr>
          <w:p>
            <w:r>
              <w:rPr>
                <w:sz w:val="18"/>
              </w:rPr>
              <w:t>66.7%</w:t>
            </w:r>
          </w:p>
        </w:tc>
        <w:tc>
          <w:tcPr>
            <w:tcW w:type="dxa" w:w="2160"/>
          </w:tcPr>
          <w:p>
            <w:r>
              <w:rPr>
                <w:sz w:val="18"/>
              </w:rPr>
              <w:t>28.4%</w:t>
            </w:r>
          </w:p>
        </w:tc>
        <w:tc>
          <w:tcPr>
            <w:tcW w:type="dxa" w:w="2160"/>
          </w:tcPr>
          <w:p>
            <w:r>
              <w:rPr>
                <w:sz w:val="18"/>
              </w:rPr>
              <w:t>p &lt; 0.0001</w:t>
            </w:r>
          </w:p>
        </w:tc>
      </w:tr>
      <w:tr>
        <w:tc>
          <w:tcPr>
            <w:tcW w:type="dxa" w:w="2160"/>
          </w:tcPr>
          <w:p>
            <w:r>
              <w:rPr>
                <w:sz w:val="18"/>
              </w:rPr>
              <w:t>PROMIS Anxiety T-score ≥10 pts</w:t>
            </w:r>
          </w:p>
        </w:tc>
        <w:tc>
          <w:tcPr>
            <w:tcW w:type="dxa" w:w="2160"/>
          </w:tcPr>
          <w:p>
            <w:r>
              <w:rPr>
                <w:sz w:val="18"/>
              </w:rPr>
              <w:t>48.9%</w:t>
            </w:r>
          </w:p>
        </w:tc>
        <w:tc>
          <w:tcPr>
            <w:tcW w:type="dxa" w:w="2160"/>
          </w:tcPr>
          <w:p>
            <w:r>
              <w:rPr>
                <w:sz w:val="18"/>
              </w:rPr>
              <w:t>14.6%</w:t>
            </w:r>
          </w:p>
        </w:tc>
        <w:tc>
          <w:tcPr>
            <w:tcW w:type="dxa" w:w="2160"/>
          </w:tcPr>
          <w:p>
            <w:r>
              <w:rPr>
                <w:sz w:val="18"/>
              </w:rPr>
              <w:t>p &lt; 0.0001</w:t>
            </w:r>
          </w:p>
        </w:tc>
      </w:tr>
      <w:tr>
        <w:tc>
          <w:tcPr>
            <w:tcW w:type="dxa" w:w="2160"/>
          </w:tcPr>
          <w:p>
            <w:r>
              <w:rPr>
                <w:sz w:val="18"/>
              </w:rPr>
              <w:t>SDS total score ≥40%</w:t>
            </w:r>
          </w:p>
        </w:tc>
        <w:tc>
          <w:tcPr>
            <w:tcW w:type="dxa" w:w="2160"/>
          </w:tcPr>
          <w:p>
            <w:r>
              <w:rPr>
                <w:sz w:val="18"/>
              </w:rPr>
              <w:t>55.1%</w:t>
            </w:r>
          </w:p>
        </w:tc>
        <w:tc>
          <w:tcPr>
            <w:tcW w:type="dxa" w:w="2160"/>
          </w:tcPr>
          <w:p>
            <w:r>
              <w:rPr>
                <w:sz w:val="18"/>
              </w:rPr>
              <w:t>20.3%</w:t>
            </w:r>
          </w:p>
        </w:tc>
        <w:tc>
          <w:tcPr>
            <w:tcW w:type="dxa" w:w="2160"/>
          </w:tcPr>
          <w:p>
            <w:r>
              <w:rPr>
                <w:sz w:val="18"/>
              </w:rPr>
              <w:t>p &lt; 0.0001</w:t>
            </w:r>
          </w:p>
        </w:tc>
      </w:tr>
    </w:tbl>
    <w:p/>
    <w:p>
      <w:r>
        <w:t>────────────────────────────────────────────────────────────</w:t>
      </w:r>
    </w:p>
    <w:p>
      <w:pPr>
        <w:pStyle w:val="Heading3"/>
      </w:pPr>
      <w:r>
        <w:t>Section 4 — Onset of effect (two-column) | light background</w:t>
      </w:r>
    </w:p>
    <w:p>
      <w:r>
        <w:t>Block: columns-teaser</w:t>
      </w:r>
    </w:p>
    <w:p>
      <w:r>
        <w:t>Section metadata: Style: light</w:t>
      </w:r>
    </w:p>
    <w:p/>
    <w:p>
      <w:r>
        <w:drawing>
          <wp:inline xmlns:a="http://schemas.openxmlformats.org/drawingml/2006/main" xmlns:pic="http://schemas.openxmlformats.org/drawingml/2006/picture">
            <wp:extent cx="5029200" cy="37551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755136"/>
                    </a:xfrm>
                    <a:prstGeom prst="rect"/>
                  </pic:spPr>
                </pic:pic>
              </a:graphicData>
            </a:graphic>
          </wp:inline>
        </w:drawing>
      </w:r>
    </w:p>
    <w:p>
      <w:r>
        <w:rPr>
          <w:color w:val="0056B3"/>
          <w:sz w:val="16"/>
        </w:rPr>
        <w:t>https://eluvion-images.pages.dev/trial1-results.jpeg</w:t>
      </w:r>
    </w:p>
    <w:p>
      <w:r>
        <w:rPr>
          <w:color w:val="666666"/>
          <w:sz w:val="16"/>
        </w:rPr>
        <w:t>Usage: Efficacy — onset</w:t>
      </w:r>
    </w:p>
    <w:p>
      <w:r>
        <w:t>Heading: Onset of effect — separation from Week 2</w:t>
      </w:r>
    </w:p>
    <w:p>
      <w:r>
        <w:t>Body text: Statistically significant separation from placebo from Week 2 (SERENITY-1) and Week 3 (SERENITY-2). HAM-A ≥4-point reduction at Week 4: 38.1% vs 14.9%. Onset notably faster than registrational SSRI data, though cross-trial comparisons require methodological caveats.³⁴</w:t>
      </w:r>
    </w:p>
    <w:p>
      <w:r>
        <w:t>────────────────────────────────────────────────────────────</w:t>
      </w:r>
    </w:p>
    <w:p>
      <w:pPr>
        <w:pStyle w:val="Heading3"/>
      </w:pPr>
      <w:r>
        <w:t>Section 5 — Long-term data (two-column) | highlight background</w:t>
      </w:r>
    </w:p>
    <w:p>
      <w:r>
        <w:t>Block: columns-teaser</w:t>
      </w:r>
    </w:p>
    <w:p>
      <w:r>
        <w:t>Section metadata: Style: highlight</w:t>
      </w:r>
    </w:p>
    <w:p/>
    <w:p>
      <w:r>
        <w:drawing>
          <wp:inline xmlns:a="http://schemas.openxmlformats.org/drawingml/2006/main" xmlns:pic="http://schemas.openxmlformats.org/drawingml/2006/picture">
            <wp:extent cx="5029200" cy="37551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3755136"/>
                    </a:xfrm>
                    <a:prstGeom prst="rect"/>
                  </pic:spPr>
                </pic:pic>
              </a:graphicData>
            </a:graphic>
          </wp:inline>
        </w:drawing>
      </w:r>
    </w:p>
    <w:p>
      <w:r>
        <w:rPr>
          <w:color w:val="0056B3"/>
          <w:sz w:val="16"/>
        </w:rPr>
        <w:t>https://lumivex-images.pages.dev/columns-longterm.jpeg</w:t>
      </w:r>
    </w:p>
    <w:p>
      <w:r>
        <w:rPr>
          <w:color w:val="666666"/>
          <w:sz w:val="16"/>
        </w:rPr>
        <w:t>Usage: Efficacy — OLE data</w:t>
      </w:r>
    </w:p>
    <w:p>
      <w:r>
        <w:t>Heading: Long-term efficacy maintained over 76 weeks</w:t>
      </w:r>
    </w:p>
    <w:p>
      <w:r>
        <w:t>Body text: OLE of SERENITY-1 followed 241 patients for 52 additional weeks. HAM-A response maintained in 78.4%. No new safety signals. No clinically significant cortisol axis suppression.⁵</w:t>
      </w:r>
    </w:p>
    <w:p>
      <w:r>
        <w:t>Call to action: View safety profile → /calmara/safety</w:t>
      </w:r>
    </w:p>
    <w:p>
      <w:r>
        <w:t>────────────────────────────────────────────────────────────</w:t>
      </w:r>
    </w:p>
    <w:p>
      <w:pPr>
        <w:pStyle w:val="Heading3"/>
      </w:pPr>
      <w:r>
        <w:t>Section 6 — Prescribing information footer</w:t>
      </w:r>
    </w:p>
    <w:p>
      <w:r>
        <w:t>Block: accordion  |  Expandable: PI | AE Reporting | References</w:t>
      </w:r>
    </w:p>
    <w:p/>
    <w:p>
      <w:r>
        <w:t>Page metadata</w:t>
      </w:r>
    </w:p>
    <w:p>
      <w:r>
        <w:t>Title: Efficacy Data | CALMARA (calmazetine) | SERENITY Phase III | AstraZeneca UK</w:t>
      </w:r>
    </w:p>
    <w:p>
      <w:r>
        <w:t>Description: SERENITY Phase III data for CALMARA in treatment-inadequate GAD. 62.4% HAM-A response. Onset from Week 2. 76-week OLE data.</w:t>
      </w:r>
    </w:p>
    <w:p>
      <w:r>
        <w:br w:type="page"/>
      </w:r>
    </w:p>
    <w:p>
      <w:pPr>
        <w:pStyle w:val="Heading2"/>
      </w:pPr>
      <w:r>
        <w:t>PAGE 3: Safety</w:t>
      </w:r>
    </w:p>
    <w:p>
      <w:r>
        <w:t>URL path: /calmara/safety</w:t>
      </w:r>
    </w:p>
    <w:p>
      <w:r>
        <w:t>────────────────────────────────────────────────────────────</w:t>
      </w:r>
    </w:p>
    <w:p>
      <w:pPr>
        <w:pStyle w:val="Heading3"/>
      </w:pPr>
      <w:r>
        <w:t>Section 1 — Page header</w:t>
      </w:r>
    </w:p>
    <w:p>
      <w:r>
        <w:t>Block: title</w:t>
      </w:r>
    </w:p>
    <w:p>
      <w:r>
        <w:t>Heading: Safety profile of CALMARA® (calmazetine)</w:t>
      </w:r>
    </w:p>
    <w:p>
      <w:r>
        <w:t>Body text: Evaluated across the SERENITY programme and 76-week open-label extension³⁴⁵</w:t>
      </w:r>
    </w:p>
    <w:p>
      <w:r>
        <w:t>────────────────────────────────────────────────────────────</w:t>
      </w:r>
    </w:p>
    <w:p>
      <w:pPr>
        <w:pStyle w:val="Heading3"/>
      </w:pPr>
      <w:r>
        <w:t>Section 2 — Safety summary | light background</w:t>
      </w:r>
    </w:p>
    <w:p>
      <w:r>
        <w:t>Block: introduction</w:t>
      </w:r>
    </w:p>
    <w:p>
      <w:r>
        <w:t>Section metadata: Style: light</w:t>
      </w:r>
    </w:p>
    <w:p>
      <w:r>
        <w:t>Heading: Consistent with V1b-selective pharmacology</w:t>
      </w:r>
    </w:p>
    <w:p>
      <w:r>
        <w:t>Body text: No signal for dependence, withdrawal, or rebound anxiety. No clinically meaningful effects on blood pressure, serum sodium, or renal function.³⁴</w:t>
      </w:r>
    </w:p>
    <w:p>
      <w:r>
        <w:t>────────────────────────────────────────────────────────────</w:t>
      </w:r>
    </w:p>
    <w:p>
      <w:pPr>
        <w:pStyle w:val="Heading3"/>
      </w:pPr>
      <w:r>
        <w:t>Section 3 — AE table | highlight background</w:t>
      </w:r>
    </w:p>
    <w:p>
      <w:r>
        <w:t>Block: table-data</w:t>
      </w:r>
    </w:p>
    <w:p>
      <w:r>
        <w:t>Section metadata: Style: highlight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Adverse event</w:t>
            </w:r>
          </w:p>
        </w:tc>
        <w:tc>
          <w:tcPr>
            <w:tcW w:type="dxa" w:w="2880"/>
          </w:tcPr>
          <w:p>
            <w:r>
              <w:rPr>
                <w:b/>
                <w:sz w:val="18"/>
              </w:rPr>
              <w:t>CALMARA</w:t>
            </w:r>
          </w:p>
        </w:tc>
        <w:tc>
          <w:tcPr>
            <w:tcW w:type="dxa" w:w="2880"/>
          </w:tcPr>
          <w:p>
            <w:r>
              <w:rPr>
                <w:b/>
                <w:sz w:val="18"/>
              </w:rPr>
              <w:t>Placebo</w:t>
            </w:r>
          </w:p>
        </w:tc>
      </w:tr>
      <w:tr>
        <w:tc>
          <w:tcPr>
            <w:tcW w:type="dxa" w:w="2880"/>
          </w:tcPr>
          <w:p>
            <w:r>
              <w:rPr>
                <w:sz w:val="18"/>
              </w:rPr>
              <w:t>Somnolence (transient)</w:t>
            </w:r>
          </w:p>
        </w:tc>
        <w:tc>
          <w:tcPr>
            <w:tcW w:type="dxa" w:w="2880"/>
          </w:tcPr>
          <w:p>
            <w:r>
              <w:rPr>
                <w:sz w:val="18"/>
              </w:rPr>
              <w:t>8.4%</w:t>
            </w:r>
          </w:p>
        </w:tc>
        <w:tc>
          <w:tcPr>
            <w:tcW w:type="dxa" w:w="2880"/>
          </w:tcPr>
          <w:p>
            <w:r>
              <w:rPr>
                <w:sz w:val="18"/>
              </w:rPr>
              <w:t>3.1%</w:t>
            </w:r>
          </w:p>
        </w:tc>
      </w:tr>
      <w:tr>
        <w:tc>
          <w:tcPr>
            <w:tcW w:type="dxa" w:w="2880"/>
          </w:tcPr>
          <w:p>
            <w:r>
              <w:rPr>
                <w:sz w:val="18"/>
              </w:rPr>
              <w:t>Nausea</w:t>
            </w:r>
          </w:p>
        </w:tc>
        <w:tc>
          <w:tcPr>
            <w:tcW w:type="dxa" w:w="2880"/>
          </w:tcPr>
          <w:p>
            <w:r>
              <w:rPr>
                <w:sz w:val="18"/>
              </w:rPr>
              <w:t>7.2%</w:t>
            </w:r>
          </w:p>
        </w:tc>
        <w:tc>
          <w:tcPr>
            <w:tcW w:type="dxa" w:w="2880"/>
          </w:tcPr>
          <w:p>
            <w:r>
              <w:rPr>
                <w:sz w:val="18"/>
              </w:rPr>
              <w:t>3.6%</w:t>
            </w:r>
          </w:p>
        </w:tc>
      </w:tr>
      <w:tr>
        <w:tc>
          <w:tcPr>
            <w:tcW w:type="dxa" w:w="2880"/>
          </w:tcPr>
          <w:p>
            <w:r>
              <w:rPr>
                <w:sz w:val="18"/>
              </w:rPr>
              <w:t>Headache</w:t>
            </w:r>
          </w:p>
        </w:tc>
        <w:tc>
          <w:tcPr>
            <w:tcW w:type="dxa" w:w="2880"/>
          </w:tcPr>
          <w:p>
            <w:r>
              <w:rPr>
                <w:sz w:val="18"/>
              </w:rPr>
              <w:t>6.5%</w:t>
            </w:r>
          </w:p>
        </w:tc>
        <w:tc>
          <w:tcPr>
            <w:tcW w:type="dxa" w:w="2880"/>
          </w:tcPr>
          <w:p>
            <w:r>
              <w:rPr>
                <w:sz w:val="18"/>
              </w:rPr>
              <w:t>5.8%</w:t>
            </w:r>
          </w:p>
        </w:tc>
      </w:tr>
      <w:tr>
        <w:tc>
          <w:tcPr>
            <w:tcW w:type="dxa" w:w="2880"/>
          </w:tcPr>
          <w:p>
            <w:r>
              <w:rPr>
                <w:sz w:val="18"/>
              </w:rPr>
              <w:t>Dizziness</w:t>
            </w:r>
          </w:p>
        </w:tc>
        <w:tc>
          <w:tcPr>
            <w:tcW w:type="dxa" w:w="2880"/>
          </w:tcPr>
          <w:p>
            <w:r>
              <w:rPr>
                <w:sz w:val="18"/>
              </w:rPr>
              <w:t>4.9%</w:t>
            </w:r>
          </w:p>
        </w:tc>
        <w:tc>
          <w:tcPr>
            <w:tcW w:type="dxa" w:w="2880"/>
          </w:tcPr>
          <w:p>
            <w:r>
              <w:rPr>
                <w:sz w:val="18"/>
              </w:rPr>
              <w:t>2.0%</w:t>
            </w:r>
          </w:p>
        </w:tc>
      </w:tr>
      <w:tr>
        <w:tc>
          <w:tcPr>
            <w:tcW w:type="dxa" w:w="2880"/>
          </w:tcPr>
          <w:p>
            <w:r>
              <w:rPr>
                <w:sz w:val="18"/>
              </w:rPr>
              <w:t>Fatigue</w:t>
            </w:r>
          </w:p>
        </w:tc>
        <w:tc>
          <w:tcPr>
            <w:tcW w:type="dxa" w:w="2880"/>
          </w:tcPr>
          <w:p>
            <w:r>
              <w:rPr>
                <w:sz w:val="18"/>
              </w:rPr>
              <w:t>4.1%</w:t>
            </w:r>
          </w:p>
        </w:tc>
        <w:tc>
          <w:tcPr>
            <w:tcW w:type="dxa" w:w="2880"/>
          </w:tcPr>
          <w:p>
            <w:r>
              <w:rPr>
                <w:sz w:val="18"/>
              </w:rPr>
              <w:t>3.9%</w:t>
            </w:r>
          </w:p>
        </w:tc>
      </w:tr>
      <w:tr>
        <w:tc>
          <w:tcPr>
            <w:tcW w:type="dxa" w:w="2880"/>
          </w:tcPr>
          <w:p>
            <w:r>
              <w:rPr>
                <w:sz w:val="18"/>
              </w:rPr>
              <w:t>Dry mouth</w:t>
            </w:r>
          </w:p>
        </w:tc>
        <w:tc>
          <w:tcPr>
            <w:tcW w:type="dxa" w:w="2880"/>
          </w:tcPr>
          <w:p>
            <w:r>
              <w:rPr>
                <w:sz w:val="18"/>
              </w:rPr>
              <w:t>3.6%</w:t>
            </w:r>
          </w:p>
        </w:tc>
        <w:tc>
          <w:tcPr>
            <w:tcW w:type="dxa" w:w="2880"/>
          </w:tcPr>
          <w:p>
            <w:r>
              <w:rPr>
                <w:sz w:val="18"/>
              </w:rPr>
              <w:t>1.6%</w:t>
            </w:r>
          </w:p>
        </w:tc>
      </w:tr>
      <w:tr>
        <w:tc>
          <w:tcPr>
            <w:tcW w:type="dxa" w:w="2880"/>
          </w:tcPr>
          <w:p>
            <w:r>
              <w:rPr>
                <w:sz w:val="18"/>
              </w:rPr>
              <w:t>Discontinuation due to AE</w:t>
            </w:r>
          </w:p>
        </w:tc>
        <w:tc>
          <w:tcPr>
            <w:tcW w:type="dxa" w:w="2880"/>
          </w:tcPr>
          <w:p>
            <w:r>
              <w:rPr>
                <w:sz w:val="18"/>
              </w:rPr>
              <w:t>4.2%</w:t>
            </w:r>
          </w:p>
        </w:tc>
        <w:tc>
          <w:tcPr>
            <w:tcW w:type="dxa" w:w="2880"/>
          </w:tcPr>
          <w:p>
            <w:r>
              <w:rPr>
                <w:sz w:val="18"/>
              </w:rPr>
              <w:t>2.6%</w:t>
            </w:r>
          </w:p>
        </w:tc>
      </w:tr>
    </w:tbl>
    <w:p/>
    <w:p>
      <w:r>
        <w:t>────────────────────────────────────────────────────────────</w:t>
      </w:r>
    </w:p>
    <w:p>
      <w:pPr>
        <w:pStyle w:val="Heading3"/>
      </w:pPr>
      <w:r>
        <w:t>Section 4 — Notable findings cards | light background</w:t>
      </w:r>
    </w:p>
    <w:p>
      <w:r>
        <w:t>Block: cards-teaser</w:t>
      </w:r>
    </w:p>
    <w:p>
      <w:r>
        <w:t>Section metadata: Style: light</w:t>
      </w:r>
    </w:p>
    <w:p/>
    <w:p>
      <w:r>
        <w:drawing>
          <wp:inline xmlns:a="http://schemas.openxmlformats.org/drawingml/2006/main" xmlns:pic="http://schemas.openxmlformats.org/drawingml/2006/picture">
            <wp:extent cx="5029200" cy="37551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755136"/>
                    </a:xfrm>
                    <a:prstGeom prst="rect"/>
                  </pic:spPr>
                </pic:pic>
              </a:graphicData>
            </a:graphic>
          </wp:inline>
        </w:drawing>
      </w:r>
    </w:p>
    <w:p>
      <w:r>
        <w:rPr>
          <w:color w:val="0056B3"/>
          <w:sz w:val="16"/>
        </w:rPr>
        <w:t>https://lumivex-images.pages.dev/card-selectivity.jpeg</w:t>
      </w:r>
    </w:p>
    <w:p>
      <w:r>
        <w:rPr>
          <w:color w:val="666666"/>
          <w:sz w:val="16"/>
        </w:rPr>
        <w:t>Usage: Safety — somnolence</w:t>
      </w:r>
    </w:p>
    <w:p>
      <w:r>
        <w:t>Card heading: Somnolence — transient and self-resolving</w:t>
      </w:r>
    </w:p>
    <w:p>
      <w:r>
        <w:t>Card body: Predominantly within first 2 weeks. Discontinuation due to somnolence: 1.6%. CALMARA is not a sedative.³⁴</w:t>
      </w:r>
    </w:p>
    <w:p>
      <w:r>
        <w:t>────────────────────────────────────────────────────────────</w:t>
      </w:r>
    </w:p>
    <w:p>
      <w:r>
        <w:drawing>
          <wp:inline xmlns:a="http://schemas.openxmlformats.org/drawingml/2006/main" xmlns:pic="http://schemas.openxmlformats.org/drawingml/2006/picture">
            <wp:extent cx="5029200" cy="37551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3755136"/>
                    </a:xfrm>
                    <a:prstGeom prst="rect"/>
                  </pic:spPr>
                </pic:pic>
              </a:graphicData>
            </a:graphic>
          </wp:inline>
        </w:drawing>
      </w:r>
    </w:p>
    <w:p>
      <w:r>
        <w:rPr>
          <w:color w:val="0056B3"/>
          <w:sz w:val="16"/>
        </w:rPr>
        <w:t>https://novapril-images.pages.dev/card-safety.jpeg</w:t>
      </w:r>
    </w:p>
    <w:p>
      <w:r>
        <w:rPr>
          <w:color w:val="666666"/>
          <w:sz w:val="16"/>
        </w:rPr>
        <w:t>Usage: Safety — dependence</w:t>
      </w:r>
    </w:p>
    <w:p>
      <w:r>
        <w:t>Card heading: No dependence, withdrawal, or rebound</w:t>
      </w:r>
    </w:p>
    <w:p>
      <w:r>
        <w:t>Card body: No signal in 24-week controlled period or 76-week OLE. Not a controlled substance.³⁴⁵</w:t>
      </w:r>
    </w:p>
    <w:p>
      <w:r>
        <w:t>────────────────────────────────────────────────────────────</w:t>
      </w:r>
    </w:p>
    <w:p>
      <w:r>
        <w:drawing>
          <wp:inline xmlns:a="http://schemas.openxmlformats.org/drawingml/2006/main" xmlns:pic="http://schemas.openxmlformats.org/drawingml/2006/picture">
            <wp:extent cx="5029200" cy="37551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3755136"/>
                    </a:xfrm>
                    <a:prstGeom prst="rect"/>
                  </pic:spPr>
                </pic:pic>
              </a:graphicData>
            </a:graphic>
          </wp:inline>
        </w:drawing>
      </w:r>
    </w:p>
    <w:p>
      <w:r>
        <w:rPr>
          <w:color w:val="0056B3"/>
          <w:sz w:val="16"/>
        </w:rPr>
        <w:t>https://novapril-images.pages.dev/safety-monitoring.jpeg</w:t>
      </w:r>
    </w:p>
    <w:p>
      <w:r>
        <w:rPr>
          <w:color w:val="666666"/>
          <w:sz w:val="16"/>
        </w:rPr>
        <w:t>Usage: Safety — cortisol</w:t>
      </w:r>
    </w:p>
    <w:p>
      <w:r>
        <w:t>Card heading: Cortisol axis — no significant suppression</w:t>
      </w:r>
    </w:p>
    <w:p>
      <w:r>
        <w:t>Card body: 24-hour urinary free cortisol within normal ranges throughout 76 weeks of treatment.⁵</w:t>
      </w:r>
    </w:p>
    <w:p>
      <w:r>
        <w:t>────────────────────────────────────────────────────────────</w:t>
      </w:r>
    </w:p>
    <w:p>
      <w:pPr>
        <w:pStyle w:val="Heading3"/>
      </w:pPr>
      <w:r>
        <w:t>Section 5 — CV and renal safety | highlight background</w:t>
      </w:r>
    </w:p>
    <w:p>
      <w:r>
        <w:t>Block: columns-teaser</w:t>
      </w:r>
    </w:p>
    <w:p>
      <w:r>
        <w:t>Section metadata: Style: highlight</w:t>
      </w:r>
    </w:p>
    <w:p/>
    <w:p>
      <w:r>
        <w:drawing>
          <wp:inline xmlns:a="http://schemas.openxmlformats.org/drawingml/2006/main" xmlns:pic="http://schemas.openxmlformats.org/drawingml/2006/picture">
            <wp:extent cx="5029200" cy="37551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3755136"/>
                    </a:xfrm>
                    <a:prstGeom prst="rect"/>
                  </pic:spPr>
                </pic:pic>
              </a:graphicData>
            </a:graphic>
          </wp:inline>
        </w:drawing>
      </w:r>
    </w:p>
    <w:p>
      <w:r>
        <w:rPr>
          <w:color w:val="0056B3"/>
          <w:sz w:val="16"/>
        </w:rPr>
        <w:t>https://lumivex-images.pages.dev/columns-monitoring.jpeg</w:t>
      </w:r>
    </w:p>
    <w:p>
      <w:r>
        <w:rPr>
          <w:color w:val="666666"/>
          <w:sz w:val="16"/>
        </w:rPr>
        <w:t>Usage: Safety — CV/renal</w:t>
      </w:r>
    </w:p>
    <w:p>
      <w:r>
        <w:t>Heading: Cardiovascular and renal safety</w:t>
      </w:r>
    </w:p>
    <w:p>
      <w:r>
        <w:t>Body text: No clinically meaningful effects on blood pressure, serum sodium, or renal function — consistent with V1b selectivity over V1a and V2 receptors.¹</w:t>
      </w:r>
    </w:p>
    <w:p>
      <w:r>
        <w:t>────────────────────────────────────────────────────────────</w:t>
      </w:r>
    </w:p>
    <w:p>
      <w:pPr>
        <w:pStyle w:val="Heading3"/>
      </w:pPr>
      <w:r>
        <w:t>Section 6 — Prescribing information footer</w:t>
      </w:r>
    </w:p>
    <w:p>
      <w:r>
        <w:t>Block: accordion  |  Expandable: PI | AE Reporting | References</w:t>
      </w:r>
    </w:p>
    <w:p/>
    <w:p>
      <w:r>
        <w:t>Page metadata</w:t>
      </w:r>
    </w:p>
    <w:p>
      <w:r>
        <w:t>Title: Safety Profile | CALMARA (calmazetine) | AstraZeneca UK</w:t>
      </w:r>
    </w:p>
    <w:p>
      <w:r>
        <w:t>Description: Safety data for CALMARA from SERENITY Phase III and 76-week OLE. No dependence or withdrawal. Transient somnolence. Cortisol axis safety confirmed.</w:t>
      </w:r>
    </w:p>
    <w:p>
      <w:r>
        <w:br w:type="page"/>
      </w:r>
    </w:p>
    <w:p>
      <w:pPr>
        <w:pStyle w:val="Heading2"/>
      </w:pPr>
      <w:r>
        <w:t>PAGE 4: Dosing &amp; Administration</w:t>
      </w:r>
    </w:p>
    <w:p>
      <w:r>
        <w:t>URL path: /calmara/dosing</w:t>
      </w:r>
    </w:p>
    <w:p>
      <w:r>
        <w:t>────────────────────────────────────────────────────────────</w:t>
      </w:r>
    </w:p>
    <w:p>
      <w:pPr>
        <w:pStyle w:val="Heading3"/>
      </w:pPr>
      <w:r>
        <w:t>Section 1 — Page header</w:t>
      </w:r>
    </w:p>
    <w:p>
      <w:r>
        <w:t>Block: title</w:t>
      </w:r>
    </w:p>
    <w:p>
      <w:r>
        <w:t>Heading: Dosing and administration of CALMARA® (calmazetine)</w:t>
      </w:r>
    </w:p>
    <w:p>
      <w:r>
        <w:t>Body text: 120 mg once daily from Day 1. No titration. No loading dose.¹</w:t>
      </w:r>
    </w:p>
    <w:p>
      <w:r>
        <w:t>────────────────────────────────────────────────────────────</w:t>
      </w:r>
    </w:p>
    <w:p>
      <w:pPr>
        <w:pStyle w:val="Heading3"/>
      </w:pPr>
      <w:r>
        <w:t>Section 2 — Dosing regimen | highlight background</w:t>
      </w:r>
    </w:p>
    <w:p>
      <w:r>
        <w:t>Block: columns-teaser</w:t>
      </w:r>
    </w:p>
    <w:p>
      <w:r>
        <w:t>Section metadata: Style: highlight</w:t>
      </w:r>
    </w:p>
    <w:p/>
    <w:p>
      <w:r>
        <w:drawing>
          <wp:inline xmlns:a="http://schemas.openxmlformats.org/drawingml/2006/main" xmlns:pic="http://schemas.openxmlformats.org/drawingml/2006/picture">
            <wp:extent cx="5029200" cy="37551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3755136"/>
                    </a:xfrm>
                    <a:prstGeom prst="rect"/>
                  </pic:spPr>
                </pic:pic>
              </a:graphicData>
            </a:graphic>
          </wp:inline>
        </w:drawing>
      </w:r>
    </w:p>
    <w:p>
      <w:r>
        <w:rPr>
          <w:color w:val="0056B3"/>
          <w:sz w:val="16"/>
        </w:rPr>
        <w:t>https://zenturis-images.pages.dev/columns-admin.jpeg</w:t>
      </w:r>
    </w:p>
    <w:p>
      <w:r>
        <w:rPr>
          <w:color w:val="666666"/>
          <w:sz w:val="16"/>
        </w:rPr>
        <w:t>Usage: Dosing — regimen</w:t>
      </w:r>
    </w:p>
    <w:p>
      <w:r>
        <w:t>Heading: Simple once-daily oral dosing</w:t>
      </w:r>
    </w:p>
    <w:p>
      <w:r>
        <w:t>Body text: Dose: 120 mg once daily from Day 1. No titration required. No loading dose. Administration: Can be taken with or without food. Duration: Approved for continuous use; no defined treatment duration limit. Scheduling: Not a controlled substance.¹</w:t>
      </w:r>
    </w:p>
    <w:p>
      <w:r>
        <w:t>────────────────────────────────────────────────────────────</w:t>
      </w:r>
    </w:p>
    <w:p>
      <w:pPr>
        <w:pStyle w:val="Heading3"/>
      </w:pPr>
      <w:r>
        <w:t>Section 3 — Practical information (expandable) | light background</w:t>
      </w:r>
    </w:p>
    <w:p>
      <w:r>
        <w:t>Block: accordion</w:t>
      </w:r>
    </w:p>
    <w:p>
      <w:r>
        <w:t>Section metadata: Style: light</w:t>
      </w:r>
    </w:p>
    <w:p>
      <w:r>
        <w:t>Panel 1: "Food interaction" — Can be taken with or without food. [PLACEHOLDER — confirm from SmPC]</w:t>
      </w:r>
    </w:p>
    <w:p>
      <w:r>
        <w:t>Panel 2: "Missed dose" — Take as soon as remembered same day. Do not double dose. [PLACEHOLDER]</w:t>
      </w:r>
    </w:p>
    <w:p>
      <w:r>
        <w:t>Panel 3: "Hepatic impairment" — [PLACEHOLDER — requires SmPC]</w:t>
      </w:r>
    </w:p>
    <w:p>
      <w:r>
        <w:t>Panel 4: "Renal impairment" — [PLACEHOLDER — requires SmPC]</w:t>
      </w:r>
    </w:p>
    <w:p>
      <w:r>
        <w:t>Panel 5: "Drug interactions" — [PLACEHOLDER — requires SmPC]</w:t>
      </w:r>
    </w:p>
    <w:p>
      <w:r>
        <w:t>────────────────────────────────────────────────────────────</w:t>
      </w:r>
    </w:p>
    <w:p>
      <w:pPr>
        <w:pStyle w:val="Heading3"/>
      </w:pPr>
      <w:r>
        <w:t>Section 4 — Patient resources link</w:t>
      </w:r>
    </w:p>
    <w:p>
      <w:r>
        <w:t>Block: columns-teaser</w:t>
      </w:r>
    </w:p>
    <w:p/>
    <w:p>
      <w:r>
        <w:drawing>
          <wp:inline xmlns:a="http://schemas.openxmlformats.org/drawingml/2006/main" xmlns:pic="http://schemas.openxmlformats.org/drawingml/2006/picture">
            <wp:extent cx="5029200" cy="37551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3755136"/>
                    </a:xfrm>
                    <a:prstGeom prst="rect"/>
                  </pic:spPr>
                </pic:pic>
              </a:graphicData>
            </a:graphic>
          </wp:inline>
        </w:drawing>
      </w:r>
    </w:p>
    <w:p>
      <w:r>
        <w:rPr>
          <w:color w:val="0056B3"/>
          <w:sz w:val="16"/>
        </w:rPr>
        <w:t>https://novapril-images.pages.dev/contact-support.jpeg</w:t>
      </w:r>
    </w:p>
    <w:p>
      <w:r>
        <w:rPr>
          <w:color w:val="666666"/>
          <w:sz w:val="16"/>
        </w:rPr>
        <w:t>Usage: Dosing — patient link</w:t>
      </w:r>
    </w:p>
    <w:p>
      <w:r>
        <w:t>Heading: Patient support and starter resources</w:t>
      </w:r>
    </w:p>
    <w:p>
      <w:r>
        <w:t>Body text: Access the CALMARA patient eligibility checklist, starter kit request, and patient support hub enrolment.</w:t>
      </w:r>
    </w:p>
    <w:p>
      <w:r>
        <w:t>Call to action: Access patient support → /calmara/patient-support</w:t>
      </w:r>
    </w:p>
    <w:p>
      <w:r>
        <w:t>────────────────────────────────────────────────────────────</w:t>
      </w:r>
    </w:p>
    <w:p>
      <w:pPr>
        <w:pStyle w:val="Heading3"/>
      </w:pPr>
      <w:r>
        <w:t>Section 5 — Prescribing information footer</w:t>
      </w:r>
    </w:p>
    <w:p>
      <w:r>
        <w:t>Block: accordion  |  Expandable: PI | AE Reporting | References</w:t>
      </w:r>
    </w:p>
    <w:p/>
    <w:p>
      <w:r>
        <w:t>Page metadata</w:t>
      </w:r>
    </w:p>
    <w:p>
      <w:r>
        <w:t>Title: Dosing &amp; Administration | CALMARA (calmazetine) | AstraZeneca UK</w:t>
      </w:r>
    </w:p>
    <w:p>
      <w:r>
        <w:t>Description: CALMARA dosing: 120 mg once daily from Day 1 with no titration. Practical prescribing information.</w:t>
      </w:r>
    </w:p>
    <w:p>
      <w:r>
        <w:br w:type="page"/>
      </w:r>
    </w:p>
    <w:p>
      <w:pPr>
        <w:pStyle w:val="Heading2"/>
      </w:pPr>
      <w:r>
        <w:t>PAGE 5: Patient Support</w:t>
      </w:r>
    </w:p>
    <w:p>
      <w:r>
        <w:t>URL path: /calmara/patient-support</w:t>
      </w:r>
    </w:p>
    <w:p>
      <w:r>
        <w:t>────────────────────────────────────────────────────────────</w:t>
      </w:r>
    </w:p>
    <w:p>
      <w:pPr>
        <w:pStyle w:val="Heading3"/>
      </w:pPr>
      <w:r>
        <w:t>Section 1 — Page header</w:t>
      </w:r>
    </w:p>
    <w:p>
      <w:r>
        <w:t>Block: title</w:t>
      </w:r>
    </w:p>
    <w:p>
      <w:r>
        <w:t>Heading: Patient support for CALMARA® (calmazetine)</w:t>
      </w:r>
    </w:p>
    <w:p>
      <w:r>
        <w:t>Body text: Practical resources to reduce administrative friction at first prescription</w:t>
      </w:r>
    </w:p>
    <w:p>
      <w:r>
        <w:t>────────────────────────────────────────────────────────────</w:t>
      </w:r>
    </w:p>
    <w:p>
      <w:pPr>
        <w:pStyle w:val="Heading3"/>
      </w:pPr>
      <w:r>
        <w:t>Section 2 — Support cards | light background</w:t>
      </w:r>
    </w:p>
    <w:p>
      <w:r>
        <w:t>Block: cards-teaser</w:t>
      </w:r>
    </w:p>
    <w:p>
      <w:r>
        <w:t>Section metadata: Style: light</w:t>
      </w:r>
    </w:p>
    <w:p/>
    <w:p>
      <w:r>
        <w:drawing>
          <wp:inline xmlns:a="http://schemas.openxmlformats.org/drawingml/2006/main" xmlns:pic="http://schemas.openxmlformats.org/drawingml/2006/picture">
            <wp:extent cx="5029200" cy="37551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3755136"/>
                    </a:xfrm>
                    <a:prstGeom prst="rect"/>
                  </pic:spPr>
                </pic:pic>
              </a:graphicData>
            </a:graphic>
          </wp:inline>
        </w:drawing>
      </w:r>
    </w:p>
    <w:p>
      <w:r>
        <w:rPr>
          <w:color w:val="0056B3"/>
          <w:sz w:val="16"/>
        </w:rPr>
        <w:t>https://eluvion-images.pages.dev/resource-patient.jpeg</w:t>
      </w:r>
    </w:p>
    <w:p>
      <w:r>
        <w:rPr>
          <w:color w:val="666666"/>
          <w:sz w:val="16"/>
        </w:rPr>
        <w:t>Usage: Patient Support — checklist</w:t>
      </w:r>
    </w:p>
    <w:p>
      <w:r>
        <w:t>Card heading: Patient eligibility checklist</w:t>
      </w:r>
    </w:p>
    <w:p>
      <w:r>
        <w:t>Card body: One-page checklist to confirm indication criteria during consultation. Downloadable PDF.</w:t>
      </w:r>
    </w:p>
    <w:p>
      <w:r>
        <w:t>Card link: Download checklist → [PLACEHOLDER]</w:t>
      </w:r>
    </w:p>
    <w:p>
      <w:r>
        <w:t>────────────────────────────────────────────────────────────</w:t>
      </w:r>
    </w:p>
    <w:p>
      <w:r>
        <w:drawing>
          <wp:inline xmlns:a="http://schemas.openxmlformats.org/drawingml/2006/main" xmlns:pic="http://schemas.openxmlformats.org/drawingml/2006/picture">
            <wp:extent cx="5029200" cy="37551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3755136"/>
                    </a:xfrm>
                    <a:prstGeom prst="rect"/>
                  </pic:spPr>
                </pic:pic>
              </a:graphicData>
            </a:graphic>
          </wp:inline>
        </w:drawing>
      </w:r>
    </w:p>
    <w:p>
      <w:r>
        <w:rPr>
          <w:color w:val="0056B3"/>
          <w:sz w:val="16"/>
        </w:rPr>
        <w:t>https://vitessa-images.pages.dev/contact-support.jpeg</w:t>
      </w:r>
    </w:p>
    <w:p>
      <w:r>
        <w:rPr>
          <w:color w:val="666666"/>
          <w:sz w:val="16"/>
        </w:rPr>
        <w:t>Usage: Patient Support — hub</w:t>
      </w:r>
    </w:p>
    <w:p>
      <w:r>
        <w:t>Card heading: Patient support hub enrolment</w:t>
      </w:r>
    </w:p>
    <w:p>
      <w:r>
        <w:t>Card body: [PLACEHOLDER — hub details]</w:t>
      </w:r>
    </w:p>
    <w:p>
      <w:r>
        <w:t>Card link: [PLACEHOLDER]</w:t>
      </w:r>
    </w:p>
    <w:p>
      <w:r>
        <w:t>────────────────────────────────────────────────────────────</w:t>
      </w:r>
    </w:p>
    <w:p>
      <w:r>
        <w:drawing>
          <wp:inline xmlns:a="http://schemas.openxmlformats.org/drawingml/2006/main" xmlns:pic="http://schemas.openxmlformats.org/drawingml/2006/picture">
            <wp:extent cx="5029200" cy="37551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3755136"/>
                    </a:xfrm>
                    <a:prstGeom prst="rect"/>
                  </pic:spPr>
                </pic:pic>
              </a:graphicData>
            </a:graphic>
          </wp:inline>
        </w:drawing>
      </w:r>
    </w:p>
    <w:p>
      <w:r>
        <w:rPr>
          <w:color w:val="0056B3"/>
          <w:sz w:val="16"/>
        </w:rPr>
        <w:t>https://novapril-images.pages.dev/resource-patient.jpeg</w:t>
      </w:r>
    </w:p>
    <w:p>
      <w:r>
        <w:rPr>
          <w:color w:val="666666"/>
          <w:sz w:val="16"/>
        </w:rPr>
        <w:t>Usage: Patient Support — co-pay</w:t>
      </w:r>
    </w:p>
    <w:p>
      <w:r>
        <w:t>Card heading: Co-pay assistance and starter kit</w:t>
      </w:r>
    </w:p>
    <w:p>
      <w:r>
        <w:t>Card body: [PLACEHOLDER — co-pay and starter kit details]</w:t>
      </w:r>
    </w:p>
    <w:p>
      <w:r>
        <w:t>Card link: [PLACEHOLDER]</w:t>
      </w:r>
    </w:p>
    <w:p>
      <w:r>
        <w:t>────────────────────────────────────────────────────────────</w:t>
      </w:r>
    </w:p>
    <w:p>
      <w:pPr>
        <w:pStyle w:val="Heading3"/>
      </w:pPr>
      <w:r>
        <w:t>Section 3 — Eligibility criteria | highlight background</w:t>
      </w:r>
    </w:p>
    <w:p>
      <w:r>
        <w:t>Block: columns-teaser</w:t>
      </w:r>
    </w:p>
    <w:p>
      <w:r>
        <w:t>Section metadata: Style: highlight</w:t>
      </w:r>
    </w:p>
    <w:p/>
    <w:p>
      <w:r>
        <w:drawing>
          <wp:inline xmlns:a="http://schemas.openxmlformats.org/drawingml/2006/main" xmlns:pic="http://schemas.openxmlformats.org/drawingml/2006/picture">
            <wp:extent cx="5029200" cy="37551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3755136"/>
                    </a:xfrm>
                    <a:prstGeom prst="rect"/>
                  </pic:spPr>
                </pic:pic>
              </a:graphicData>
            </a:graphic>
          </wp:inline>
        </w:drawing>
      </w:r>
    </w:p>
    <w:p>
      <w:r>
        <w:rPr>
          <w:color w:val="0056B3"/>
          <w:sz w:val="16"/>
        </w:rPr>
        <w:t>https://novapril-images.pages.dev/hcp-consultation.jpeg</w:t>
      </w:r>
    </w:p>
    <w:p>
      <w:r>
        <w:rPr>
          <w:color w:val="666666"/>
          <w:sz w:val="16"/>
        </w:rPr>
        <w:t>Usage: Patient Support — eligibility</w:t>
      </w:r>
    </w:p>
    <w:p>
      <w:r>
        <w:t>Heading: Identifying appropriate patients for CALMARA</w:t>
      </w:r>
    </w:p>
    <w:p>
      <w:r>
        <w:t>Body text: CALMARA is indicated for adults with GAD who have had an inadequate response to ≥1 SSRI or SNRI (failure to achieve remission HAM-A ≤7 after ≥8 weeks at adequate dose). Consider for patients who have cycled through multiple therapies or require a non-monoaminergic option.¹</w:t>
      </w:r>
    </w:p>
    <w:p>
      <w:r>
        <w:t>Call to action: View dosing information → /calmara/dosing</w:t>
      </w:r>
    </w:p>
    <w:p>
      <w:r>
        <w:t>────────────────────────────────────────────────────────────</w:t>
      </w:r>
    </w:p>
    <w:p>
      <w:pPr>
        <w:pStyle w:val="Heading3"/>
      </w:pPr>
      <w:r>
        <w:t>Section 4 — Prescribing information footer</w:t>
      </w:r>
    </w:p>
    <w:p>
      <w:r>
        <w:t>Block: accordion  |  Expandable: PI | AE Reporting | References</w:t>
      </w:r>
    </w:p>
    <w:p/>
    <w:p>
      <w:r>
        <w:t>Page metadata</w:t>
      </w:r>
    </w:p>
    <w:p>
      <w:r>
        <w:t>Title: Patient Support | CALMARA (calmazetine) | AstraZeneca UK</w:t>
      </w:r>
    </w:p>
    <w:p>
      <w:r>
        <w:t>Description: Patient support for CALMARA including eligibility checklist, hub enrolment, and co-pay assistance for GAD patients.</w:t>
      </w:r>
    </w:p>
    <w:p>
      <w:r>
        <w:br w:type="page"/>
      </w:r>
    </w:p>
    <w:p>
      <w:pPr>
        <w:pStyle w:val="Heading2"/>
      </w:pPr>
      <w:r>
        <w:t>PAGE 6: Resources</w:t>
      </w:r>
    </w:p>
    <w:p>
      <w:r>
        <w:t>URL path: /calmara/resources</w:t>
      </w:r>
    </w:p>
    <w:p>
      <w:r>
        <w:t>────────────────────────────────────────────────────────────</w:t>
      </w:r>
    </w:p>
    <w:p>
      <w:pPr>
        <w:pStyle w:val="Heading3"/>
      </w:pPr>
      <w:r>
        <w:t>Section 1 — Page header</w:t>
      </w:r>
    </w:p>
    <w:p>
      <w:r>
        <w:t>Block: title</w:t>
      </w:r>
    </w:p>
    <w:p>
      <w:r>
        <w:t>Heading: Resources for healthcare professionals</w:t>
      </w:r>
    </w:p>
    <w:p>
      <w:r>
        <w:t>Body text: Prescribing information, publications, and clinical education for CALMARA® (calmazetine)</w:t>
      </w:r>
    </w:p>
    <w:p>
      <w:r>
        <w:t>────────────────────────────────────────────────────────────</w:t>
      </w:r>
    </w:p>
    <w:p>
      <w:pPr>
        <w:pStyle w:val="Heading3"/>
      </w:pPr>
      <w:r>
        <w:t>Section 2 — Resource cards | light background</w:t>
      </w:r>
    </w:p>
    <w:p>
      <w:r>
        <w:t>Block: cards-teaser</w:t>
      </w:r>
    </w:p>
    <w:p>
      <w:r>
        <w:t>Section metadata: Style: light</w:t>
      </w:r>
    </w:p>
    <w:p/>
    <w:p>
      <w:r>
        <w:drawing>
          <wp:inline xmlns:a="http://schemas.openxmlformats.org/drawingml/2006/main" xmlns:pic="http://schemas.openxmlformats.org/drawingml/2006/picture">
            <wp:extent cx="5029200" cy="37551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3755136"/>
                    </a:xfrm>
                    <a:prstGeom prst="rect"/>
                  </pic:spPr>
                </pic:pic>
              </a:graphicData>
            </a:graphic>
          </wp:inline>
        </w:drawing>
      </w:r>
    </w:p>
    <w:p>
      <w:r>
        <w:rPr>
          <w:color w:val="0056B3"/>
          <w:sz w:val="16"/>
        </w:rPr>
        <w:t>https://vitessa-images.pages.dev/resource-prescribing.jpeg</w:t>
      </w:r>
    </w:p>
    <w:p>
      <w:r>
        <w:rPr>
          <w:color w:val="666666"/>
          <w:sz w:val="16"/>
        </w:rPr>
        <w:t>Usage: Resources — PI</w:t>
      </w:r>
    </w:p>
    <w:p>
      <w:r>
        <w:t>Card heading: Prescribing Information</w:t>
      </w:r>
    </w:p>
    <w:p>
      <w:r>
        <w:t>Card body: Full SmPC and PIL for CALMARA (calmazetine).</w:t>
      </w:r>
    </w:p>
    <w:p>
      <w:r>
        <w:t>Card link: Download PI (PDF) → [PLACEHOLDER]</w:t>
      </w:r>
    </w:p>
    <w:p>
      <w:r>
        <w:t>────────────────────────────────────────────────────────────</w:t>
      </w:r>
    </w:p>
    <w:p>
      <w:r>
        <w:drawing>
          <wp:inline xmlns:a="http://schemas.openxmlformats.org/drawingml/2006/main" xmlns:pic="http://schemas.openxmlformats.org/drawingml/2006/picture">
            <wp:extent cx="5029200" cy="37551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029200" cy="3755136"/>
                    </a:xfrm>
                    <a:prstGeom prst="rect"/>
                  </pic:spPr>
                </pic:pic>
              </a:graphicData>
            </a:graphic>
          </wp:inline>
        </w:drawing>
      </w:r>
    </w:p>
    <w:p>
      <w:r>
        <w:rPr>
          <w:color w:val="0056B3"/>
          <w:sz w:val="16"/>
        </w:rPr>
        <w:t>https://eluvion-images.pages.dev/resource-clinical.jpeg</w:t>
      </w:r>
    </w:p>
    <w:p>
      <w:r>
        <w:rPr>
          <w:color w:val="666666"/>
          <w:sz w:val="16"/>
        </w:rPr>
        <w:t>Usage: Resources — publications</w:t>
      </w:r>
    </w:p>
    <w:p>
      <w:r>
        <w:t>Card heading: SERENITY publications</w:t>
      </w:r>
    </w:p>
    <w:p>
      <w:r>
        <w:t>Card body: Primary manuscripts for SERENITY-1, SERENITY-2, and OLE data.</w:t>
      </w:r>
    </w:p>
    <w:p>
      <w:r>
        <w:t>Card link: View publications → [PLACEHOLDER]</w:t>
      </w:r>
    </w:p>
    <w:p>
      <w:r>
        <w:t>────────────────────────────────────────────────────────────</w:t>
      </w:r>
    </w:p>
    <w:p>
      <w:r>
        <w:drawing>
          <wp:inline xmlns:a="http://schemas.openxmlformats.org/drawingml/2006/main" xmlns:pic="http://schemas.openxmlformats.org/drawingml/2006/picture">
            <wp:extent cx="5029200" cy="37551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029200" cy="3755136"/>
                    </a:xfrm>
                    <a:prstGeom prst="rect"/>
                  </pic:spPr>
                </pic:pic>
              </a:graphicData>
            </a:graphic>
          </wp:inline>
        </w:drawing>
      </w:r>
    </w:p>
    <w:p>
      <w:r>
        <w:rPr>
          <w:color w:val="0056B3"/>
          <w:sz w:val="16"/>
        </w:rPr>
        <w:t>https://revantha-images.pages.dev/resource-education.jpeg</w:t>
      </w:r>
    </w:p>
    <w:p>
      <w:r>
        <w:rPr>
          <w:color w:val="666666"/>
          <w:sz w:val="16"/>
        </w:rPr>
        <w:t>Usage: Resources — CME</w:t>
      </w:r>
    </w:p>
    <w:p>
      <w:r>
        <w:t>Card heading: CME and patient education</w:t>
      </w:r>
    </w:p>
    <w:p>
      <w:r>
        <w:t>Card body: Education modules, webinars, and patient materials for GAD management.</w:t>
      </w:r>
    </w:p>
    <w:p>
      <w:r>
        <w:t>Card link: Explore CME resources → [PLACEHOLDER]</w:t>
      </w:r>
    </w:p>
    <w:p>
      <w:r>
        <w:t>────────────────────────────────────────────────────────────</w:t>
      </w:r>
    </w:p>
    <w:p>
      <w:pPr>
        <w:pStyle w:val="Heading3"/>
      </w:pPr>
      <w:r>
        <w:t>Section 3 — Contact | highlight background</w:t>
      </w:r>
    </w:p>
    <w:p>
      <w:r>
        <w:t>Block: introduction</w:t>
      </w:r>
    </w:p>
    <w:p>
      <w:r>
        <w:t>Section metadata: Style: highlight</w:t>
      </w:r>
    </w:p>
    <w:p>
      <w:r>
        <w:t>Heading: Medical information enquiries</w:t>
      </w:r>
    </w:p>
    <w:p>
      <w:r>
        <w:t>Body text: For medical information about CALMARA or any AstraZeneca product, visit contactazmedical.astrazeneca.com or call 0800 783 0033.</w:t>
      </w:r>
    </w:p>
    <w:p>
      <w:r>
        <w:t>────────────────────────────────────────────────────────────</w:t>
      </w:r>
    </w:p>
    <w:p>
      <w:pPr>
        <w:pStyle w:val="Heading3"/>
      </w:pPr>
      <w:r>
        <w:t>Section 4 — Prescribing information footer</w:t>
      </w:r>
    </w:p>
    <w:p>
      <w:r>
        <w:t>Block: accordion  |  Expandable: PI | AE Reporting | References</w:t>
      </w:r>
    </w:p>
    <w:p/>
    <w:p>
      <w:r>
        <w:t>Page metadata</w:t>
      </w:r>
    </w:p>
    <w:p>
      <w:r>
        <w:t>Title: HCP Resources | CALMARA (calmazetine) | AstraZeneca UK</w:t>
      </w:r>
    </w:p>
    <w:p>
      <w:r>
        <w:t>Description: Prescribing information, SERENITY publications, and CME for CALMARA in generalised anxiety disorder.</w:t>
      </w:r>
    </w:p>
    <w:p>
      <w:r>
        <w:br w:type="page"/>
      </w:r>
    </w:p>
    <w:p>
      <w:pPr>
        <w:pStyle w:val="Heading1"/>
      </w:pPr>
      <w:r>
        <w:t>10. Footer Content</w:t>
      </w:r>
    </w:p>
    <w:p>
      <w:pPr>
        <w:pStyle w:val="ListBullet"/>
      </w:pPr>
      <w:r>
        <w:t>Logo: AstraZeneca logo (linked to /calmara/)</w:t>
      </w:r>
    </w:p>
    <w:p>
      <w:pPr>
        <w:pStyle w:val="ListBullet"/>
      </w:pPr>
      <w:r>
        <w:t>Approval code: [GB-XXXXX] | DOP: [Month Year]</w:t>
      </w:r>
    </w:p>
    <w:p>
      <w:pPr>
        <w:pStyle w:val="ListBullet"/>
      </w:pPr>
      <w:r>
        <w:t>Copyright: © [Year] AstraZeneca. All rights reserved. CALMARA is a registered trademark of the AstraZeneca group of companies.</w:t>
      </w:r>
    </w:p>
    <w:p>
      <w:pPr>
        <w:pStyle w:val="ListBullet"/>
      </w:pPr>
      <w:r>
        <w:t>Page links: Efficacy | Safety | Dosing &amp; Administration | Patient Support | Resources</w:t>
      </w:r>
    </w:p>
    <w:p>
      <w:pPr>
        <w:pStyle w:val="ListBullet"/>
      </w:pPr>
      <w:r>
        <w:t>Regulatory links: Report Adverse Event | Medical Information | Privacy Policy | Terms of Use | Accessibility</w:t>
      </w:r>
    </w:p>
    <w:p>
      <w:pPr>
        <w:pStyle w:val="ListBullet"/>
      </w:pPr>
      <w:r>
        <w:t>Date of preparation: Date of Preparation: [Month Year]</w:t>
      </w:r>
    </w:p>
    <w:p>
      <w:r>
        <w:t>────────────────────────────────────────────────────────────</w:t>
      </w:r>
    </w:p>
    <w:p>
      <w:pPr>
        <w:pStyle w:val="Heading1"/>
      </w:pPr>
      <w:r>
        <w:t>11. Image Assets</w:t>
      </w:r>
    </w:p>
    <w:p>
      <w:r>
        <w:t>All images reused from existing site CDNs. Contingency images noted for therapy-area-specific generation.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Filename</w:t>
            </w:r>
          </w:p>
        </w:tc>
        <w:tc>
          <w:tcPr>
            <w:tcW w:type="dxa" w:w="2880"/>
          </w:tcPr>
          <w:p>
            <w:r>
              <w:rPr>
                <w:b/>
                <w:sz w:val="18"/>
              </w:rPr>
              <w:t>Usage</w:t>
            </w:r>
          </w:p>
        </w:tc>
        <w:tc>
          <w:tcPr>
            <w:tcW w:type="dxa" w:w="2880"/>
          </w:tcPr>
          <w:p>
            <w:r>
              <w:rPr>
                <w:b/>
                <w:sz w:val="18"/>
              </w:rPr>
              <w:t>Source CDN URL</w:t>
            </w:r>
          </w:p>
        </w:tc>
      </w:tr>
      <w:tr>
        <w:tc>
          <w:tcPr>
            <w:tcW w:type="dxa" w:w="2880"/>
          </w:tcPr>
          <w:p>
            <w:r>
              <w:rPr>
                <w:sz w:val="18"/>
              </w:rPr>
              <w:t>hero-home.jpeg</w:t>
            </w:r>
          </w:p>
        </w:tc>
        <w:tc>
          <w:tcPr>
            <w:tcW w:type="dxa" w:w="2880"/>
          </w:tcPr>
          <w:p>
            <w:r>
              <w:rPr>
                <w:sz w:val="18"/>
              </w:rPr>
              <w:t>Home — hero</w:t>
            </w:r>
          </w:p>
        </w:tc>
        <w:tc>
          <w:tcPr>
            <w:tcW w:type="dxa" w:w="2880"/>
          </w:tcPr>
          <w:p>
            <w:r>
              <w:rPr>
                <w:sz w:val="18"/>
              </w:rPr>
              <w:t>https://lumivex-images.pages.dev/hero-home.jpeg</w:t>
            </w:r>
          </w:p>
        </w:tc>
      </w:tr>
      <w:tr>
        <w:tc>
          <w:tcPr>
            <w:tcW w:type="dxa" w:w="2880"/>
          </w:tcPr>
          <w:p>
            <w:r>
              <w:rPr>
                <w:sz w:val="18"/>
              </w:rPr>
              <w:t>pathway-cascade.jpeg</w:t>
            </w:r>
          </w:p>
        </w:tc>
        <w:tc>
          <w:tcPr>
            <w:tcW w:type="dxa" w:w="2880"/>
          </w:tcPr>
          <w:p>
            <w:r>
              <w:rPr>
                <w:sz w:val="18"/>
              </w:rPr>
              <w:t>Home — MoA</w:t>
            </w:r>
          </w:p>
        </w:tc>
        <w:tc>
          <w:tcPr>
            <w:tcW w:type="dxa" w:w="2880"/>
          </w:tcPr>
          <w:p>
            <w:r>
              <w:rPr>
                <w:sz w:val="18"/>
              </w:rPr>
              <w:t>https://eluvion-images.pages.dev/pathway-cascade.jpeg</w:t>
            </w:r>
          </w:p>
        </w:tc>
      </w:tr>
      <w:tr>
        <w:tc>
          <w:tcPr>
            <w:tcW w:type="dxa" w:w="2880"/>
          </w:tcPr>
          <w:p>
            <w:r>
              <w:rPr>
                <w:sz w:val="18"/>
              </w:rPr>
              <w:t>card-efficacy.jpeg</w:t>
            </w:r>
          </w:p>
        </w:tc>
        <w:tc>
          <w:tcPr>
            <w:tcW w:type="dxa" w:w="2880"/>
          </w:tcPr>
          <w:p>
            <w:r>
              <w:rPr>
                <w:sz w:val="18"/>
              </w:rPr>
              <w:t>Home — remission</w:t>
            </w:r>
          </w:p>
        </w:tc>
        <w:tc>
          <w:tcPr>
            <w:tcW w:type="dxa" w:w="2880"/>
          </w:tcPr>
          <w:p>
            <w:r>
              <w:rPr>
                <w:sz w:val="18"/>
              </w:rPr>
              <w:t>https://revantha-images.pages.dev/card-efficacy.jpeg</w:t>
            </w:r>
          </w:p>
        </w:tc>
      </w:tr>
      <w:tr>
        <w:tc>
          <w:tcPr>
            <w:tcW w:type="dxa" w:w="2880"/>
          </w:tcPr>
          <w:p>
            <w:r>
              <w:rPr>
                <w:sz w:val="18"/>
              </w:rPr>
              <w:t>card-safety.jpeg</w:t>
            </w:r>
          </w:p>
        </w:tc>
        <w:tc>
          <w:tcPr>
            <w:tcW w:type="dxa" w:w="2880"/>
          </w:tcPr>
          <w:p>
            <w:r>
              <w:rPr>
                <w:sz w:val="18"/>
              </w:rPr>
              <w:t>Home — safety</w:t>
            </w:r>
          </w:p>
        </w:tc>
        <w:tc>
          <w:tcPr>
            <w:tcW w:type="dxa" w:w="2880"/>
          </w:tcPr>
          <w:p>
            <w:r>
              <w:rPr>
                <w:sz w:val="18"/>
              </w:rPr>
              <w:t>https://eluvion-images.pages.dev/card-safety.jpeg</w:t>
            </w:r>
          </w:p>
        </w:tc>
      </w:tr>
      <w:tr>
        <w:tc>
          <w:tcPr>
            <w:tcW w:type="dxa" w:w="2880"/>
          </w:tcPr>
          <w:p>
            <w:r>
              <w:rPr>
                <w:sz w:val="18"/>
              </w:rPr>
              <w:t>card-dosing.jpeg</w:t>
            </w:r>
          </w:p>
        </w:tc>
        <w:tc>
          <w:tcPr>
            <w:tcW w:type="dxa" w:w="2880"/>
          </w:tcPr>
          <w:p>
            <w:r>
              <w:rPr>
                <w:sz w:val="18"/>
              </w:rPr>
              <w:t>Home — dosing</w:t>
            </w:r>
          </w:p>
        </w:tc>
        <w:tc>
          <w:tcPr>
            <w:tcW w:type="dxa" w:w="2880"/>
          </w:tcPr>
          <w:p>
            <w:r>
              <w:rPr>
                <w:sz w:val="18"/>
              </w:rPr>
              <w:t>https://zenturis-images.pages.dev/card-dosing.jpeg</w:t>
            </w:r>
          </w:p>
        </w:tc>
      </w:tr>
      <w:tr>
        <w:tc>
          <w:tcPr>
            <w:tcW w:type="dxa" w:w="2880"/>
          </w:tcPr>
          <w:p>
            <w:r>
              <w:rPr>
                <w:sz w:val="18"/>
              </w:rPr>
              <w:t>tab-luminance1.jpeg</w:t>
            </w:r>
          </w:p>
        </w:tc>
        <w:tc>
          <w:tcPr>
            <w:tcW w:type="dxa" w:w="2880"/>
          </w:tcPr>
          <w:p>
            <w:r>
              <w:rPr>
                <w:sz w:val="18"/>
              </w:rPr>
              <w:t>Efficacy — slide 1</w:t>
            </w:r>
          </w:p>
        </w:tc>
        <w:tc>
          <w:tcPr>
            <w:tcW w:type="dxa" w:w="2880"/>
          </w:tcPr>
          <w:p>
            <w:r>
              <w:rPr>
                <w:sz w:val="18"/>
              </w:rPr>
              <w:t>https://lumivex-images.pages.dev/tab-luminance1.jpeg</w:t>
            </w:r>
          </w:p>
        </w:tc>
      </w:tr>
      <w:tr>
        <w:tc>
          <w:tcPr>
            <w:tcW w:type="dxa" w:w="2880"/>
          </w:tcPr>
          <w:p>
            <w:r>
              <w:rPr>
                <w:sz w:val="18"/>
              </w:rPr>
              <w:t>tab-zenith1.jpeg</w:t>
            </w:r>
          </w:p>
        </w:tc>
        <w:tc>
          <w:tcPr>
            <w:tcW w:type="dxa" w:w="2880"/>
          </w:tcPr>
          <w:p>
            <w:r>
              <w:rPr>
                <w:sz w:val="18"/>
              </w:rPr>
              <w:t>Efficacy — slide 2</w:t>
            </w:r>
          </w:p>
        </w:tc>
        <w:tc>
          <w:tcPr>
            <w:tcW w:type="dxa" w:w="2880"/>
          </w:tcPr>
          <w:p>
            <w:r>
              <w:rPr>
                <w:sz w:val="18"/>
              </w:rPr>
              <w:t>https://zenturis-images.pages.dev/tab-zenith1.jpeg</w:t>
            </w:r>
          </w:p>
        </w:tc>
      </w:tr>
      <w:tr>
        <w:tc>
          <w:tcPr>
            <w:tcW w:type="dxa" w:w="2880"/>
          </w:tcPr>
          <w:p>
            <w:r>
              <w:rPr>
                <w:sz w:val="18"/>
              </w:rPr>
              <w:t>tab-luminos1.jpeg</w:t>
            </w:r>
          </w:p>
        </w:tc>
        <w:tc>
          <w:tcPr>
            <w:tcW w:type="dxa" w:w="2880"/>
          </w:tcPr>
          <w:p>
            <w:r>
              <w:rPr>
                <w:sz w:val="18"/>
              </w:rPr>
              <w:t>Efficacy — slide 3</w:t>
            </w:r>
          </w:p>
        </w:tc>
        <w:tc>
          <w:tcPr>
            <w:tcW w:type="dxa" w:w="2880"/>
          </w:tcPr>
          <w:p>
            <w:r>
              <w:rPr>
                <w:sz w:val="18"/>
              </w:rPr>
              <w:t>https://treluxia-images.pages.dev/tab-luminos1.jpeg</w:t>
            </w:r>
          </w:p>
        </w:tc>
      </w:tr>
      <w:tr>
        <w:tc>
          <w:tcPr>
            <w:tcW w:type="dxa" w:w="2880"/>
          </w:tcPr>
          <w:p>
            <w:r>
              <w:rPr>
                <w:sz w:val="18"/>
              </w:rPr>
              <w:t>tab-luminance2.jpeg</w:t>
            </w:r>
          </w:p>
        </w:tc>
        <w:tc>
          <w:tcPr>
            <w:tcW w:type="dxa" w:w="2880"/>
          </w:tcPr>
          <w:p>
            <w:r>
              <w:rPr>
                <w:sz w:val="18"/>
              </w:rPr>
              <w:t>Efficacy — slide 4</w:t>
            </w:r>
          </w:p>
        </w:tc>
        <w:tc>
          <w:tcPr>
            <w:tcW w:type="dxa" w:w="2880"/>
          </w:tcPr>
          <w:p>
            <w:r>
              <w:rPr>
                <w:sz w:val="18"/>
              </w:rPr>
              <w:t>https://lumivex-images.pages.dev/tab-luminance2.jpeg</w:t>
            </w:r>
          </w:p>
        </w:tc>
      </w:tr>
      <w:tr>
        <w:tc>
          <w:tcPr>
            <w:tcW w:type="dxa" w:w="2880"/>
          </w:tcPr>
          <w:p>
            <w:r>
              <w:rPr>
                <w:sz w:val="18"/>
              </w:rPr>
              <w:t>trial1-results.jpeg</w:t>
            </w:r>
          </w:p>
        </w:tc>
        <w:tc>
          <w:tcPr>
            <w:tcW w:type="dxa" w:w="2880"/>
          </w:tcPr>
          <w:p>
            <w:r>
              <w:rPr>
                <w:sz w:val="18"/>
              </w:rPr>
              <w:t>Efficacy — onset</w:t>
            </w:r>
          </w:p>
        </w:tc>
        <w:tc>
          <w:tcPr>
            <w:tcW w:type="dxa" w:w="2880"/>
          </w:tcPr>
          <w:p>
            <w:r>
              <w:rPr>
                <w:sz w:val="18"/>
              </w:rPr>
              <w:t>https://eluvion-images.pages.dev/trial1-results.jpeg</w:t>
            </w:r>
          </w:p>
        </w:tc>
      </w:tr>
      <w:tr>
        <w:tc>
          <w:tcPr>
            <w:tcW w:type="dxa" w:w="2880"/>
          </w:tcPr>
          <w:p>
            <w:r>
              <w:rPr>
                <w:sz w:val="18"/>
              </w:rPr>
              <w:t>columns-longterm.jpeg</w:t>
            </w:r>
          </w:p>
        </w:tc>
        <w:tc>
          <w:tcPr>
            <w:tcW w:type="dxa" w:w="2880"/>
          </w:tcPr>
          <w:p>
            <w:r>
              <w:rPr>
                <w:sz w:val="18"/>
              </w:rPr>
              <w:t>Efficacy — OLE</w:t>
            </w:r>
          </w:p>
        </w:tc>
        <w:tc>
          <w:tcPr>
            <w:tcW w:type="dxa" w:w="2880"/>
          </w:tcPr>
          <w:p>
            <w:r>
              <w:rPr>
                <w:sz w:val="18"/>
              </w:rPr>
              <w:t>https://lumivex-images.pages.dev/columns-longterm.jpeg</w:t>
            </w:r>
          </w:p>
        </w:tc>
      </w:tr>
      <w:tr>
        <w:tc>
          <w:tcPr>
            <w:tcW w:type="dxa" w:w="2880"/>
          </w:tcPr>
          <w:p>
            <w:r>
              <w:rPr>
                <w:sz w:val="18"/>
              </w:rPr>
              <w:t>card-selectivity.jpeg</w:t>
            </w:r>
          </w:p>
        </w:tc>
        <w:tc>
          <w:tcPr>
            <w:tcW w:type="dxa" w:w="2880"/>
          </w:tcPr>
          <w:p>
            <w:r>
              <w:rPr>
                <w:sz w:val="18"/>
              </w:rPr>
              <w:t>Safety — somnolence</w:t>
            </w:r>
          </w:p>
        </w:tc>
        <w:tc>
          <w:tcPr>
            <w:tcW w:type="dxa" w:w="2880"/>
          </w:tcPr>
          <w:p>
            <w:r>
              <w:rPr>
                <w:sz w:val="18"/>
              </w:rPr>
              <w:t>https://lumivex-images.pages.dev/card-selectivity.jpeg</w:t>
            </w:r>
          </w:p>
        </w:tc>
      </w:tr>
      <w:tr>
        <w:tc>
          <w:tcPr>
            <w:tcW w:type="dxa" w:w="2880"/>
          </w:tcPr>
          <w:p>
            <w:r>
              <w:rPr>
                <w:sz w:val="18"/>
              </w:rPr>
              <w:t>card-safety.jpeg</w:t>
            </w:r>
          </w:p>
        </w:tc>
        <w:tc>
          <w:tcPr>
            <w:tcW w:type="dxa" w:w="2880"/>
          </w:tcPr>
          <w:p>
            <w:r>
              <w:rPr>
                <w:sz w:val="18"/>
              </w:rPr>
              <w:t>Safety — dependence</w:t>
            </w:r>
          </w:p>
        </w:tc>
        <w:tc>
          <w:tcPr>
            <w:tcW w:type="dxa" w:w="2880"/>
          </w:tcPr>
          <w:p>
            <w:r>
              <w:rPr>
                <w:sz w:val="18"/>
              </w:rPr>
              <w:t>https://novapril-images.pages.dev/card-safety.jpeg</w:t>
            </w:r>
          </w:p>
        </w:tc>
      </w:tr>
      <w:tr>
        <w:tc>
          <w:tcPr>
            <w:tcW w:type="dxa" w:w="2880"/>
          </w:tcPr>
          <w:p>
            <w:r>
              <w:rPr>
                <w:sz w:val="18"/>
              </w:rPr>
              <w:t>safety-monitoring.jpeg</w:t>
            </w:r>
          </w:p>
        </w:tc>
        <w:tc>
          <w:tcPr>
            <w:tcW w:type="dxa" w:w="2880"/>
          </w:tcPr>
          <w:p>
            <w:r>
              <w:rPr>
                <w:sz w:val="18"/>
              </w:rPr>
              <w:t>Safety — cortisol</w:t>
            </w:r>
          </w:p>
        </w:tc>
        <w:tc>
          <w:tcPr>
            <w:tcW w:type="dxa" w:w="2880"/>
          </w:tcPr>
          <w:p>
            <w:r>
              <w:rPr>
                <w:sz w:val="18"/>
              </w:rPr>
              <w:t>https://novapril-images.pages.dev/safety-monitoring.jpeg</w:t>
            </w:r>
          </w:p>
        </w:tc>
      </w:tr>
      <w:tr>
        <w:tc>
          <w:tcPr>
            <w:tcW w:type="dxa" w:w="2880"/>
          </w:tcPr>
          <w:p>
            <w:r>
              <w:rPr>
                <w:sz w:val="18"/>
              </w:rPr>
              <w:t>columns-monitoring.jpeg</w:t>
            </w:r>
          </w:p>
        </w:tc>
        <w:tc>
          <w:tcPr>
            <w:tcW w:type="dxa" w:w="2880"/>
          </w:tcPr>
          <w:p>
            <w:r>
              <w:rPr>
                <w:sz w:val="18"/>
              </w:rPr>
              <w:t>Safety — CV/renal</w:t>
            </w:r>
          </w:p>
        </w:tc>
        <w:tc>
          <w:tcPr>
            <w:tcW w:type="dxa" w:w="2880"/>
          </w:tcPr>
          <w:p>
            <w:r>
              <w:rPr>
                <w:sz w:val="18"/>
              </w:rPr>
              <w:t>https://lumivex-images.pages.dev/columns-monitoring.jpeg</w:t>
            </w:r>
          </w:p>
        </w:tc>
      </w:tr>
      <w:tr>
        <w:tc>
          <w:tcPr>
            <w:tcW w:type="dxa" w:w="2880"/>
          </w:tcPr>
          <w:p>
            <w:r>
              <w:rPr>
                <w:sz w:val="18"/>
              </w:rPr>
              <w:t>columns-admin.jpeg</w:t>
            </w:r>
          </w:p>
        </w:tc>
        <w:tc>
          <w:tcPr>
            <w:tcW w:type="dxa" w:w="2880"/>
          </w:tcPr>
          <w:p>
            <w:r>
              <w:rPr>
                <w:sz w:val="18"/>
              </w:rPr>
              <w:t>Dosing — regimen</w:t>
            </w:r>
          </w:p>
        </w:tc>
        <w:tc>
          <w:tcPr>
            <w:tcW w:type="dxa" w:w="2880"/>
          </w:tcPr>
          <w:p>
            <w:r>
              <w:rPr>
                <w:sz w:val="18"/>
              </w:rPr>
              <w:t>https://zenturis-images.pages.dev/columns-admin.jpeg</w:t>
            </w:r>
          </w:p>
        </w:tc>
      </w:tr>
      <w:tr>
        <w:tc>
          <w:tcPr>
            <w:tcW w:type="dxa" w:w="2880"/>
          </w:tcPr>
          <w:p>
            <w:r>
              <w:rPr>
                <w:sz w:val="18"/>
              </w:rPr>
              <w:t>contact-support.jpeg</w:t>
            </w:r>
          </w:p>
        </w:tc>
        <w:tc>
          <w:tcPr>
            <w:tcW w:type="dxa" w:w="2880"/>
          </w:tcPr>
          <w:p>
            <w:r>
              <w:rPr>
                <w:sz w:val="18"/>
              </w:rPr>
              <w:t>Dosing — patient</w:t>
            </w:r>
          </w:p>
        </w:tc>
        <w:tc>
          <w:tcPr>
            <w:tcW w:type="dxa" w:w="2880"/>
          </w:tcPr>
          <w:p>
            <w:r>
              <w:rPr>
                <w:sz w:val="18"/>
              </w:rPr>
              <w:t>https://novapril-images.pages.dev/contact-support.jpeg</w:t>
            </w:r>
          </w:p>
        </w:tc>
      </w:tr>
      <w:tr>
        <w:tc>
          <w:tcPr>
            <w:tcW w:type="dxa" w:w="2880"/>
          </w:tcPr>
          <w:p>
            <w:r>
              <w:rPr>
                <w:sz w:val="18"/>
              </w:rPr>
              <w:t>resource-patient.jpeg</w:t>
            </w:r>
          </w:p>
        </w:tc>
        <w:tc>
          <w:tcPr>
            <w:tcW w:type="dxa" w:w="2880"/>
          </w:tcPr>
          <w:p>
            <w:r>
              <w:rPr>
                <w:sz w:val="18"/>
              </w:rPr>
              <w:t>Support — checklist</w:t>
            </w:r>
          </w:p>
        </w:tc>
        <w:tc>
          <w:tcPr>
            <w:tcW w:type="dxa" w:w="2880"/>
          </w:tcPr>
          <w:p>
            <w:r>
              <w:rPr>
                <w:sz w:val="18"/>
              </w:rPr>
              <w:t>https://eluvion-images.pages.dev/resource-patient.jpeg</w:t>
            </w:r>
          </w:p>
        </w:tc>
      </w:tr>
      <w:tr>
        <w:tc>
          <w:tcPr>
            <w:tcW w:type="dxa" w:w="2880"/>
          </w:tcPr>
          <w:p>
            <w:r>
              <w:rPr>
                <w:sz w:val="18"/>
              </w:rPr>
              <w:t>contact-support.jpeg</w:t>
            </w:r>
          </w:p>
        </w:tc>
        <w:tc>
          <w:tcPr>
            <w:tcW w:type="dxa" w:w="2880"/>
          </w:tcPr>
          <w:p>
            <w:r>
              <w:rPr>
                <w:sz w:val="18"/>
              </w:rPr>
              <w:t>Support — hub</w:t>
            </w:r>
          </w:p>
        </w:tc>
        <w:tc>
          <w:tcPr>
            <w:tcW w:type="dxa" w:w="2880"/>
          </w:tcPr>
          <w:p>
            <w:r>
              <w:rPr>
                <w:sz w:val="18"/>
              </w:rPr>
              <w:t>https://vitessa-images.pages.dev/contact-support.jpeg</w:t>
            </w:r>
          </w:p>
        </w:tc>
      </w:tr>
      <w:tr>
        <w:tc>
          <w:tcPr>
            <w:tcW w:type="dxa" w:w="2880"/>
          </w:tcPr>
          <w:p>
            <w:r>
              <w:rPr>
                <w:sz w:val="18"/>
              </w:rPr>
              <w:t>hcp-consultation.jpeg</w:t>
            </w:r>
          </w:p>
        </w:tc>
        <w:tc>
          <w:tcPr>
            <w:tcW w:type="dxa" w:w="2880"/>
          </w:tcPr>
          <w:p>
            <w:r>
              <w:rPr>
                <w:sz w:val="18"/>
              </w:rPr>
              <w:t>Support — eligibility</w:t>
            </w:r>
          </w:p>
        </w:tc>
        <w:tc>
          <w:tcPr>
            <w:tcW w:type="dxa" w:w="2880"/>
          </w:tcPr>
          <w:p>
            <w:r>
              <w:rPr>
                <w:sz w:val="18"/>
              </w:rPr>
              <w:t>https://novapril-images.pages.dev/hcp-consultation.jpeg</w:t>
            </w:r>
          </w:p>
        </w:tc>
      </w:tr>
      <w:tr>
        <w:tc>
          <w:tcPr>
            <w:tcW w:type="dxa" w:w="2880"/>
          </w:tcPr>
          <w:p>
            <w:r>
              <w:rPr>
                <w:sz w:val="18"/>
              </w:rPr>
              <w:t>resource-prescribing.jpeg</w:t>
            </w:r>
          </w:p>
        </w:tc>
        <w:tc>
          <w:tcPr>
            <w:tcW w:type="dxa" w:w="2880"/>
          </w:tcPr>
          <w:p>
            <w:r>
              <w:rPr>
                <w:sz w:val="18"/>
              </w:rPr>
              <w:t>Resources — PI</w:t>
            </w:r>
          </w:p>
        </w:tc>
        <w:tc>
          <w:tcPr>
            <w:tcW w:type="dxa" w:w="2880"/>
          </w:tcPr>
          <w:p>
            <w:r>
              <w:rPr>
                <w:sz w:val="18"/>
              </w:rPr>
              <w:t>https://vitessa-images.pages.dev/resource-prescribing.jpeg</w:t>
            </w:r>
          </w:p>
        </w:tc>
      </w:tr>
      <w:tr>
        <w:tc>
          <w:tcPr>
            <w:tcW w:type="dxa" w:w="2880"/>
          </w:tcPr>
          <w:p>
            <w:r>
              <w:rPr>
                <w:sz w:val="18"/>
              </w:rPr>
              <w:t>resource-clinical.jpeg</w:t>
            </w:r>
          </w:p>
        </w:tc>
        <w:tc>
          <w:tcPr>
            <w:tcW w:type="dxa" w:w="2880"/>
          </w:tcPr>
          <w:p>
            <w:r>
              <w:rPr>
                <w:sz w:val="18"/>
              </w:rPr>
              <w:t>Resources — pubs</w:t>
            </w:r>
          </w:p>
        </w:tc>
        <w:tc>
          <w:tcPr>
            <w:tcW w:type="dxa" w:w="2880"/>
          </w:tcPr>
          <w:p>
            <w:r>
              <w:rPr>
                <w:sz w:val="18"/>
              </w:rPr>
              <w:t>https://eluvion-images.pages.dev/resource-clinical.jpeg</w:t>
            </w:r>
          </w:p>
        </w:tc>
      </w:tr>
      <w:tr>
        <w:tc>
          <w:tcPr>
            <w:tcW w:type="dxa" w:w="2880"/>
          </w:tcPr>
          <w:p>
            <w:r>
              <w:rPr>
                <w:sz w:val="18"/>
              </w:rPr>
              <w:t>resource-education.jpeg</w:t>
            </w:r>
          </w:p>
        </w:tc>
        <w:tc>
          <w:tcPr>
            <w:tcW w:type="dxa" w:w="2880"/>
          </w:tcPr>
          <w:p>
            <w:r>
              <w:rPr>
                <w:sz w:val="18"/>
              </w:rPr>
              <w:t>Resources — CME</w:t>
            </w:r>
          </w:p>
        </w:tc>
        <w:tc>
          <w:tcPr>
            <w:tcW w:type="dxa" w:w="2880"/>
          </w:tcPr>
          <w:p>
            <w:r>
              <w:rPr>
                <w:sz w:val="18"/>
              </w:rPr>
              <w:t>https://revantha-images.pages.dev/resource-education.jpeg</w:t>
            </w:r>
          </w:p>
        </w:tc>
      </w:tr>
    </w:tbl>
    <w:p/>
    <w:p>
      <w:r>
        <w:t>────────────────────────────────────────────────────────────</w:t>
      </w:r>
    </w:p>
    <w:p>
      <w:pPr>
        <w:pStyle w:val="Heading1"/>
      </w:pPr>
      <w:r>
        <w:t>12. Imagery Direction</w:t>
      </w:r>
    </w:p>
    <w:p>
      <w:r>
        <w:t>Per the original briefing:</w:t>
      </w:r>
    </w:p>
    <w:p>
      <w:pPr>
        <w:pStyle w:val="ListBullet"/>
      </w:pPr>
      <w:r>
        <w:t>Anxiety is invisible. Avoid visual metaphors: head-holding, dark silhouettes, isolation, hands clasped in worry.</w:t>
      </w:r>
    </w:p>
    <w:p>
      <w:pPr>
        <w:pStyle w:val="ListBullet"/>
      </w:pPr>
      <w:r>
        <w:t>Communicate competence, scientific rigour, and understanding of the patient population.</w:t>
      </w:r>
    </w:p>
    <w:p>
      <w:pPr>
        <w:pStyle w:val="ListBullet"/>
      </w:pPr>
      <w:r>
        <w:t>Patients in contexts suggesting restored function: working, conversation, ordinary daily life.</w:t>
      </w:r>
    </w:p>
    <w:p>
      <w:pPr>
        <w:pStyle w:val="ListBullet"/>
      </w:pPr>
      <w:r>
        <w:t>Diverse demographics reflecting GAD prevalence across age, gender, and ethnicity.</w:t>
      </w:r>
    </w:p>
    <w:p>
      <w:pPr>
        <w:pStyle w:val="ListBullet"/>
      </w:pPr>
      <w:r>
        <w:t>HCP imagery: professional and attentive in consultation settings. No "empathic smile" stock trope.</w:t>
      </w:r>
    </w:p>
    <w:p>
      <w:pPr>
        <w:pStyle w:val="ListBullet"/>
      </w:pPr>
      <w:r>
        <w:t>MoA illustrations: clean, proportionate, scientifically plausible. No "neural network" abstractions.</w:t>
      </w:r>
    </w:p>
    <w:p>
      <w:pPr>
        <w:pStyle w:val="ListBullet"/>
      </w:pPr>
      <w:r>
        <w:t>Restrained colour palette: off-white base, dark slate text, one restrained accent.</w:t>
      </w:r>
    </w:p>
    <w:p>
      <w:pPr>
        <w:pStyle w:val="ListBullet"/>
      </w:pPr>
      <w:r>
        <w:t>No high-saturation wellness palettes, gradient backgrounds, or consumer advertising aesthetics.</w:t>
      </w:r>
    </w:p>
    <w:p>
      <w:pPr>
        <w:pStyle w:val="ListBullet"/>
      </w:pPr>
      <w:r>
        <w:t>Generous whitespace. Dense layouts signal consumer advertising, not clinical reference.</w:t>
      </w:r>
    </w:p>
    <w:p/>
    <w:p>
      <w:r>
        <w:t>Contingency images for generation if reused images are too generic:</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Filename</w:t>
            </w:r>
          </w:p>
        </w:tc>
        <w:tc>
          <w:tcPr>
            <w:tcW w:type="dxa" w:w="2880"/>
          </w:tcPr>
          <w:p>
            <w:r>
              <w:rPr>
                <w:b/>
                <w:sz w:val="18"/>
              </w:rPr>
              <w:t>Usage</w:t>
            </w:r>
          </w:p>
        </w:tc>
        <w:tc>
          <w:tcPr>
            <w:tcW w:type="dxa" w:w="2880"/>
          </w:tcPr>
          <w:p>
            <w:r>
              <w:rPr>
                <w:b/>
                <w:sz w:val="18"/>
              </w:rPr>
              <w:t>Description</w:t>
            </w:r>
          </w:p>
        </w:tc>
      </w:tr>
      <w:tr>
        <w:tc>
          <w:tcPr>
            <w:tcW w:type="dxa" w:w="2880"/>
          </w:tcPr>
          <w:p>
            <w:r>
              <w:rPr>
                <w:sz w:val="18"/>
              </w:rPr>
              <w:t>moa-hpa-axis.jpeg</w:t>
            </w:r>
          </w:p>
        </w:tc>
        <w:tc>
          <w:tcPr>
            <w:tcW w:type="dxa" w:w="2880"/>
          </w:tcPr>
          <w:p>
            <w:r>
              <w:rPr>
                <w:sz w:val="18"/>
              </w:rPr>
              <w:t>MoA diagram</w:t>
            </w:r>
          </w:p>
        </w:tc>
        <w:tc>
          <w:tcPr>
            <w:tcW w:type="dxa" w:w="2880"/>
          </w:tcPr>
          <w:p>
            <w:r>
              <w:rPr>
                <w:sz w:val="18"/>
              </w:rPr>
              <w:t>[GENERATE] Tier 3: Illustrated HPA axis — hypothalamus, pituitary with V1b highlighted, adrenal cortex. AVP/CRH pathways. Steel blue + muted gold. White background.</w:t>
            </w:r>
          </w:p>
        </w:tc>
      </w:tr>
      <w:tr>
        <w:tc>
          <w:tcPr>
            <w:tcW w:type="dxa" w:w="2880"/>
          </w:tcPr>
          <w:p>
            <w:r>
              <w:rPr>
                <w:sz w:val="18"/>
              </w:rPr>
              <w:t>hero-calmara.jpeg</w:t>
            </w:r>
          </w:p>
        </w:tc>
        <w:tc>
          <w:tcPr>
            <w:tcW w:type="dxa" w:w="2880"/>
          </w:tcPr>
          <w:p>
            <w:r>
              <w:rPr>
                <w:sz w:val="18"/>
              </w:rPr>
              <w:t>Home hero</w:t>
            </w:r>
          </w:p>
        </w:tc>
        <w:tc>
          <w:tcPr>
            <w:tcW w:type="dxa" w:w="2880"/>
          </w:tcPr>
          <w:p>
            <w:r>
              <w:rPr>
                <w:sz w:val="18"/>
              </w:rPr>
              <w:t>[GENERATE] Tier 2: Person in 40s at desk, focused work, natural window light, calm expression, diverse. Conveys restored function, not wellness.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300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300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