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NYVEX®</w:t>
      </w:r>
    </w:p>
    <w:p>
      <w:pPr>
        <w:jc w:val="center"/>
      </w:pPr>
      <w:r>
        <w:rPr>
          <w:color w:val="2B6E8A"/>
          <w:sz w:val="40"/>
        </w:rPr>
        <w:t>(nyvexabart)</w:t>
      </w:r>
    </w:p>
    <w:p/>
    <w:p>
      <w:pPr>
        <w:jc w:val="center"/>
      </w:pPr>
      <w:r>
        <w:rPr>
          <w:color w:val="363B3B"/>
          <w:sz w:val="48"/>
        </w:rPr>
        <w:t>Website Briefing</w:t>
      </w:r>
    </w:p>
    <w:p/>
    <w:p>
      <w:pPr>
        <w:jc w:val="center"/>
      </w:pPr>
      <w:r>
        <w:rPr>
          <w:i/>
          <w:color w:val="2B6E8A"/>
          <w:sz w:val="24"/>
        </w:rPr>
        <w:t>Selective IL-31Rα blockade for moderate-to-severe prurigo nodularis</w:t>
      </w:r>
    </w:p>
    <w:p/>
    <w:p/>
    <w:p>
      <w:pPr>
        <w:jc w:val="center"/>
      </w:pPr>
      <w:r>
        <w:rPr>
          <w:color w:val="666666"/>
          <w:sz w:val="18"/>
        </w:rPr>
        <w:t>Document type: Draft marketing brief for HCP website build</w:t>
      </w:r>
    </w:p>
    <w:p>
      <w:pPr>
        <w:jc w:val="center"/>
      </w:pPr>
      <w:r>
        <w:rPr>
          <w:color w:val="666666"/>
          <w:sz w:val="18"/>
        </w:rPr>
        <w:t>Prepared by: Marketing — UK Dermatology Franchise</w:t>
      </w:r>
    </w:p>
    <w:p>
      <w:pPr>
        <w:jc w:val="center"/>
      </w:pPr>
      <w:r>
        <w:rPr>
          <w:color w:val="666666"/>
          <w:sz w:val="18"/>
        </w:rPr>
        <w:t>Approval status: Draft v1.0 — indicative copy, pending MLR review</w:t>
      </w:r>
    </w:p>
    <w:p>
      <w:pPr>
        <w:jc w:val="center"/>
      </w:pPr>
      <w:r>
        <w:rPr>
          <w:color w:val="666666"/>
          <w:sz w:val="18"/>
        </w:rPr>
        <w:t>Date: March 2026</w:t>
      </w:r>
    </w:p>
    <w:p>
      <w:pPr>
        <w:jc w:val="center"/>
      </w:pPr>
      <w:r>
        <w:rPr>
          <w:color w:val="666666"/>
          <w:sz w:val="18"/>
        </w:rPr>
        <w:t>Approval code: [GB-XXXXX — assign before MLR submission]</w:t>
      </w:r>
    </w:p>
    <w:p>
      <w:r>
        <w:br w:type="page"/>
      </w:r>
    </w:p>
    <w:p>
      <w:pPr>
        <w:pStyle w:val="Heading1"/>
      </w:pPr>
      <w:r>
        <w:t>Contents</w:t>
      </w:r>
    </w:p>
    <w:p>
      <w:r>
        <w:t>1. Drug Profile</w:t>
      </w:r>
    </w:p>
    <w:p>
      <w:r>
        <w:t>2. Mechanism of Action</w:t>
      </w:r>
    </w:p>
    <w:p>
      <w:r>
        <w:t>3. Clinical Programme: RESOLVE</w:t>
      </w:r>
    </w:p>
    <w:p>
      <w:r>
        <w:t>4. Safety Profile</w:t>
      </w:r>
    </w:p>
    <w:p>
      <w:r>
        <w:t>5. Prescribing Information</w:t>
      </w:r>
    </w:p>
    <w:p>
      <w:r>
        <w:t>6. Adverse Event Reporting</w:t>
      </w:r>
    </w:p>
    <w:p>
      <w:r>
        <w:t>7. References</w:t>
      </w:r>
    </w:p>
    <w:p>
      <w:r>
        <w:t>8. Site Navigation</w:t>
      </w:r>
    </w:p>
    <w:p>
      <w:r>
        <w:t>9. Page Content</w:t>
      </w:r>
    </w:p>
    <w:p>
      <w:r>
        <w:t xml:space="preserve">   Page 1: Home</w:t>
      </w:r>
    </w:p>
    <w:p>
      <w:r>
        <w:t xml:space="preserve">   Page 2: Efficacy</w:t>
      </w:r>
    </w:p>
    <w:p>
      <w:r>
        <w:t xml:space="preserve">   Page 3: Safety</w:t>
      </w:r>
    </w:p>
    <w:p>
      <w:r>
        <w:t xml:space="preserve">   Page 4: Dosing &amp; Administration</w:t>
      </w:r>
    </w:p>
    <w:p>
      <w:r>
        <w:t xml:space="preserve">   Page 5: Patient Support</w:t>
      </w:r>
    </w:p>
    <w:p>
      <w:r>
        <w:t xml:space="preserve">   Page 6: Resources</w:t>
      </w:r>
    </w:p>
    <w:p>
      <w:r>
        <w:t>10. Footer Content</w:t>
      </w:r>
    </w:p>
    <w:p>
      <w:r>
        <w:t>11. Image Assets</w:t>
      </w:r>
    </w:p>
    <w:p>
      <w:r>
        <w:t>12. Imagery Direction</w:t>
      </w:r>
    </w:p>
    <w:p>
      <w:r>
        <w:br w:type="page"/>
      </w:r>
    </w:p>
    <w:p>
      <w:pPr>
        <w:pStyle w:val="Heading1"/>
      </w:pPr>
      <w:r>
        <w:t>1. Drug Profile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Brand name</w:t>
            </w:r>
          </w:p>
        </w:tc>
        <w:tc>
          <w:tcPr>
            <w:tcW w:type="dxa" w:w="4320"/>
          </w:tcPr>
          <w:p>
            <w:r>
              <w:rPr>
                <w:sz w:val="18"/>
              </w:rPr>
              <w:t>NYVEX</w:t>
            </w:r>
          </w:p>
        </w:tc>
      </w:tr>
      <w:tr>
        <w:tc>
          <w:tcPr>
            <w:tcW w:type="dxa" w:w="4320"/>
          </w:tcPr>
          <w:p>
            <w:r>
              <w:rPr>
                <w:sz w:val="18"/>
              </w:rPr>
              <w:t>Generic name</w:t>
            </w:r>
          </w:p>
        </w:tc>
        <w:tc>
          <w:tcPr>
            <w:tcW w:type="dxa" w:w="4320"/>
          </w:tcPr>
          <w:p>
            <w:r>
              <w:rPr>
                <w:sz w:val="18"/>
              </w:rPr>
              <w:t>nyvexabart</w:t>
            </w:r>
          </w:p>
        </w:tc>
      </w:tr>
      <w:tr>
        <w:tc>
          <w:tcPr>
            <w:tcW w:type="dxa" w:w="4320"/>
          </w:tcPr>
          <w:p>
            <w:r>
              <w:rPr>
                <w:sz w:val="18"/>
              </w:rPr>
              <w:t>Drug class</w:t>
            </w:r>
          </w:p>
        </w:tc>
        <w:tc>
          <w:tcPr>
            <w:tcW w:type="dxa" w:w="4320"/>
          </w:tcPr>
          <w:p>
            <w:r>
              <w:rPr>
                <w:sz w:val="18"/>
              </w:rPr>
              <w:t>Fully human IgG1 monoclonal antibody, anti-IL-31 receptor alpha (IL-31Rα)</w:t>
            </w:r>
          </w:p>
        </w:tc>
      </w:tr>
      <w:tr>
        <w:tc>
          <w:tcPr>
            <w:tcW w:type="dxa" w:w="4320"/>
          </w:tcPr>
          <w:p>
            <w:r>
              <w:rPr>
                <w:sz w:val="18"/>
              </w:rPr>
              <w:t>Indication</w:t>
            </w:r>
          </w:p>
        </w:tc>
        <w:tc>
          <w:tcPr>
            <w:tcW w:type="dxa" w:w="4320"/>
          </w:tcPr>
          <w:p>
            <w:r>
              <w:rPr>
                <w:sz w:val="18"/>
              </w:rPr>
              <w:t>Treatment of moderate-to-severe prurigo nodularis (PN) in adults whose disease is inadequately controlled with topical therapies</w:t>
            </w:r>
          </w:p>
        </w:tc>
      </w:tr>
      <w:tr>
        <w:tc>
          <w:tcPr>
            <w:tcW w:type="dxa" w:w="4320"/>
          </w:tcPr>
          <w:p>
            <w:r>
              <w:rPr>
                <w:sz w:val="18"/>
              </w:rPr>
              <w:t>Formulation</w:t>
            </w:r>
          </w:p>
        </w:tc>
        <w:tc>
          <w:tcPr>
            <w:tcW w:type="dxa" w:w="4320"/>
          </w:tcPr>
          <w:p>
            <w:r>
              <w:rPr>
                <w:sz w:val="18"/>
              </w:rPr>
              <w:t>180 mg solution for injection in a prefilled autoinjector</w:t>
            </w:r>
          </w:p>
        </w:tc>
      </w:tr>
      <w:tr>
        <w:tc>
          <w:tcPr>
            <w:tcW w:type="dxa" w:w="4320"/>
          </w:tcPr>
          <w:p>
            <w:r>
              <w:rPr>
                <w:sz w:val="18"/>
              </w:rPr>
              <w:t>Dosing</w:t>
            </w:r>
          </w:p>
        </w:tc>
        <w:tc>
          <w:tcPr>
            <w:tcW w:type="dxa" w:w="4320"/>
          </w:tcPr>
          <w:p>
            <w:r>
              <w:rPr>
                <w:sz w:val="18"/>
              </w:rPr>
              <w:t>360 mg (2 × 180 mg) loading dose at Week 0, then 180 mg SC once every 4 weeks</w:t>
            </w:r>
          </w:p>
        </w:tc>
      </w:tr>
      <w:tr>
        <w:tc>
          <w:tcPr>
            <w:tcW w:type="dxa" w:w="4320"/>
          </w:tcPr>
          <w:p>
            <w:r>
              <w:rPr>
                <w:sz w:val="18"/>
              </w:rPr>
              <w:t>Approval</w:t>
            </w:r>
          </w:p>
        </w:tc>
        <w:tc>
          <w:tcPr>
            <w:tcW w:type="dxa" w:w="4320"/>
          </w:tcPr>
          <w:p>
            <w:r>
              <w:rPr>
                <w:sz w:val="18"/>
              </w:rPr>
              <w:t>MHRA — [PLACEHOLDER — date to be confirmed]</w:t>
            </w:r>
          </w:p>
        </w:tc>
      </w:tr>
      <w:tr>
        <w:tc>
          <w:tcPr>
            <w:tcW w:type="dxa" w:w="4320"/>
          </w:tcPr>
          <w:p>
            <w:r>
              <w:rPr>
                <w:sz w:val="18"/>
              </w:rPr>
              <w:t>Brand colour</w:t>
            </w:r>
          </w:p>
        </w:tc>
        <w:tc>
          <w:tcPr>
            <w:tcW w:type="dxa" w:w="4320"/>
          </w:tcPr>
          <w:p>
            <w:r>
              <w:rPr>
                <w:sz w:val="18"/>
              </w:rPr>
              <w:t>#2B6E8A (slate teal)</w:t>
            </w:r>
          </w:p>
        </w:tc>
      </w:tr>
      <w:tr>
        <w:tc>
          <w:tcPr>
            <w:tcW w:type="dxa" w:w="4320"/>
          </w:tcPr>
          <w:p>
            <w:r>
              <w:rPr>
                <w:sz w:val="18"/>
              </w:rPr>
              <w:t>Accent colour</w:t>
            </w:r>
          </w:p>
        </w:tc>
        <w:tc>
          <w:tcPr>
            <w:tcW w:type="dxa" w:w="4320"/>
          </w:tcPr>
          <w:p>
            <w:r>
              <w:rPr>
                <w:sz w:val="18"/>
              </w:rPr>
              <w:t>#D47B3E (warm amber)</w:t>
            </w:r>
          </w:p>
        </w:tc>
      </w:tr>
      <w:tr>
        <w:tc>
          <w:tcPr>
            <w:tcW w:type="dxa" w:w="4320"/>
          </w:tcPr>
          <w:p>
            <w:r>
              <w:rPr>
                <w:sz w:val="18"/>
              </w:rPr>
              <w:t>Approval code</w:t>
            </w:r>
          </w:p>
        </w:tc>
        <w:tc>
          <w:tcPr>
            <w:tcW w:type="dxa" w:w="4320"/>
          </w:tcPr>
          <w:p>
            <w:r>
              <w:rPr>
                <w:sz w:val="18"/>
              </w:rPr>
              <w:t>[GB-XXXXX — assign before MLR submission]</w:t>
            </w:r>
          </w:p>
        </w:tc>
      </w:tr>
    </w:tbl>
    <w:p/>
    <w:p>
      <w:r>
        <w:t>NYVEX brand rule: NYVEX always appears in capitals, with ® on first mention per page. Generic name (nyvexabart) appears in lowercase parentheses on first mention.</w:t>
      </w:r>
    </w:p>
    <w:p>
      <w:pPr/>
      <w:r>
        <w:t>────────────────────────────────────────────────────────────</w:t>
      </w:r>
    </w:p>
    <w:p>
      <w:pPr>
        <w:pStyle w:val="Heading1"/>
      </w:pPr>
      <w:r>
        <w:t>2. Mechanism of Action</w:t>
      </w:r>
    </w:p>
    <w:p>
      <w:r>
        <w:t>NYVEX (nyvexabart) is a fully human IgG1 monoclonal antibody that selectively binds to the interleukin-31 receptor alpha subunit (IL-31Rα), blocking IL-31 signalling.¹</w:t>
      </w:r>
    </w:p>
    <w:p>
      <w:r>
        <w:t>Prurigo nodularis is driven by a self-reinforcing neuroimmune feedback loop. IL-31, produced predominantly by activated Th2 cells, acts on IL-31Rα expressed on sensory neurons and keratinocytes. This signalling drives the intense, chronic pruritus that defines PN. Persistent scratching in response to pruritus leads to nodule formation, which further amplifies the itch-scratch cycle.¹ ²</w:t>
      </w:r>
    </w:p>
    <w:p>
      <w:r>
        <w:t>By selectively blocking IL-31Rα, NYVEX:</w:t>
      </w:r>
    </w:p>
    <w:p>
      <w:pPr>
        <w:pStyle w:val="ListBullet"/>
      </w:pPr>
      <w:r>
        <w:t>Blocks IL-31Rα on sensory neurons, interrupting the neural itch signal¹</w:t>
      </w:r>
    </w:p>
    <w:p>
      <w:pPr>
        <w:pStyle w:val="ListBullet"/>
      </w:pPr>
      <w:r>
        <w:t>Reduces keratinocyte-mediated inflammatory signalling downstream of IL-31¹</w:t>
      </w:r>
    </w:p>
    <w:p>
      <w:pPr>
        <w:pStyle w:val="ListBullet"/>
      </w:pPr>
      <w:r>
        <w:t>Breaks the itch-scratch-nodule feedback loop that perpetuates disease¹ ²</w:t>
      </w:r>
    </w:p>
    <w:p>
      <w:pPr>
        <w:pStyle w:val="ListBullet"/>
      </w:pPr>
      <w:r>
        <w:t>Does not result in broad immunosuppression — selectivity for IL-31Rα avoids the off-target effects associated with dual IL-4Rα blockade¹</w:t>
      </w:r>
    </w:p>
    <w:p/>
    <w:p>
      <w:r>
        <w:t>Unlike agents that target the IL-4/IL-13 pathway, NYVEX selectively neutralises IL-31 signalling. Conjunctivitis, a recognised class effect of IL-4/IL-13 pathway inhibitors, was not observed at increased rates with NYVEX in clinical trials — consistent with its selective mechanism of action.¹</w:t>
      </w:r>
    </w:p>
    <w:p>
      <w:pPr/>
      <w:r>
        <w:t>────────────────────────────────────────────────────────────</w:t>
      </w:r>
    </w:p>
    <w:p>
      <w:pPr>
        <w:pStyle w:val="Heading1"/>
      </w:pPr>
      <w:r>
        <w:t>3. Clinical Programme: RESOLVE</w:t>
      </w:r>
    </w:p>
    <w:p>
      <w:r>
        <w:t>The NYVEX approval is supported by the RESOLVE programme — two Phase III, randomised, double-blind, placebo-controlled trials conducted in adults with moderate-to-severe prurigo nodularis.³ ⁴</w:t>
      </w:r>
    </w:p>
    <w:p>
      <w:pPr>
        <w:pStyle w:val="Heading2"/>
      </w:pPr>
      <w:r>
        <w:t>RESOLVE-1 and RESOLVE-2 (pooled analysis)</w:t>
      </w:r>
    </w:p>
    <w:p>
      <w:r>
        <w:t>Design: Randomised, double-blind, placebo-controlled</w:t>
      </w:r>
    </w:p>
    <w:p>
      <w:r>
        <w:t>Population: 612 adults with confirmed moderate-to-severe PN (IGA-PN ≥ 3, minimum 20 nodules)</w:t>
      </w:r>
    </w:p>
    <w:p>
      <w:r>
        <w:t>Duration: 24 weeks</w:t>
      </w:r>
    </w:p>
    <w:p>
      <w:r>
        <w:t>Primary endpoint: Proportion of patients achieving IGA-PN 0/1 (clear or almost clear) at Week 24</w:t>
      </w:r>
    </w:p>
    <w:p>
      <w:r>
        <w:t>Key secondary endpoints: WI-NRS itch reduction, DLQI, nodule count reduction, sleep disturbance improvement</w:t>
      </w:r>
    </w:p>
    <w:p>
      <w:r>
        <w:t>Publication: [PLACEHOLDER — requires reference details]</w:t>
      </w:r>
    </w:p>
    <w:p/>
    <w:p>
      <w:r>
        <w:t>Primary endpoint: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Endpoint</w:t>
            </w:r>
          </w:p>
        </w:tc>
        <w:tc>
          <w:tcPr>
            <w:tcW w:type="dxa" w:w="2160"/>
          </w:tcPr>
          <w:p>
            <w:r>
              <w:rPr>
                <w:b/>
                <w:sz w:val="18"/>
              </w:rPr>
              <w:t>NYVEX</w:t>
            </w:r>
          </w:p>
        </w:tc>
        <w:tc>
          <w:tcPr>
            <w:tcW w:type="dxa" w:w="2160"/>
          </w:tcPr>
          <w:p>
            <w:r>
              <w:rPr>
                <w:b/>
                <w:sz w:val="18"/>
              </w:rPr>
              <w:t>Placebo</w:t>
            </w:r>
          </w:p>
        </w:tc>
        <w:tc>
          <w:tcPr>
            <w:tcW w:type="dxa" w:w="2160"/>
          </w:tcPr>
          <w:p>
            <w:r>
              <w:rPr>
                <w:b/>
                <w:sz w:val="18"/>
              </w:rPr>
              <w:t>P-value</w:t>
            </w:r>
          </w:p>
        </w:tc>
      </w:tr>
      <w:tr>
        <w:tc>
          <w:tcPr>
            <w:tcW w:type="dxa" w:w="2160"/>
          </w:tcPr>
          <w:p>
            <w:r>
              <w:rPr>
                <w:sz w:val="18"/>
              </w:rPr>
              <w:t>IGA-PN 0/1 (clear or almost clear) at Week 24</w:t>
            </w:r>
          </w:p>
        </w:tc>
        <w:tc>
          <w:tcPr>
            <w:tcW w:type="dxa" w:w="2160"/>
          </w:tcPr>
          <w:p>
            <w:r>
              <w:rPr>
                <w:sz w:val="18"/>
              </w:rPr>
              <w:t>58.3%</w:t>
            </w:r>
          </w:p>
        </w:tc>
        <w:tc>
          <w:tcPr>
            <w:tcW w:type="dxa" w:w="2160"/>
          </w:tcPr>
          <w:p>
            <w:r>
              <w:rPr>
                <w:sz w:val="18"/>
              </w:rPr>
              <w:t>16.1%</w:t>
            </w:r>
          </w:p>
        </w:tc>
        <w:tc>
          <w:tcPr>
            <w:tcW w:type="dxa" w:w="2160"/>
          </w:tcPr>
          <w:p>
            <w:r>
              <w:rPr>
                <w:sz w:val="18"/>
              </w:rPr>
              <w:t>p &lt; 0.0001</w:t>
            </w:r>
          </w:p>
        </w:tc>
      </w:tr>
    </w:tbl>
    <w:p/>
    <w:p>
      <w:r>
        <w:t>Key secondary endpoints (Week 24):</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Endpoint</w:t>
            </w:r>
          </w:p>
        </w:tc>
        <w:tc>
          <w:tcPr>
            <w:tcW w:type="dxa" w:w="2880"/>
          </w:tcPr>
          <w:p>
            <w:r>
              <w:rPr>
                <w:b/>
                <w:sz w:val="18"/>
              </w:rPr>
              <w:t>NYVEX</w:t>
            </w:r>
          </w:p>
        </w:tc>
        <w:tc>
          <w:tcPr>
            <w:tcW w:type="dxa" w:w="2880"/>
          </w:tcPr>
          <w:p>
            <w:r>
              <w:rPr>
                <w:b/>
                <w:sz w:val="18"/>
              </w:rPr>
              <w:t>Placebo</w:t>
            </w:r>
          </w:p>
        </w:tc>
      </w:tr>
      <w:tr>
        <w:tc>
          <w:tcPr>
            <w:tcW w:type="dxa" w:w="2880"/>
          </w:tcPr>
          <w:p>
            <w:r>
              <w:rPr>
                <w:sz w:val="18"/>
              </w:rPr>
              <w:t>≥4-point reduction in WI-NRS (worst itch)</w:t>
            </w:r>
          </w:p>
        </w:tc>
        <w:tc>
          <w:tcPr>
            <w:tcW w:type="dxa" w:w="2880"/>
          </w:tcPr>
          <w:p>
            <w:r>
              <w:rPr>
                <w:sz w:val="18"/>
              </w:rPr>
              <w:t>67.4%</w:t>
            </w:r>
          </w:p>
        </w:tc>
        <w:tc>
          <w:tcPr>
            <w:tcW w:type="dxa" w:w="2880"/>
          </w:tcPr>
          <w:p>
            <w:r>
              <w:rPr>
                <w:sz w:val="18"/>
              </w:rPr>
              <w:t>20.8%</w:t>
            </w:r>
          </w:p>
        </w:tc>
      </w:tr>
      <w:tr>
        <w:tc>
          <w:tcPr>
            <w:tcW w:type="dxa" w:w="2880"/>
          </w:tcPr>
          <w:p>
            <w:r>
              <w:rPr>
                <w:sz w:val="18"/>
              </w:rPr>
              <w:t>DLQI 0/1 (no impact on quality of life)</w:t>
            </w:r>
          </w:p>
        </w:tc>
        <w:tc>
          <w:tcPr>
            <w:tcW w:type="dxa" w:w="2880"/>
          </w:tcPr>
          <w:p>
            <w:r>
              <w:rPr>
                <w:sz w:val="18"/>
              </w:rPr>
              <w:t>44.1%</w:t>
            </w:r>
          </w:p>
        </w:tc>
        <w:tc>
          <w:tcPr>
            <w:tcW w:type="dxa" w:w="2880"/>
          </w:tcPr>
          <w:p>
            <w:r>
              <w:rPr>
                <w:sz w:val="18"/>
              </w:rPr>
              <w:t>11.3%</w:t>
            </w:r>
          </w:p>
        </w:tc>
      </w:tr>
      <w:tr>
        <w:tc>
          <w:tcPr>
            <w:tcW w:type="dxa" w:w="2880"/>
          </w:tcPr>
          <w:p>
            <w:r>
              <w:rPr>
                <w:sz w:val="18"/>
              </w:rPr>
              <w:t>Reduction in active nodule count ≥75%</w:t>
            </w:r>
          </w:p>
        </w:tc>
        <w:tc>
          <w:tcPr>
            <w:tcW w:type="dxa" w:w="2880"/>
          </w:tcPr>
          <w:p>
            <w:r>
              <w:rPr>
                <w:sz w:val="18"/>
              </w:rPr>
              <w:t>61.8%</w:t>
            </w:r>
          </w:p>
        </w:tc>
        <w:tc>
          <w:tcPr>
            <w:tcW w:type="dxa" w:w="2880"/>
          </w:tcPr>
          <w:p>
            <w:r>
              <w:rPr>
                <w:sz w:val="18"/>
              </w:rPr>
              <w:t>18.4%</w:t>
            </w:r>
          </w:p>
        </w:tc>
      </w:tr>
      <w:tr>
        <w:tc>
          <w:tcPr>
            <w:tcW w:type="dxa" w:w="2880"/>
          </w:tcPr>
          <w:p>
            <w:r>
              <w:rPr>
                <w:sz w:val="18"/>
              </w:rPr>
              <w:t>Sleep disturbance NRS improvement ≥3 pts</w:t>
            </w:r>
          </w:p>
        </w:tc>
        <w:tc>
          <w:tcPr>
            <w:tcW w:type="dxa" w:w="2880"/>
          </w:tcPr>
          <w:p>
            <w:r>
              <w:rPr>
                <w:sz w:val="18"/>
              </w:rPr>
              <w:t>55.2%</w:t>
            </w:r>
          </w:p>
        </w:tc>
        <w:tc>
          <w:tcPr>
            <w:tcW w:type="dxa" w:w="2880"/>
          </w:tcPr>
          <w:p>
            <w:r>
              <w:rPr>
                <w:sz w:val="18"/>
              </w:rPr>
              <w:t>17.9%</w:t>
            </w:r>
          </w:p>
        </w:tc>
      </w:tr>
    </w:tbl>
    <w:p/>
    <w:p>
      <w:pPr>
        <w:pStyle w:val="Heading2"/>
      </w:pPr>
      <w:r>
        <w:t>Onset of action</w:t>
      </w:r>
    </w:p>
    <w:p>
      <w:r>
        <w:t>A meaningful reduction in WI-NRS (≥4 points) was observed as early as Week 2 in a proportion of patients, with separation from placebo reaching statistical significance from Week 4 onward.³ ⁴</w:t>
      </w:r>
    </w:p>
    <w:p>
      <w:pPr/>
      <w:r>
        <w:t>────────────────────────────────────────────────────────────</w:t>
      </w:r>
    </w:p>
    <w:p>
      <w:pPr>
        <w:pStyle w:val="Heading1"/>
      </w:pPr>
      <w:r>
        <w:t>4. Safety Profile</w:t>
      </w:r>
    </w:p>
    <w:p>
      <w:r>
        <w:t>The overall safety profile of NYVEX was consistent with its mechanism of action.³ ⁴</w:t>
      </w:r>
    </w:p>
    <w:p>
      <w:pPr>
        <w:pStyle w:val="Heading2"/>
      </w:pPr>
      <w:r>
        <w:t>Most common adverse events (≥5% in NYVEX arm)</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Adverse event</w:t>
            </w:r>
          </w:p>
        </w:tc>
        <w:tc>
          <w:tcPr>
            <w:tcW w:type="dxa" w:w="2880"/>
          </w:tcPr>
          <w:p>
            <w:r>
              <w:rPr>
                <w:b/>
                <w:sz w:val="18"/>
              </w:rPr>
              <w:t>NYVEX</w:t>
            </w:r>
          </w:p>
        </w:tc>
        <w:tc>
          <w:tcPr>
            <w:tcW w:type="dxa" w:w="2880"/>
          </w:tcPr>
          <w:p>
            <w:r>
              <w:rPr>
                <w:b/>
                <w:sz w:val="18"/>
              </w:rPr>
              <w:t>Placebo</w:t>
            </w:r>
          </w:p>
        </w:tc>
      </w:tr>
      <w:tr>
        <w:tc>
          <w:tcPr>
            <w:tcW w:type="dxa" w:w="2880"/>
          </w:tcPr>
          <w:p>
            <w:r>
              <w:rPr>
                <w:sz w:val="18"/>
              </w:rPr>
              <w:t>Injection site reactions</w:t>
            </w:r>
          </w:p>
        </w:tc>
        <w:tc>
          <w:tcPr>
            <w:tcW w:type="dxa" w:w="2880"/>
          </w:tcPr>
          <w:p>
            <w:r>
              <w:rPr>
                <w:sz w:val="18"/>
              </w:rPr>
              <w:t>8.4%</w:t>
            </w:r>
          </w:p>
        </w:tc>
        <w:tc>
          <w:tcPr>
            <w:tcW w:type="dxa" w:w="2880"/>
          </w:tcPr>
          <w:p>
            <w:r>
              <w:rPr>
                <w:sz w:val="18"/>
              </w:rPr>
              <w:t>[PLACEHOLDER]</w:t>
            </w:r>
          </w:p>
        </w:tc>
      </w:tr>
      <w:tr>
        <w:tc>
          <w:tcPr>
            <w:tcW w:type="dxa" w:w="2880"/>
          </w:tcPr>
          <w:p>
            <w:r>
              <w:rPr>
                <w:sz w:val="18"/>
              </w:rPr>
              <w:t>Nasopharyngitis</w:t>
            </w:r>
          </w:p>
        </w:tc>
        <w:tc>
          <w:tcPr>
            <w:tcW w:type="dxa" w:w="2880"/>
          </w:tcPr>
          <w:p>
            <w:r>
              <w:rPr>
                <w:sz w:val="18"/>
              </w:rPr>
              <w:t>7.1%</w:t>
            </w:r>
          </w:p>
        </w:tc>
        <w:tc>
          <w:tcPr>
            <w:tcW w:type="dxa" w:w="2880"/>
          </w:tcPr>
          <w:p>
            <w:r>
              <w:rPr>
                <w:sz w:val="18"/>
              </w:rPr>
              <w:t>[PLACEHOLDER]</w:t>
            </w:r>
          </w:p>
        </w:tc>
      </w:tr>
      <w:tr>
        <w:tc>
          <w:tcPr>
            <w:tcW w:type="dxa" w:w="2880"/>
          </w:tcPr>
          <w:p>
            <w:r>
              <w:rPr>
                <w:sz w:val="18"/>
              </w:rPr>
              <w:t>Headache</w:t>
            </w:r>
          </w:p>
        </w:tc>
        <w:tc>
          <w:tcPr>
            <w:tcW w:type="dxa" w:w="2880"/>
          </w:tcPr>
          <w:p>
            <w:r>
              <w:rPr>
                <w:sz w:val="18"/>
              </w:rPr>
              <w:t>5.6%</w:t>
            </w:r>
          </w:p>
        </w:tc>
        <w:tc>
          <w:tcPr>
            <w:tcW w:type="dxa" w:w="2880"/>
          </w:tcPr>
          <w:p>
            <w:r>
              <w:rPr>
                <w:sz w:val="18"/>
              </w:rPr>
              <w:t>[PLACEHOLDER]</w:t>
            </w:r>
          </w:p>
        </w:tc>
      </w:tr>
    </w:tbl>
    <w:p/>
    <w:p>
      <w:pPr>
        <w:pStyle w:val="Heading2"/>
      </w:pPr>
      <w:r>
        <w:t>Key safety findings</w:t>
      </w:r>
    </w:p>
    <w:p>
      <w:r>
        <w:t>No meaningful increase in serious infections compared to placebo³ ⁴</w:t>
      </w:r>
    </w:p>
    <w:p>
      <w:r>
        <w:t>No increase in malignancies compared to placebo³ ⁴</w:t>
      </w:r>
    </w:p>
    <w:p>
      <w:r>
        <w:t>No increase in major cardiovascular events compared to placebo³ ⁴</w:t>
      </w:r>
    </w:p>
    <w:p>
      <w:r>
        <w:t>Conjunctivitis (IL-4/IL-13 class effect) was not observed at increased rates with NYVEX — consistent with selective IL-31Rα targeting¹</w:t>
      </w:r>
    </w:p>
    <w:p>
      <w:pPr>
        <w:pStyle w:val="Heading2"/>
      </w:pPr>
      <w:r>
        <w:t>Special populations</w:t>
      </w:r>
    </w:p>
    <w:p>
      <w:r>
        <w:t>[PLACEHOLDER — requires SmPC data for renal impairment, hepatic impairment, elderly, pregnancy/lactation]</w:t>
      </w:r>
    </w:p>
    <w:p>
      <w:pPr/>
      <w:r>
        <w:t>────────────────────────────────────────────────────────────</w:t>
      </w:r>
    </w:p>
    <w:p>
      <w:pPr>
        <w:pStyle w:val="Heading1"/>
      </w:pPr>
      <w:r>
        <w:t>5. Prescribing Information (abbreviated — for every page footer)</w:t>
      </w:r>
    </w:p>
    <w:p>
      <w:r>
        <w:t>NYVEX (nyvexabart) 180 mg solution for injection in a prefilled autoinjector. Please refer to the Summary of Product Characteristics (SmPC) before prescribing. Indication: Treatment of moderate-to-severe prurigo nodularis in adults whose disease is inadequately controlled with topical therapies. Dosage and administration: 360 mg (two 180 mg injections) loading dose at Week 0, then 180 mg subcutaneously once every 4 weeks. Intended for self-administration after appropriate training. Contraindications: [PLACEHOLDER]. Warnings and precautions: [PLACEHOLDER]. Interactions: [PLACEHOLDER]. Side effects: Common (≥1/100 to &lt;1/10): Injection site reactions, nasopharyngitis, headache. Legal category: POM. Pack and price: [PLACEHOLDER]. Marketing authorisation holder: AstraZeneca UK Ltd. MA number: [PLACEHOLDER — PLGB XXXXX/XXXX]. Full prescribing information available from: AstraZeneca UK Ltd, 2 Pancras Square, London N1C 4AG. [GB-XXXXX] | DOP: [Month Year]</w:t>
      </w:r>
    </w:p>
    <w:p>
      <w:pPr/>
      <w:r>
        <w:t>────────────────────────────────────────────────────────────</w:t>
      </w:r>
    </w:p>
    <w:p>
      <w:pPr>
        <w:pStyle w:val="Heading1"/>
      </w:pPr>
      <w:r>
        <w:t>6. Adverse Event Reporting (for every page footer)</w:t>
      </w:r>
    </w:p>
    <w:p>
      <w: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r>
        <w:t>────────────────────────────────────────────────────────────</w:t>
      </w:r>
    </w:p>
    <w:p>
      <w:pPr>
        <w:pStyle w:val="Heading1"/>
      </w:pPr>
      <w:r>
        <w:t>7. References (for every page footer)</w:t>
      </w:r>
    </w:p>
    <w:p>
      <w:r>
        <w:t>1.  [PLACEHOLDER — NYVEX SmPC. AstraZeneca UK Ltd. Date.]</w:t>
      </w:r>
    </w:p>
    <w:p>
      <w:r>
        <w:t>2.  [PLACEHOLDER — PN pathophysiology reference. Authors. Journal Year; Volume: Pages.]</w:t>
      </w:r>
    </w:p>
    <w:p>
      <w:r>
        <w:t>3.  [PLACEHOLDER — RESOLVE-1 publication. Authors. Journal Year; Volume: Pages.]</w:t>
      </w:r>
    </w:p>
    <w:p>
      <w:r>
        <w:t>4.  [PLACEHOLDER — RESOLVE-2 publication. Authors. Journal Year; Volume: Pages.]</w:t>
      </w:r>
    </w:p>
    <w:p>
      <w:r>
        <w:t>5.  [PLACEHOLDER — PN epidemiology reference, UK-specific data.]</w:t>
      </w:r>
    </w:p>
    <w:p>
      <w:r>
        <w:t>6.  [PLACEHOLDER — PN burden/QoL reference.]</w:t>
      </w:r>
    </w:p>
    <w:p>
      <w:pPr/>
      <w:r>
        <w:t>────────────────────────────────────────────────────────────</w:t>
      </w:r>
    </w:p>
    <w:p>
      <w:pPr>
        <w:pStyle w:val="Heading1"/>
      </w:pPr>
      <w:r>
        <w:t>8. Site Navigation</w:t>
      </w:r>
    </w:p>
    <w:p>
      <w:r>
        <w:t>Top bar links: Contact Us (https://www.astrazeneca.co.uk/contact-us.html) | AZ Employee Login (https://login.astrazeneca.com)</w:t>
      </w:r>
    </w:p>
    <w:p>
      <w:r>
        <w:t>Main navigation pages: Efficacy | Safety | Dosing &amp; Administration | Patient Support | Resources</w:t>
      </w:r>
    </w:p>
    <w:p>
      <w:r>
        <w:t>Utility: Search | Login</w:t>
      </w:r>
    </w:p>
    <w:p>
      <w:r>
        <w:br w:type="page"/>
      </w:r>
    </w:p>
    <w:p>
      <w:pPr>
        <w:pStyle w:val="Heading1"/>
      </w:pPr>
      <w:r>
        <w:t>9. Page Content</w:t>
      </w:r>
    </w:p>
    <w:p>
      <w:r>
        <w:t>Copy below is indicative and may be adapted for web presentation while preserving all clinical claims and data points verbatim.</w:t>
      </w:r>
    </w:p>
    <w:p>
      <w:r>
        <w:t>Each page must end with expandable sections for Prescribing Information, Adverse Event Reporting, and References (see sections 5, 6, and 7 above).</w:t>
      </w:r>
    </w:p>
    <w:p>
      <w:r>
        <w:t>NYVEX brand rule: NYVEX always appears in capitals, with ® on first mention per page. Generic name (nyvexabart) in lowercase parentheses on first mention.</w:t>
      </w:r>
    </w:p>
    <w:p>
      <w:pPr/>
      <w:r>
        <w:t>────────────────────────────────────────────────────────────</w:t>
      </w:r>
    </w:p>
    <w:p>
      <w:pPr>
        <w:pStyle w:val="Heading2"/>
      </w:pPr>
      <w:r>
        <w:t>PAGE 1: Home</w:t>
      </w:r>
    </w:p>
    <w:p>
      <w:r>
        <w:t>URL path: /nyvex/</w:t>
      </w:r>
    </w:p>
    <w:p>
      <w:pPr/>
      <w:r>
        <w:t>────────────────────────────────────────────────────────────</w:t>
      </w:r>
    </w:p>
    <w:p>
      <w:pPr>
        <w:pStyle w:val="Heading3"/>
      </w:pPr>
      <w:r>
        <w:t>Section 1 — Hero (full-width image with text overlay)</w:t>
      </w:r>
    </w:p>
    <w:p>
      <w:r>
        <w:t>Block: hero-teaser</w:t>
      </w:r>
    </w:p>
    <w:p/>
    <w:p>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806995"/>
                    </a:xfrm>
                    <a:prstGeom prst="rect"/>
                  </pic:spPr>
                </pic:pic>
              </a:graphicData>
            </a:graphic>
          </wp:inline>
        </w:drawing>
      </w:r>
    </w:p>
    <w:p>
      <w:pPr/>
      <w:r>
        <w:rPr>
          <w:color w:val="0056B3"/>
          <w:sz w:val="16"/>
        </w:rPr>
        <w:t>https://treluxia-images.pages.dev/hero-home.jpeg</w:t>
      </w:r>
    </w:p>
    <w:p>
      <w:r>
        <w:rPr>
          <w:color w:val="666666"/>
          <w:sz w:val="16"/>
        </w:rPr>
        <w:t>Usage: Home — hero</w:t>
      </w:r>
    </w:p>
    <w:p>
      <w:r>
        <w:t>Heading: NYVEX® (nyvexabart) — selective IL-31Rα blockade for moderate-to-severe prurigo nodularis</w:t>
      </w:r>
    </w:p>
    <w:p>
      <w:r>
        <w:t>Body text: NYVEX is indicated for the treatment of moderate-to-severe prurigo nodularis in adults whose disease is inadequately controlled with topical therapies.¹</w:t>
      </w:r>
    </w:p>
    <w:p>
      <w:r>
        <w:t>Call to action: See clinical data → /nyvex/efficacy</w:t>
      </w:r>
    </w:p>
    <w:p>
      <w:r>
        <w:t>Call to action: View Prescribing Information → /nyvex/resources</w:t>
      </w:r>
    </w:p>
    <w:p>
      <w:pPr/>
      <w:r>
        <w:t>────────────────────────────────────────────────────────────</w:t>
      </w:r>
    </w:p>
    <w:p>
      <w:pPr>
        <w:pStyle w:val="Heading3"/>
      </w:pPr>
      <w:r>
        <w:t>Section 2 — MoA teaser (two-column: image left, text right) | light background</w:t>
      </w:r>
    </w:p>
    <w:p>
      <w:r>
        <w:t>Block: columns-teaser</w:t>
      </w:r>
    </w:p>
    <w:p>
      <w:r>
        <w:t>Section metadata: Style: light</w:t>
      </w:r>
    </w:p>
    <w:p/>
    <w:p>
      <w:r>
        <w:drawing>
          <wp:inline xmlns:a="http://schemas.openxmlformats.org/drawingml/2006/main" xmlns:pic="http://schemas.openxmlformats.org/drawingml/2006/picture">
            <wp:extent cx="5029200" cy="37551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755136"/>
                    </a:xfrm>
                    <a:prstGeom prst="rect"/>
                  </pic:spPr>
                </pic:pic>
              </a:graphicData>
            </a:graphic>
          </wp:inline>
        </w:drawing>
      </w:r>
    </w:p>
    <w:p>
      <w:pPr/>
      <w:r>
        <w:rPr>
          <w:color w:val="0056B3"/>
          <w:sz w:val="16"/>
        </w:rPr>
        <w:t>https://lumivex-images.pages.dev/columns-moa.jpeg</w:t>
      </w:r>
    </w:p>
    <w:p>
      <w:r>
        <w:rPr>
          <w:color w:val="666666"/>
          <w:sz w:val="16"/>
        </w:rPr>
        <w:t>Usage: Home — MoA teaser</w:t>
      </w:r>
    </w:p>
    <w:p>
      <w:r>
        <w:t>Heading: Selectively interrupting the neuroimmune itch cycle</w:t>
      </w:r>
    </w:p>
    <w:p>
      <w:r>
        <w:t>Body text: NYVEX blocks IL-31Rα signalling — the key driver of chronic pruritus and nodule formation in PN. Unlike IL-4/IL-13 pathway inhibitors, NYVEX does not result in broad immunosuppression.¹</w:t>
      </w:r>
    </w:p>
    <w:p>
      <w:r>
        <w:t>Call to action: Explore mechanism of action → /nyvex/efficacy</w:t>
      </w:r>
    </w:p>
    <w:p>
      <w:pPr/>
      <w:r>
        <w:t>────────────────────────────────────────────────────────────</w:t>
      </w:r>
    </w:p>
    <w:p>
      <w:pPr>
        <w:pStyle w:val="Heading3"/>
      </w:pPr>
      <w:r>
        <w:t>Section 3 — Primary efficacy headline (centred text) | highlight background</w:t>
      </w:r>
    </w:p>
    <w:p>
      <w:r>
        <w:t>Block: introduction</w:t>
      </w:r>
    </w:p>
    <w:p>
      <w:r>
        <w:t>Section metadata: Style: highlight</w:t>
      </w:r>
    </w:p>
    <w:p>
      <w:r>
        <w:t>Heading: 58.3% of patients achieved clear or almost clear skin at Week 24</w:t>
      </w:r>
    </w:p>
    <w:p>
      <w:r>
        <w:t>Body text: IGA-PN 0/1 response rate with NYVEX versus 16.1% with placebo (p &lt; 0.0001) in the RESOLVE Phase III programme.³ ⁴</w:t>
      </w:r>
    </w:p>
    <w:p>
      <w:pPr/>
      <w:r>
        <w:t>────────────────────────────────────────────────────────────</w:t>
      </w:r>
    </w:p>
    <w:p>
      <w:pPr>
        <w:pStyle w:val="Heading3"/>
      </w:pPr>
      <w:r>
        <w:t>Section 4 — Key outcome cards (three equal columns)</w:t>
      </w:r>
    </w:p>
    <w:p>
      <w:r>
        <w:t>Block: cards-teaser</w:t>
      </w:r>
    </w:p>
    <w:p/>
    <w:p>
      <w:r>
        <w:drawing>
          <wp:inline xmlns:a="http://schemas.openxmlformats.org/drawingml/2006/main" xmlns:pic="http://schemas.openxmlformats.org/drawingml/2006/picture">
            <wp:extent cx="5029200" cy="37551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755136"/>
                    </a:xfrm>
                    <a:prstGeom prst="rect"/>
                  </pic:spPr>
                </pic:pic>
              </a:graphicData>
            </a:graphic>
          </wp:inline>
        </w:drawing>
      </w:r>
    </w:p>
    <w:p>
      <w:pPr/>
      <w:r>
        <w:rPr>
          <w:color w:val="0056B3"/>
          <w:sz w:val="16"/>
        </w:rPr>
        <w:t>https://vitessa-images.pages.dev/card-efficacy.jpeg</w:t>
      </w:r>
    </w:p>
    <w:p>
      <w:r>
        <w:rPr>
          <w:color w:val="666666"/>
          <w:sz w:val="16"/>
        </w:rPr>
        <w:t>Usage: Home — itch reduction card</w:t>
      </w:r>
    </w:p>
    <w:p>
      <w:r>
        <w:t>Card heading: Itch reduction from Week 2</w:t>
      </w:r>
    </w:p>
    <w:p>
      <w:r>
        <w:t>Card body: 67.4% of patients achieved a clinically meaningful reduction in worst itch (WI-NRS ≥4-point improvement) at Week 24.³ ⁴</w:t>
      </w:r>
    </w:p>
    <w:p>
      <w:r>
        <w:t>Card link: View efficacy data → /nyvex/efficacy</w:t>
      </w:r>
    </w:p>
    <w:p>
      <w:pPr/>
      <w:r>
        <w:t>────────────────────────────────────────────────────────────</w:t>
      </w:r>
    </w:p>
    <w:p>
      <w:r>
        <w:drawing>
          <wp:inline xmlns:a="http://schemas.openxmlformats.org/drawingml/2006/main" xmlns:pic="http://schemas.openxmlformats.org/drawingml/2006/picture">
            <wp:extent cx="5029200" cy="37551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755136"/>
                    </a:xfrm>
                    <a:prstGeom prst="rect"/>
                  </pic:spPr>
                </pic:pic>
              </a:graphicData>
            </a:graphic>
          </wp:inline>
        </w:drawing>
      </w:r>
    </w:p>
    <w:p>
      <w:pPr/>
      <w:r>
        <w:rPr>
          <w:color w:val="0056B3"/>
          <w:sz w:val="16"/>
        </w:rPr>
        <w:t>https://novapril-images.pages.dev/card-safety.jpeg</w:t>
      </w:r>
    </w:p>
    <w:p>
      <w:r>
        <w:rPr>
          <w:color w:val="666666"/>
          <w:sz w:val="16"/>
        </w:rPr>
        <w:t>Usage: Home — safety card</w:t>
      </w:r>
    </w:p>
    <w:p>
      <w:r>
        <w:t>Card heading: Safety consistent with mechanism</w:t>
      </w:r>
    </w:p>
    <w:p>
      <w:r>
        <w:t>Card body: No increase in serious infections, malignancies, or major cardiovascular events versus placebo. Conjunctivitis not observed.³ ⁴</w:t>
      </w:r>
    </w:p>
    <w:p>
      <w:r>
        <w:t>Card link: View safety profile → /nyvex/safety</w:t>
      </w:r>
    </w:p>
    <w:p>
      <w:pPr/>
      <w:r>
        <w:t>────────────────────────────────────────────────────────────</w:t>
      </w:r>
    </w:p>
    <w:p>
      <w:r>
        <w:drawing>
          <wp:inline xmlns:a="http://schemas.openxmlformats.org/drawingml/2006/main" xmlns:pic="http://schemas.openxmlformats.org/drawingml/2006/picture">
            <wp:extent cx="5029200" cy="37551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3755136"/>
                    </a:xfrm>
                    <a:prstGeom prst="rect"/>
                  </pic:spPr>
                </pic:pic>
              </a:graphicData>
            </a:graphic>
          </wp:inline>
        </w:drawing>
      </w:r>
    </w:p>
    <w:p>
      <w:pPr/>
      <w:r>
        <w:rPr>
          <w:color w:val="0056B3"/>
          <w:sz w:val="16"/>
        </w:rPr>
        <w:t>https://treluxia-images.pages.dev/card-clinical-data.jpeg</w:t>
      </w:r>
    </w:p>
    <w:p>
      <w:r>
        <w:rPr>
          <w:color w:val="666666"/>
          <w:sz w:val="16"/>
        </w:rPr>
        <w:t>Usage: Home — dosing card</w:t>
      </w:r>
    </w:p>
    <w:p>
      <w:r>
        <w:t>Card heading: Simple once-monthly dosing</w:t>
      </w:r>
    </w:p>
    <w:p>
      <w:r>
        <w:t>Card body: 180 mg subcutaneous injection once every 4 weeks via prefilled autoinjector, following a single loading dose.¹</w:t>
      </w:r>
    </w:p>
    <w:p>
      <w:r>
        <w:t>Card link: See dosing information → /nyvex/dosing</w:t>
      </w:r>
    </w:p>
    <w:p>
      <w:pPr/>
      <w:r>
        <w:t>────────────────────────────────────────────────────────────</w:t>
      </w:r>
    </w:p>
    <w:p>
      <w:pPr>
        <w:pStyle w:val="Heading3"/>
      </w:pPr>
      <w:r>
        <w:t>Section 5 — Prescribing information footer</w:t>
      </w:r>
    </w:p>
    <w:p>
      <w:r>
        <w:t>Block: accordion</w:t>
      </w:r>
    </w:p>
    <w:p>
      <w:r>
        <w:t>Expandable sections for: Prescribing Information | Adverse Event Reporting | References</w:t>
      </w:r>
    </w:p>
    <w:p/>
    <w:p>
      <w:r>
        <w:t>Page metadata</w:t>
      </w:r>
    </w:p>
    <w:p>
      <w:r>
        <w:t>Title: NYVEX (nyvexabart) | Prurigo Nodularis Treatment | AstraZeneca UK</w:t>
      </w:r>
    </w:p>
    <w:p>
      <w:r>
        <w:t>Description: NYVEX (nyvexabart) is a selective anti-IL-31Rα monoclonal antibody indicated for moderate-to-severe prurigo nodularis in adults. View efficacy data, safety, and prescribing information.</w:t>
      </w:r>
    </w:p>
    <w:p>
      <w:r>
        <w:br w:type="page"/>
      </w:r>
    </w:p>
    <w:p>
      <w:pPr>
        <w:pStyle w:val="Heading2"/>
      </w:pPr>
      <w:r>
        <w:t>PAGE 2: Efficacy</w:t>
      </w:r>
    </w:p>
    <w:p>
      <w:r>
        <w:t>URL path: /nyvex/efficacy</w:t>
      </w:r>
    </w:p>
    <w:p>
      <w:pPr/>
      <w:r>
        <w:t>────────────────────────────────────────────────────────────</w:t>
      </w:r>
    </w:p>
    <w:p>
      <w:pPr>
        <w:pStyle w:val="Heading3"/>
      </w:pPr>
      <w:r>
        <w:t>Section 1 — Page header (text only, no image)</w:t>
      </w:r>
    </w:p>
    <w:p>
      <w:r>
        <w:t>Block: title</w:t>
      </w:r>
    </w:p>
    <w:p>
      <w:r>
        <w:t>Heading: RESOLVE Phase III programme — clinical efficacy data</w:t>
      </w:r>
    </w:p>
    <w:p>
      <w:r>
        <w:t>Body text: Two randomised, double-blind, placebo-controlled 24-week trials in 612 adults with moderate-to-severe PN (IGA-PN ≥ 3, minimum 20 nodules)³ ⁴</w:t>
      </w:r>
    </w:p>
    <w:p>
      <w:pPr/>
      <w:r>
        <w:t>────────────────────────────────────────────────────────────</w:t>
      </w:r>
    </w:p>
    <w:p>
      <w:pPr>
        <w:pStyle w:val="Heading3"/>
      </w:pPr>
      <w:r>
        <w:t>Section 2 — Headline statistics carousel (4 slides) | light background</w:t>
      </w:r>
    </w:p>
    <w:p>
      <w:r>
        <w:t>Block: carousel-teaser</w:t>
      </w:r>
    </w:p>
    <w:p>
      <w:r>
        <w:t>Section metadata: Style: light</w:t>
      </w:r>
    </w:p>
    <w:p/>
    <w:p>
      <w:r>
        <w:drawing>
          <wp:inline xmlns:a="http://schemas.openxmlformats.org/drawingml/2006/main" xmlns:pic="http://schemas.openxmlformats.org/drawingml/2006/picture">
            <wp:extent cx="5029200" cy="37551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755136"/>
                    </a:xfrm>
                    <a:prstGeom prst="rect"/>
                  </pic:spPr>
                </pic:pic>
              </a:graphicData>
            </a:graphic>
          </wp:inline>
        </w:drawing>
      </w:r>
    </w:p>
    <w:p>
      <w:pPr/>
      <w:r>
        <w:rPr>
          <w:color w:val="0056B3"/>
          <w:sz w:val="16"/>
        </w:rPr>
        <w:t>https://treluxia-images.pages.dev/tab-luminos1.jpeg</w:t>
      </w:r>
    </w:p>
    <w:p>
      <w:r>
        <w:rPr>
          <w:color w:val="666666"/>
          <w:sz w:val="16"/>
        </w:rPr>
        <w:t>Usage: Efficacy — carousel slide 1</w:t>
      </w:r>
    </w:p>
    <w:p>
      <w:r>
        <w:t>Slide heading: 58.3% IGA-PN 0/1 at Week 24</w:t>
      </w:r>
    </w:p>
    <w:p>
      <w:r>
        <w:t>Slide body: Clear or almost clear skin versus 16.1% with placebo (p &lt; 0.0001). RESOLVE-1 and RESOLVE-2 pooled analysis.³ ⁴</w:t>
      </w:r>
    </w:p>
    <w:p>
      <w:pPr/>
      <w:r>
        <w:t>────────────────────────────────────────────────────────────</w:t>
      </w:r>
    </w:p>
    <w:p>
      <w:r>
        <w:drawing>
          <wp:inline xmlns:a="http://schemas.openxmlformats.org/drawingml/2006/main" xmlns:pic="http://schemas.openxmlformats.org/drawingml/2006/picture">
            <wp:extent cx="5029200" cy="37551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755136"/>
                    </a:xfrm>
                    <a:prstGeom prst="rect"/>
                  </pic:spPr>
                </pic:pic>
              </a:graphicData>
            </a:graphic>
          </wp:inline>
        </w:drawing>
      </w:r>
    </w:p>
    <w:p>
      <w:pPr/>
      <w:r>
        <w:rPr>
          <w:color w:val="0056B3"/>
          <w:sz w:val="16"/>
        </w:rPr>
        <w:t>https://lumivex-images.pages.dev/tab-luminance1.jpeg</w:t>
      </w:r>
    </w:p>
    <w:p>
      <w:r>
        <w:rPr>
          <w:color w:val="666666"/>
          <w:sz w:val="16"/>
        </w:rPr>
        <w:t>Usage: Efficacy — carousel slide 2</w:t>
      </w:r>
    </w:p>
    <w:p>
      <w:r>
        <w:t>Slide heading: 67.4% achieved meaningful itch relief</w:t>
      </w:r>
    </w:p>
    <w:p>
      <w:r>
        <w:t>Slide body: ≥4-point reduction in WI-NRS (worst itch) versus 20.8% with placebo at Week 24.³ ⁴</w:t>
      </w:r>
    </w:p>
    <w:p>
      <w:pPr/>
      <w:r>
        <w:t>────────────────────────────────────────────────────────────</w:t>
      </w:r>
    </w:p>
    <w:p>
      <w:r>
        <w:drawing>
          <wp:inline xmlns:a="http://schemas.openxmlformats.org/drawingml/2006/main" xmlns:pic="http://schemas.openxmlformats.org/drawingml/2006/picture">
            <wp:extent cx="5029200" cy="37551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3755136"/>
                    </a:xfrm>
                    <a:prstGeom prst="rect"/>
                  </pic:spPr>
                </pic:pic>
              </a:graphicData>
            </a:graphic>
          </wp:inline>
        </w:drawing>
      </w:r>
    </w:p>
    <w:p>
      <w:pPr/>
      <w:r>
        <w:rPr>
          <w:color w:val="0056B3"/>
          <w:sz w:val="16"/>
        </w:rPr>
        <w:t>https://zenturis-images.pages.dev/tab-zenith1.jpeg</w:t>
      </w:r>
    </w:p>
    <w:p>
      <w:r>
        <w:rPr>
          <w:color w:val="666666"/>
          <w:sz w:val="16"/>
        </w:rPr>
        <w:t>Usage: Efficacy — carousel slide 3</w:t>
      </w:r>
    </w:p>
    <w:p>
      <w:r>
        <w:t>Slide heading: 61.8% nodule reduction ≥75%</w:t>
      </w:r>
    </w:p>
    <w:p>
      <w:r>
        <w:t>Slide body: Reduction in active nodule count versus 18.4% with placebo at Week 24.³ ⁴</w:t>
      </w:r>
    </w:p>
    <w:p>
      <w:pPr/>
      <w:r>
        <w:t>────────────────────────────────────────────────────────────</w:t>
      </w:r>
    </w:p>
    <w:p>
      <w:r>
        <w:drawing>
          <wp:inline xmlns:a="http://schemas.openxmlformats.org/drawingml/2006/main" xmlns:pic="http://schemas.openxmlformats.org/drawingml/2006/picture">
            <wp:extent cx="5029200" cy="37551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3755136"/>
                    </a:xfrm>
                    <a:prstGeom prst="rect"/>
                  </pic:spPr>
                </pic:pic>
              </a:graphicData>
            </a:graphic>
          </wp:inline>
        </w:drawing>
      </w:r>
    </w:p>
    <w:p>
      <w:pPr/>
      <w:r>
        <w:rPr>
          <w:color w:val="0056B3"/>
          <w:sz w:val="16"/>
        </w:rPr>
        <w:t>https://lumivex-images.pages.dev/tab-luminance2.jpeg</w:t>
      </w:r>
    </w:p>
    <w:p>
      <w:r>
        <w:rPr>
          <w:color w:val="666666"/>
          <w:sz w:val="16"/>
        </w:rPr>
        <w:t>Usage: Efficacy — carousel slide 4</w:t>
      </w:r>
    </w:p>
    <w:p>
      <w:r>
        <w:t>Slide heading: Itch relief as early as Week 2</w:t>
      </w:r>
    </w:p>
    <w:p>
      <w:r>
        <w:t>Slide body: Meaningful WI-NRS reduction observed from Week 2, with statistically significant separation from placebo from Week 4 onward.³ ⁴</w:t>
      </w:r>
    </w:p>
    <w:p>
      <w:pPr/>
      <w:r>
        <w:t>────────────────────────────────────────────────────────────</w:t>
      </w:r>
    </w:p>
    <w:p>
      <w:pPr>
        <w:pStyle w:val="Heading3"/>
      </w:pPr>
      <w:r>
        <w:t>Section 3 — Primary endpoint detail (two-column)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755136"/>
                    </a:xfrm>
                    <a:prstGeom prst="rect"/>
                  </pic:spPr>
                </pic:pic>
              </a:graphicData>
            </a:graphic>
          </wp:inline>
        </w:drawing>
      </w:r>
    </w:p>
    <w:p>
      <w:pPr/>
      <w:r>
        <w:rPr>
          <w:color w:val="0056B3"/>
          <w:sz w:val="16"/>
        </w:rPr>
        <w:t>https://eluvion-images.pages.dev/trial1-results.jpeg</w:t>
      </w:r>
    </w:p>
    <w:p>
      <w:r>
        <w:rPr>
          <w:color w:val="666666"/>
          <w:sz w:val="16"/>
        </w:rPr>
        <w:t>Usage: Efficacy — primary endpoint</w:t>
      </w:r>
    </w:p>
    <w:p>
      <w:r>
        <w:t>Heading: Primary endpoint — IGA-PN 0/1 at Week 24</w:t>
      </w:r>
    </w:p>
    <w:p>
      <w:r>
        <w:t>Body text: 58.3% of patients treated with NYVEX achieved an IGA-PN score of 0 (clear) or 1 (almost clear) at Week 24, compared with 16.1% of patients receiving placebo (p &lt; 0.0001). RESOLVE-1 and RESOLVE-2 were two independent Phase III trials with consistent results across both studies.³ ⁴</w:t>
      </w:r>
    </w:p>
    <w:p>
      <w:pPr/>
      <w:r>
        <w:t>────────────────────────────────────────────────────────────</w:t>
      </w:r>
    </w:p>
    <w:p>
      <w:pPr>
        <w:pStyle w:val="Heading3"/>
      </w:pPr>
      <w:r>
        <w:t>Section 4 — Full results table | light background</w:t>
      </w:r>
    </w:p>
    <w:p>
      <w:r>
        <w:t>Block: table-data</w:t>
      </w:r>
    </w:p>
    <w:p>
      <w:r>
        <w:t>Section metadata: Style: light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Endpoint (Week 24)</w:t>
            </w:r>
          </w:p>
        </w:tc>
        <w:tc>
          <w:tcPr>
            <w:tcW w:type="dxa" w:w="2880"/>
          </w:tcPr>
          <w:p>
            <w:r>
              <w:rPr>
                <w:b/>
                <w:sz w:val="18"/>
              </w:rPr>
              <w:t>NYVEX</w:t>
            </w:r>
          </w:p>
        </w:tc>
        <w:tc>
          <w:tcPr>
            <w:tcW w:type="dxa" w:w="2880"/>
          </w:tcPr>
          <w:p>
            <w:r>
              <w:rPr>
                <w:b/>
                <w:sz w:val="18"/>
              </w:rPr>
              <w:t>Placebo</w:t>
            </w:r>
          </w:p>
        </w:tc>
      </w:tr>
      <w:tr>
        <w:tc>
          <w:tcPr>
            <w:tcW w:type="dxa" w:w="2880"/>
          </w:tcPr>
          <w:p>
            <w:r>
              <w:rPr>
                <w:sz w:val="18"/>
              </w:rPr>
              <w:t>IGA-PN 0/1 (clear or almost clear)</w:t>
            </w:r>
          </w:p>
        </w:tc>
        <w:tc>
          <w:tcPr>
            <w:tcW w:type="dxa" w:w="2880"/>
          </w:tcPr>
          <w:p>
            <w:r>
              <w:rPr>
                <w:sz w:val="18"/>
              </w:rPr>
              <w:t>58.3%</w:t>
            </w:r>
          </w:p>
        </w:tc>
        <w:tc>
          <w:tcPr>
            <w:tcW w:type="dxa" w:w="2880"/>
          </w:tcPr>
          <w:p>
            <w:r>
              <w:rPr>
                <w:sz w:val="18"/>
              </w:rPr>
              <w:t>16.1% (p &lt; 0.0001)</w:t>
            </w:r>
          </w:p>
        </w:tc>
      </w:tr>
      <w:tr>
        <w:tc>
          <w:tcPr>
            <w:tcW w:type="dxa" w:w="2880"/>
          </w:tcPr>
          <w:p>
            <w:r>
              <w:rPr>
                <w:sz w:val="18"/>
              </w:rPr>
              <w:t>≥4-point reduction in WI-NRS (worst itch)</w:t>
            </w:r>
          </w:p>
        </w:tc>
        <w:tc>
          <w:tcPr>
            <w:tcW w:type="dxa" w:w="2880"/>
          </w:tcPr>
          <w:p>
            <w:r>
              <w:rPr>
                <w:sz w:val="18"/>
              </w:rPr>
              <w:t>67.4%</w:t>
            </w:r>
          </w:p>
        </w:tc>
        <w:tc>
          <w:tcPr>
            <w:tcW w:type="dxa" w:w="2880"/>
          </w:tcPr>
          <w:p>
            <w:r>
              <w:rPr>
                <w:sz w:val="18"/>
              </w:rPr>
              <w:t>20.8%</w:t>
            </w:r>
          </w:p>
        </w:tc>
      </w:tr>
      <w:tr>
        <w:tc>
          <w:tcPr>
            <w:tcW w:type="dxa" w:w="2880"/>
          </w:tcPr>
          <w:p>
            <w:r>
              <w:rPr>
                <w:sz w:val="18"/>
              </w:rPr>
              <w:t>DLQI 0/1 (no impact on quality of life)</w:t>
            </w:r>
          </w:p>
        </w:tc>
        <w:tc>
          <w:tcPr>
            <w:tcW w:type="dxa" w:w="2880"/>
          </w:tcPr>
          <w:p>
            <w:r>
              <w:rPr>
                <w:sz w:val="18"/>
              </w:rPr>
              <w:t>44.1%</w:t>
            </w:r>
          </w:p>
        </w:tc>
        <w:tc>
          <w:tcPr>
            <w:tcW w:type="dxa" w:w="2880"/>
          </w:tcPr>
          <w:p>
            <w:r>
              <w:rPr>
                <w:sz w:val="18"/>
              </w:rPr>
              <w:t>11.3%</w:t>
            </w:r>
          </w:p>
        </w:tc>
      </w:tr>
      <w:tr>
        <w:tc>
          <w:tcPr>
            <w:tcW w:type="dxa" w:w="2880"/>
          </w:tcPr>
          <w:p>
            <w:r>
              <w:rPr>
                <w:sz w:val="18"/>
              </w:rPr>
              <w:t>Reduction in active nodule count ≥75%</w:t>
            </w:r>
          </w:p>
        </w:tc>
        <w:tc>
          <w:tcPr>
            <w:tcW w:type="dxa" w:w="2880"/>
          </w:tcPr>
          <w:p>
            <w:r>
              <w:rPr>
                <w:sz w:val="18"/>
              </w:rPr>
              <w:t>61.8%</w:t>
            </w:r>
          </w:p>
        </w:tc>
        <w:tc>
          <w:tcPr>
            <w:tcW w:type="dxa" w:w="2880"/>
          </w:tcPr>
          <w:p>
            <w:r>
              <w:rPr>
                <w:sz w:val="18"/>
              </w:rPr>
              <w:t>18.4%</w:t>
            </w:r>
          </w:p>
        </w:tc>
      </w:tr>
      <w:tr>
        <w:tc>
          <w:tcPr>
            <w:tcW w:type="dxa" w:w="2880"/>
          </w:tcPr>
          <w:p>
            <w:r>
              <w:rPr>
                <w:sz w:val="18"/>
              </w:rPr>
              <w:t>Sleep disturbance NRS improvement ≥3 pts</w:t>
            </w:r>
          </w:p>
        </w:tc>
        <w:tc>
          <w:tcPr>
            <w:tcW w:type="dxa" w:w="2880"/>
          </w:tcPr>
          <w:p>
            <w:r>
              <w:rPr>
                <w:sz w:val="18"/>
              </w:rPr>
              <w:t>55.2%</w:t>
            </w:r>
          </w:p>
        </w:tc>
        <w:tc>
          <w:tcPr>
            <w:tcW w:type="dxa" w:w="2880"/>
          </w:tcPr>
          <w:p>
            <w:r>
              <w:rPr>
                <w:sz w:val="18"/>
              </w:rPr>
              <w:t>17.9%</w:t>
            </w:r>
          </w:p>
        </w:tc>
      </w:tr>
    </w:tbl>
    <w:p/>
    <w:p>
      <w:r>
        <w:t>[Note: Full results table with confidence intervals requires medical review]</w:t>
      </w:r>
    </w:p>
    <w:p>
      <w:pPr/>
      <w:r>
        <w:t>────────────────────────────────────────────────────────────</w:t>
      </w:r>
    </w:p>
    <w:p>
      <w:pPr>
        <w:pStyle w:val="Heading3"/>
      </w:pPr>
      <w:r>
        <w:t>Section 5 — Quality of life outcomes (two-column)</w:t>
      </w:r>
    </w:p>
    <w:p>
      <w:r>
        <w:t>Block: columns-teaser</w:t>
      </w:r>
    </w:p>
    <w:p/>
    <w:p>
      <w:r>
        <w:drawing>
          <wp:inline xmlns:a="http://schemas.openxmlformats.org/drawingml/2006/main" xmlns:pic="http://schemas.openxmlformats.org/drawingml/2006/picture">
            <wp:extent cx="5029200" cy="37551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755136"/>
                    </a:xfrm>
                    <a:prstGeom prst="rect"/>
                  </pic:spPr>
                </pic:pic>
              </a:graphicData>
            </a:graphic>
          </wp:inline>
        </w:drawing>
      </w:r>
    </w:p>
    <w:p>
      <w:pPr/>
      <w:r>
        <w:rPr>
          <w:color w:val="0056B3"/>
          <w:sz w:val="16"/>
        </w:rPr>
        <w:t>https://vitessa-images.pages.dev/contact-support.jpeg</w:t>
      </w:r>
    </w:p>
    <w:p>
      <w:r>
        <w:rPr>
          <w:color w:val="666666"/>
          <w:sz w:val="16"/>
        </w:rPr>
        <w:t>Usage: Efficacy — QoL section</w:t>
      </w:r>
    </w:p>
    <w:p>
      <w:r>
        <w:t>Heading: Impact on quality of life and sleep</w:t>
      </w:r>
    </w:p>
    <w:p>
      <w:r>
        <w:t>Body text: 44.1% of patients achieved DLQI 0/1 (no impact on quality of life) at Week 24 versus 11.3% with placebo. Sleep disturbance also improved, with 55.2% achieving ≥3-point improvement on the sleep NRS versus 17.9% with placebo.³ ⁴</w:t>
      </w:r>
    </w:p>
    <w:p>
      <w:r>
        <w:t>Call to action: View safety profile → /nyvex/safety</w:t>
      </w:r>
    </w:p>
    <w:p>
      <w:pPr/>
      <w:r>
        <w:t>────────────────────────────────────────────────────────────</w:t>
      </w:r>
    </w:p>
    <w:p>
      <w:pPr>
        <w:pStyle w:val="Heading3"/>
      </w:pPr>
      <w:r>
        <w:t>Section 6 — Prescribing information footer</w:t>
      </w:r>
    </w:p>
    <w:p>
      <w:r>
        <w:t>Block: accordion  |  Expandable: PI | AE Reporting | References</w:t>
      </w:r>
    </w:p>
    <w:p/>
    <w:p>
      <w:r>
        <w:t>Page metadata</w:t>
      </w:r>
    </w:p>
    <w:p>
      <w:r>
        <w:t>Title: Efficacy Data | NYVEX (nyvexabart) | RESOLVE Phase III | AstraZeneca UK</w:t>
      </w:r>
    </w:p>
    <w:p>
      <w:r>
        <w:t>Description: RESOLVE Phase III clinical data for NYVEX (nyvexabart) in moderate-to-severe prurigo nodularis. 58.3% achieved clear or almost clear skin at Week 24 vs 16.1% placebo.</w:t>
      </w:r>
    </w:p>
    <w:p>
      <w:r>
        <w:br w:type="page"/>
      </w:r>
    </w:p>
    <w:p>
      <w:pPr>
        <w:pStyle w:val="Heading2"/>
      </w:pPr>
      <w:r>
        <w:t>PAGE 3: Safety</w:t>
      </w:r>
    </w:p>
    <w:p>
      <w:r>
        <w:t>URL path: /nyvex/safety</w:t>
      </w:r>
    </w:p>
    <w:p>
      <w:pPr/>
      <w:r>
        <w:t>────────────────────────────────────────────────────────────</w:t>
      </w:r>
    </w:p>
    <w:p>
      <w:pPr>
        <w:pStyle w:val="Heading3"/>
      </w:pPr>
      <w:r>
        <w:t>Section 1 — Page header (text only)</w:t>
      </w:r>
    </w:p>
    <w:p>
      <w:r>
        <w:t>Block: title</w:t>
      </w:r>
    </w:p>
    <w:p>
      <w:r>
        <w:t>Heading: Safety profile of NYVEX® (nyvexabart)</w:t>
      </w:r>
    </w:p>
    <w:p>
      <w:r>
        <w:t>Body text: Evaluated across the RESOLVE Phase III programme in 612 adults with moderate-to-severe prurigo nodularis³ ⁴</w:t>
      </w:r>
    </w:p>
    <w:p>
      <w:pPr/>
      <w:r>
        <w:t>────────────────────────────────────────────────────────────</w:t>
      </w:r>
    </w:p>
    <w:p>
      <w:pPr>
        <w:pStyle w:val="Heading3"/>
      </w:pPr>
      <w:r>
        <w:t>Section 2 — Safety summary (centred text) | light background</w:t>
      </w:r>
    </w:p>
    <w:p>
      <w:r>
        <w:t>Block: introduction</w:t>
      </w:r>
    </w:p>
    <w:p>
      <w:r>
        <w:t>Section metadata: Style: light</w:t>
      </w:r>
    </w:p>
    <w:p>
      <w:r>
        <w:t>Heading: Safety profile consistent with the mechanism of action</w:t>
      </w:r>
    </w:p>
    <w:p>
      <w:r>
        <w:t>Body text: The overall safety profile of NYVEX was consistent with selective IL-31Rα blockade. No broad immunosuppressive effects were observed.³ ⁴</w:t>
      </w:r>
    </w:p>
    <w:p>
      <w:pPr/>
      <w:r>
        <w:t>────────────────────────────────────────────────────────────</w:t>
      </w:r>
    </w:p>
    <w:p>
      <w:pPr>
        <w:pStyle w:val="Heading3"/>
      </w:pPr>
      <w:r>
        <w:t>Section 3 — Common adverse events table | highlight background</w:t>
      </w:r>
    </w:p>
    <w:p>
      <w:r>
        <w:t>Block: table-data</w:t>
      </w:r>
    </w:p>
    <w:p>
      <w:r>
        <w:t>Section metadata: Style: highlight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Adverse event (≥5% in NYVEX arm)</w:t>
            </w:r>
          </w:p>
        </w:tc>
        <w:tc>
          <w:tcPr>
            <w:tcW w:type="dxa" w:w="2880"/>
          </w:tcPr>
          <w:p>
            <w:r>
              <w:rPr>
                <w:b/>
                <w:sz w:val="18"/>
              </w:rPr>
              <w:t>NYVEX</w:t>
            </w:r>
          </w:p>
        </w:tc>
        <w:tc>
          <w:tcPr>
            <w:tcW w:type="dxa" w:w="2880"/>
          </w:tcPr>
          <w:p>
            <w:r>
              <w:rPr>
                <w:b/>
                <w:sz w:val="18"/>
              </w:rPr>
              <w:t>Placebo</w:t>
            </w:r>
          </w:p>
        </w:tc>
      </w:tr>
      <w:tr>
        <w:tc>
          <w:tcPr>
            <w:tcW w:type="dxa" w:w="2880"/>
          </w:tcPr>
          <w:p>
            <w:r>
              <w:rPr>
                <w:sz w:val="18"/>
              </w:rPr>
              <w:t>Injection site reactions</w:t>
            </w:r>
          </w:p>
        </w:tc>
        <w:tc>
          <w:tcPr>
            <w:tcW w:type="dxa" w:w="2880"/>
          </w:tcPr>
          <w:p>
            <w:r>
              <w:rPr>
                <w:sz w:val="18"/>
              </w:rPr>
              <w:t>8.4%</w:t>
            </w:r>
          </w:p>
        </w:tc>
        <w:tc>
          <w:tcPr>
            <w:tcW w:type="dxa" w:w="2880"/>
          </w:tcPr>
          <w:p>
            <w:r>
              <w:rPr>
                <w:sz w:val="18"/>
              </w:rPr>
              <w:t>[PLACEHOLDER]</w:t>
            </w:r>
          </w:p>
        </w:tc>
      </w:tr>
      <w:tr>
        <w:tc>
          <w:tcPr>
            <w:tcW w:type="dxa" w:w="2880"/>
          </w:tcPr>
          <w:p>
            <w:r>
              <w:rPr>
                <w:sz w:val="18"/>
              </w:rPr>
              <w:t>Nasopharyngitis</w:t>
            </w:r>
          </w:p>
        </w:tc>
        <w:tc>
          <w:tcPr>
            <w:tcW w:type="dxa" w:w="2880"/>
          </w:tcPr>
          <w:p>
            <w:r>
              <w:rPr>
                <w:sz w:val="18"/>
              </w:rPr>
              <w:t>7.1%</w:t>
            </w:r>
          </w:p>
        </w:tc>
        <w:tc>
          <w:tcPr>
            <w:tcW w:type="dxa" w:w="2880"/>
          </w:tcPr>
          <w:p>
            <w:r>
              <w:rPr>
                <w:sz w:val="18"/>
              </w:rPr>
              <w:t>[PLACEHOLDER]</w:t>
            </w:r>
          </w:p>
        </w:tc>
      </w:tr>
      <w:tr>
        <w:tc>
          <w:tcPr>
            <w:tcW w:type="dxa" w:w="2880"/>
          </w:tcPr>
          <w:p>
            <w:r>
              <w:rPr>
                <w:sz w:val="18"/>
              </w:rPr>
              <w:t>Headache</w:t>
            </w:r>
          </w:p>
        </w:tc>
        <w:tc>
          <w:tcPr>
            <w:tcW w:type="dxa" w:w="2880"/>
          </w:tcPr>
          <w:p>
            <w:r>
              <w:rPr>
                <w:sz w:val="18"/>
              </w:rPr>
              <w:t>5.6%</w:t>
            </w:r>
          </w:p>
        </w:tc>
        <w:tc>
          <w:tcPr>
            <w:tcW w:type="dxa" w:w="2880"/>
          </w:tcPr>
          <w:p>
            <w:r>
              <w:rPr>
                <w:sz w:val="18"/>
              </w:rPr>
              <w:t>[PLACEHOLDER]</w:t>
            </w:r>
          </w:p>
        </w:tc>
      </w:tr>
    </w:tbl>
    <w:p/>
    <w:p>
      <w:pPr/>
      <w:r>
        <w:t>────────────────────────────────────────────────────────────</w:t>
      </w:r>
    </w:p>
    <w:p>
      <w:pPr>
        <w:pStyle w:val="Heading3"/>
      </w:pPr>
      <w:r>
        <w:t>Section 4 — Key safety findings (three equal columns) | light background</w:t>
      </w:r>
    </w:p>
    <w:p>
      <w:r>
        <w:t>Block: cards-teaser</w:t>
      </w:r>
    </w:p>
    <w:p>
      <w:r>
        <w:t>Section metadata: Style: light</w:t>
      </w:r>
    </w:p>
    <w:p/>
    <w:p>
      <w:r>
        <w:drawing>
          <wp:inline xmlns:a="http://schemas.openxmlformats.org/drawingml/2006/main" xmlns:pic="http://schemas.openxmlformats.org/drawingml/2006/picture">
            <wp:extent cx="5029200" cy="37551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755136"/>
                    </a:xfrm>
                    <a:prstGeom prst="rect"/>
                  </pic:spPr>
                </pic:pic>
              </a:graphicData>
            </a:graphic>
          </wp:inline>
        </w:drawing>
      </w:r>
    </w:p>
    <w:p>
      <w:pPr/>
      <w:r>
        <w:rPr>
          <w:color w:val="0056B3"/>
          <w:sz w:val="16"/>
        </w:rPr>
        <w:t>https://vitessa-images.pages.dev/safety-injection.jpeg</w:t>
      </w:r>
    </w:p>
    <w:p>
      <w:r>
        <w:rPr>
          <w:color w:val="666666"/>
          <w:sz w:val="16"/>
        </w:rPr>
        <w:t>Usage: Safety — ISR card</w:t>
      </w:r>
    </w:p>
    <w:p>
      <w:r>
        <w:t>Card heading: Injection site reactions</w:t>
      </w:r>
    </w:p>
    <w:p>
      <w:r>
        <w:t>Card body: The most commonly reported adverse event (8.4%). Injection site reactions were generally mild and did not lead to treatment discontinuation.³ ⁴</w:t>
      </w:r>
    </w:p>
    <w:p>
      <w:pPr/>
      <w:r>
        <w:t>────────────────────────────────────────────────────────────</w:t>
      </w:r>
    </w:p>
    <w:p>
      <w:r>
        <w:drawing>
          <wp:inline xmlns:a="http://schemas.openxmlformats.org/drawingml/2006/main" xmlns:pic="http://schemas.openxmlformats.org/drawingml/2006/picture">
            <wp:extent cx="5029200" cy="37551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755136"/>
                    </a:xfrm>
                    <a:prstGeom prst="rect"/>
                  </pic:spPr>
                </pic:pic>
              </a:graphicData>
            </a:graphic>
          </wp:inline>
        </w:drawing>
      </w:r>
    </w:p>
    <w:p>
      <w:pPr/>
      <w:r>
        <w:rPr>
          <w:color w:val="0056B3"/>
          <w:sz w:val="16"/>
        </w:rPr>
        <w:t>https://novapril-images.pages.dev/safety-monitoring.jpeg</w:t>
      </w:r>
    </w:p>
    <w:p>
      <w:r>
        <w:rPr>
          <w:color w:val="666666"/>
          <w:sz w:val="16"/>
        </w:rPr>
        <w:t>Usage: Safety — infections card</w:t>
      </w:r>
    </w:p>
    <w:p>
      <w:r>
        <w:t>Card heading: No increase in serious infections</w:t>
      </w:r>
    </w:p>
    <w:p>
      <w:r>
        <w:t>Card body: No meaningful increase in serious infections, malignancies, or major cardiovascular events was observed compared to placebo.³ ⁴</w:t>
      </w:r>
    </w:p>
    <w:p>
      <w:pPr/>
      <w:r>
        <w:t>────────────────────────────────────────────────────────────</w:t>
      </w:r>
    </w:p>
    <w:p>
      <w:r>
        <w:drawing>
          <wp:inline xmlns:a="http://schemas.openxmlformats.org/drawingml/2006/main" xmlns:pic="http://schemas.openxmlformats.org/drawingml/2006/picture">
            <wp:extent cx="5029200" cy="37551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755136"/>
                    </a:xfrm>
                    <a:prstGeom prst="rect"/>
                  </pic:spPr>
                </pic:pic>
              </a:graphicData>
            </a:graphic>
          </wp:inline>
        </w:drawing>
      </w:r>
    </w:p>
    <w:p>
      <w:pPr/>
      <w:r>
        <w:rPr>
          <w:color w:val="0056B3"/>
          <w:sz w:val="16"/>
        </w:rPr>
        <w:t>https://lumivex-images.pages.dev/card-selectivity.jpeg</w:t>
      </w:r>
    </w:p>
    <w:p>
      <w:r>
        <w:rPr>
          <w:color w:val="666666"/>
          <w:sz w:val="16"/>
        </w:rPr>
        <w:t>Usage: Safety — selectivity card</w:t>
      </w:r>
    </w:p>
    <w:p>
      <w:r>
        <w:t>Card heading: Selective IL-31Rα targeting</w:t>
      </w:r>
    </w:p>
    <w:p>
      <w:r>
        <w:t>Card body: Conjunctivitis, a class effect of IL-4/IL-13 pathway inhibitors, was not observed at increased rates — consistent with NYVEX's selective mechanism.¹</w:t>
      </w:r>
    </w:p>
    <w:p>
      <w:pPr/>
      <w:r>
        <w:t>────────────────────────────────────────────────────────────</w:t>
      </w:r>
    </w:p>
    <w:p>
      <w:pPr>
        <w:pStyle w:val="Heading3"/>
      </w:pPr>
      <w:r>
        <w:t>Section 5 — Prescribing information footer</w:t>
      </w:r>
    </w:p>
    <w:p>
      <w:r>
        <w:t>Block: accordion  |  Expandable: PI | AE Reporting | References</w:t>
      </w:r>
    </w:p>
    <w:p/>
    <w:p>
      <w:r>
        <w:t>Page metadata</w:t>
      </w:r>
    </w:p>
    <w:p>
      <w:r>
        <w:t>Title: Safety Profile | NYVEX (nyvexabart) | AstraZeneca UK</w:t>
      </w:r>
    </w:p>
    <w:p>
      <w:r>
        <w:t>Description: Safety data for NYVEX (nyvexabart) from the RESOLVE Phase III programme. Most common adverse events were injection site reactions, nasopharyngitis, and headache.</w:t>
      </w:r>
    </w:p>
    <w:p>
      <w:r>
        <w:br w:type="page"/>
      </w:r>
    </w:p>
    <w:p>
      <w:pPr>
        <w:pStyle w:val="Heading2"/>
      </w:pPr>
      <w:r>
        <w:t>PAGE 4: Dosing &amp; Administration</w:t>
      </w:r>
    </w:p>
    <w:p>
      <w:r>
        <w:t>URL path: /nyvex/dosing</w:t>
      </w:r>
    </w:p>
    <w:p>
      <w:pPr/>
      <w:r>
        <w:t>────────────────────────────────────────────────────────────</w:t>
      </w:r>
    </w:p>
    <w:p>
      <w:pPr>
        <w:pStyle w:val="Heading3"/>
      </w:pPr>
      <w:r>
        <w:t>Section 1 — Page header (text only)</w:t>
      </w:r>
    </w:p>
    <w:p>
      <w:r>
        <w:t>Block: title</w:t>
      </w:r>
    </w:p>
    <w:p>
      <w:r>
        <w:t>Heading: Dosing and administration of NYVEX® (nyvexabart)</w:t>
      </w:r>
    </w:p>
    <w:p>
      <w:r>
        <w:t>Body text: Simple once-monthly subcutaneous injection via prefilled autoinjector¹</w:t>
      </w:r>
    </w:p>
    <w:p>
      <w:pPr/>
      <w:r>
        <w:t>────────────────────────────────────────────────────────────</w:t>
      </w:r>
    </w:p>
    <w:p>
      <w:pPr>
        <w:pStyle w:val="Heading3"/>
      </w:pPr>
      <w:r>
        <w:t>Section 2 — Dosing regimen (two-column)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755136"/>
                    </a:xfrm>
                    <a:prstGeom prst="rect"/>
                  </pic:spPr>
                </pic:pic>
              </a:graphicData>
            </a:graphic>
          </wp:inline>
        </w:drawing>
      </w:r>
    </w:p>
    <w:p>
      <w:pPr/>
      <w:r>
        <w:rPr>
          <w:color w:val="0056B3"/>
          <w:sz w:val="16"/>
        </w:rPr>
        <w:t>https://treluxia-images.pages.dev/columns-dosing.jpeg</w:t>
      </w:r>
    </w:p>
    <w:p>
      <w:r>
        <w:rPr>
          <w:color w:val="666666"/>
          <w:sz w:val="16"/>
        </w:rPr>
        <w:t>Usage: Dosing — schedule</w:t>
      </w:r>
    </w:p>
    <w:p>
      <w:r>
        <w:t>Heading: Dosing schedule</w:t>
      </w:r>
    </w:p>
    <w:p>
      <w:r>
        <w:t>Body text: Loading dose (Week 0): 360 mg administered as two consecutive 180 mg subcutaneous injections. Maintenance dose: 180 mg subcutaneously once every 4 weeks, starting from Week 4. NYVEX is supplied as a prefilled autoinjector intended for self-administration after appropriate training.¹</w:t>
      </w:r>
    </w:p>
    <w:p>
      <w:pPr/>
      <w:r>
        <w:t>────────────────────────────────────────────────────────────</w:t>
      </w:r>
    </w:p>
    <w:p>
      <w:pPr>
        <w:pStyle w:val="Heading3"/>
      </w:pPr>
      <w:r>
        <w:t>Section 3 — Administration details (expandable sections) | light background</w:t>
      </w:r>
    </w:p>
    <w:p>
      <w:r>
        <w:t>Block: accordion</w:t>
      </w:r>
    </w:p>
    <w:p>
      <w:r>
        <w:t>Section metadata: Style: light</w:t>
      </w:r>
    </w:p>
    <w:p/>
    <w:p>
      <w:r>
        <w:t>Panel 1: "Injection site guidance"</w:t>
      </w:r>
    </w:p>
    <w:p>
      <w:r>
        <w:t>Body text: NYVEX should be injected subcutaneously into the thigh, abdomen (avoiding the 5 cm area around the navel), or upper arm (if administered by a caregiver). Injection sites should be rotated with each dose. Do not inject into areas where the skin is tender, bruised, red, or hard.¹</w:t>
      </w:r>
    </w:p>
    <w:p/>
    <w:p>
      <w:r>
        <w:t>Panel 2: "Storage conditions"</w:t>
      </w:r>
    </w:p>
    <w:p>
      <w:r>
        <w:t>Body text: Store in a refrigerator (2–8°C). Do not freeze. Keep in the outer carton to protect from light. Prior to use, NYVEX may be kept at room temperature (up to 25°C) for a maximum of 14 days. [PLACEHOLDER — confirm storage details from SmPC]</w:t>
      </w:r>
    </w:p>
    <w:p/>
    <w:p>
      <w:r>
        <w:t>Panel 3: "Preparation steps"</w:t>
      </w:r>
    </w:p>
    <w:p>
      <w:r>
        <w:t>Body text: Remove the autoinjector from the refrigerator and allow to reach room temperature for approximately 30 minutes before use. Do not warm by any other means. Inspect visually — the solution should be clear to slightly opalescent, colourless to pale yellow. Do not use if the solution is cloudy, discoloured, or contains particles. [PLACEHOLDER — confirm from IFU]</w:t>
      </w:r>
    </w:p>
    <w:p/>
    <w:p>
      <w:r>
        <w:t>Panel 4: "Missed dose guidance"</w:t>
      </w:r>
    </w:p>
    <w:p>
      <w:r>
        <w:t>Body text: If a dose is missed, administer as soon as possible. Then resume dosing at the regular scheduled time. [PLACEHOLDER — confirm missed dose window from SmPC]</w:t>
      </w:r>
    </w:p>
    <w:p>
      <w:pPr/>
      <w:r>
        <w:t>────────────────────────────────────────────────────────────</w:t>
      </w:r>
    </w:p>
    <w:p>
      <w:pPr>
        <w:pStyle w:val="Heading3"/>
      </w:pPr>
      <w:r>
        <w:t>Section 4 — Patient training (two-column)</w:t>
      </w:r>
    </w:p>
    <w:p>
      <w:r>
        <w:t>Block: columns-teaser</w:t>
      </w:r>
    </w:p>
    <w:p/>
    <w:p>
      <w:r>
        <w:drawing>
          <wp:inline xmlns:a="http://schemas.openxmlformats.org/drawingml/2006/main" xmlns:pic="http://schemas.openxmlformats.org/drawingml/2006/picture">
            <wp:extent cx="5029200" cy="37551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3755136"/>
                    </a:xfrm>
                    <a:prstGeom prst="rect"/>
                  </pic:spPr>
                </pic:pic>
              </a:graphicData>
            </a:graphic>
          </wp:inline>
        </w:drawing>
      </w:r>
    </w:p>
    <w:p>
      <w:pPr/>
      <w:r>
        <w:rPr>
          <w:color w:val="0056B3"/>
          <w:sz w:val="16"/>
        </w:rPr>
        <w:t>https://vitessa-images.pages.dev/resource-training.jpeg</w:t>
      </w:r>
    </w:p>
    <w:p>
      <w:r>
        <w:rPr>
          <w:color w:val="666666"/>
          <w:sz w:val="16"/>
        </w:rPr>
        <w:t>Usage: Dosing — patient training</w:t>
      </w:r>
    </w:p>
    <w:p>
      <w:r>
        <w:t>Heading: Patient training and support</w:t>
      </w:r>
    </w:p>
    <w:p>
      <w:r>
        <w:t>Body text: Patients should receive training on proper subcutaneous injection technique before self-administering NYVEX. An Instructions for Use (IFU) document is provided with each autoinjector.</w:t>
      </w:r>
    </w:p>
    <w:p>
      <w:r>
        <w:t>Call to action: Access patient resources → /nyvex/patient-support</w:t>
      </w:r>
    </w:p>
    <w:p>
      <w:pPr/>
      <w:r>
        <w:t>────────────────────────────────────────────────────────────</w:t>
      </w:r>
    </w:p>
    <w:p>
      <w:pPr>
        <w:pStyle w:val="Heading3"/>
      </w:pPr>
      <w:r>
        <w:t>Section 5 — Prescribing information footer</w:t>
      </w:r>
    </w:p>
    <w:p>
      <w:r>
        <w:t>Block: accordion  |  Expandable: PI | AE Reporting | References</w:t>
      </w:r>
    </w:p>
    <w:p/>
    <w:p>
      <w:r>
        <w:t>Page metadata</w:t>
      </w:r>
    </w:p>
    <w:p>
      <w:r>
        <w:t>Title: Dosing &amp; Administration | NYVEX (nyvexabart) | AstraZeneca UK</w:t>
      </w:r>
    </w:p>
    <w:p>
      <w:r>
        <w:t>Description: NYVEX dosing schedule, injection guidance, storage conditions, and preparation steps. 180 mg once every 4 weeks via prefilled autoinjector after a 360 mg loading dose.</w:t>
      </w:r>
    </w:p>
    <w:p>
      <w:r>
        <w:br w:type="page"/>
      </w:r>
    </w:p>
    <w:p>
      <w:pPr>
        <w:pStyle w:val="Heading2"/>
      </w:pPr>
      <w:r>
        <w:t>PAGE 5: Patient Support</w:t>
      </w:r>
    </w:p>
    <w:p>
      <w:r>
        <w:t>URL path: /nyvex/patient-support</w:t>
      </w:r>
    </w:p>
    <w:p>
      <w:pPr/>
      <w:r>
        <w:t>────────────────────────────────────────────────────────────</w:t>
      </w:r>
    </w:p>
    <w:p>
      <w:pPr>
        <w:pStyle w:val="Heading3"/>
      </w:pPr>
      <w:r>
        <w:t>Section 1 — Page header (text only)</w:t>
      </w:r>
    </w:p>
    <w:p>
      <w:r>
        <w:t>Block: title</w:t>
      </w:r>
    </w:p>
    <w:p>
      <w:r>
        <w:t>Heading: Patient support for NYVEX® (nyvexabart)</w:t>
      </w:r>
    </w:p>
    <w:p>
      <w:r>
        <w:t>Body text: Resources to support your patients starting and continuing treatment</w:t>
      </w:r>
    </w:p>
    <w:p>
      <w:pPr/>
      <w:r>
        <w:t>────────────────────────────────────────────────────────────</w:t>
      </w:r>
    </w:p>
    <w:p>
      <w:pPr>
        <w:pStyle w:val="Heading3"/>
      </w:pPr>
      <w:r>
        <w:t>Section 2 — Support programmes (three equal columns) | light background</w:t>
      </w:r>
    </w:p>
    <w:p>
      <w:r>
        <w:t>Block: cards-teaser</w:t>
      </w:r>
    </w:p>
    <w:p>
      <w:r>
        <w:t>Section metadata: Style: light</w:t>
      </w:r>
    </w:p>
    <w:p/>
    <w:p>
      <w:r>
        <w:drawing>
          <wp:inline xmlns:a="http://schemas.openxmlformats.org/drawingml/2006/main" xmlns:pic="http://schemas.openxmlformats.org/drawingml/2006/picture">
            <wp:extent cx="5029200" cy="37551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755136"/>
                    </a:xfrm>
                    <a:prstGeom prst="rect"/>
                  </pic:spPr>
                </pic:pic>
              </a:graphicData>
            </a:graphic>
          </wp:inline>
        </w:drawing>
      </w:r>
    </w:p>
    <w:p>
      <w:pPr/>
      <w:r>
        <w:rPr>
          <w:color w:val="0056B3"/>
          <w:sz w:val="16"/>
        </w:rPr>
        <w:t>https://novapril-images.pages.dev/resource-patient.jpeg</w:t>
      </w:r>
    </w:p>
    <w:p>
      <w:r>
        <w:rPr>
          <w:color w:val="666666"/>
          <w:sz w:val="16"/>
        </w:rPr>
        <w:t>Usage: Patient Support — copay card</w:t>
      </w:r>
    </w:p>
    <w:p>
      <w:r>
        <w:t>Card heading: Co-pay assistance programme</w:t>
      </w:r>
    </w:p>
    <w:p>
      <w:r>
        <w:t>Card body: [PLACEHOLDER — copay programme details. Include eligibility criteria, enrolment process, and contact information when available.]</w:t>
      </w:r>
    </w:p>
    <w:p>
      <w:r>
        <w:t>Card link: [PLACEHOLDER — enrolment link]</w:t>
      </w:r>
    </w:p>
    <w:p>
      <w:pPr/>
      <w:r>
        <w:t>────────────────────────────────────────────────────────────</w:t>
      </w:r>
    </w:p>
    <w:p>
      <w:r>
        <w:drawing>
          <wp:inline xmlns:a="http://schemas.openxmlformats.org/drawingml/2006/main" xmlns:pic="http://schemas.openxmlformats.org/drawingml/2006/picture">
            <wp:extent cx="5029200" cy="37551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755136"/>
                    </a:xfrm>
                    <a:prstGeom prst="rect"/>
                  </pic:spPr>
                </pic:pic>
              </a:graphicData>
            </a:graphic>
          </wp:inline>
        </w:drawing>
      </w:r>
    </w:p>
    <w:p>
      <w:pPr/>
      <w:r>
        <w:rPr>
          <w:color w:val="0056B3"/>
          <w:sz w:val="16"/>
        </w:rPr>
        <w:t>https://novapril-images.pages.dev/contact-support.jpeg</w:t>
      </w:r>
    </w:p>
    <w:p>
      <w:r>
        <w:rPr>
          <w:color w:val="666666"/>
          <w:sz w:val="16"/>
        </w:rPr>
        <w:t>Usage: Patient Support — hub card</w:t>
      </w:r>
    </w:p>
    <w:p>
      <w:r>
        <w:t>Card heading: Patient hub enrolment</w:t>
      </w:r>
    </w:p>
    <w:p>
      <w:r>
        <w:t>Card body: [PLACEHOLDER — patient hub/support programme details. Include what the hub provides: injection training, adherence support, nurse follow-up.]</w:t>
      </w:r>
    </w:p>
    <w:p>
      <w:r>
        <w:t>Card link: [PLACEHOLDER — hub link]</w:t>
      </w:r>
    </w:p>
    <w:p>
      <w:pPr/>
      <w:r>
        <w:t>────────────────────────────────────────────────────────────</w:t>
      </w:r>
    </w:p>
    <w:p>
      <w:r>
        <w:drawing>
          <wp:inline xmlns:a="http://schemas.openxmlformats.org/drawingml/2006/main" xmlns:pic="http://schemas.openxmlformats.org/drawingml/2006/picture">
            <wp:extent cx="5029200" cy="3755136"/>
            <wp:docPr id="19" name="Picture 19"/>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3755136"/>
                    </a:xfrm>
                    <a:prstGeom prst="rect"/>
                  </pic:spPr>
                </pic:pic>
              </a:graphicData>
            </a:graphic>
          </wp:inline>
        </w:drawing>
      </w:r>
    </w:p>
    <w:p>
      <w:pPr/>
      <w:r>
        <w:rPr>
          <w:color w:val="0056B3"/>
          <w:sz w:val="16"/>
        </w:rPr>
        <w:t>https://vitessa-images.pages.dev/resource-training.jpeg</w:t>
      </w:r>
    </w:p>
    <w:p>
      <w:r>
        <w:rPr>
          <w:color w:val="666666"/>
          <w:sz w:val="16"/>
        </w:rPr>
        <w:t>Usage: Patient Support — training card</w:t>
      </w:r>
    </w:p>
    <w:p>
      <w:r>
        <w:t>Card heading: Injection training resources</w:t>
      </w:r>
    </w:p>
    <w:p>
      <w:r>
        <w:t>Card body: Training materials for patients and caregivers on how to use the NYVEX prefilled autoinjector. Includes step-by-step guides and instructional videos.</w:t>
      </w:r>
    </w:p>
    <w:p>
      <w:r>
        <w:t>Card link: View dosing guide → /nyvex/dosing</w:t>
      </w:r>
    </w:p>
    <w:p>
      <w:pPr/>
      <w:r>
        <w:t>────────────────────────────────────────────────────────────</w:t>
      </w:r>
    </w:p>
    <w:p>
      <w:pPr>
        <w:pStyle w:val="Heading3"/>
      </w:pPr>
      <w:r>
        <w:t>Section 3 — Patient selection (two-column)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755136"/>
                    </a:xfrm>
                    <a:prstGeom prst="rect"/>
                  </pic:spPr>
                </pic:pic>
              </a:graphicData>
            </a:graphic>
          </wp:inline>
        </w:drawing>
      </w:r>
    </w:p>
    <w:p>
      <w:pPr/>
      <w:r>
        <w:rPr>
          <w:color w:val="0056B3"/>
          <w:sz w:val="16"/>
        </w:rPr>
        <w:t>https://novapril-images.pages.dev/hcp-consultation.jpeg</w:t>
      </w:r>
    </w:p>
    <w:p>
      <w:r>
        <w:rPr>
          <w:color w:val="666666"/>
          <w:sz w:val="16"/>
        </w:rPr>
        <w:t>Usage: Patient Support — patient selection</w:t>
      </w:r>
    </w:p>
    <w:p>
      <w:r>
        <w:t>Heading: Patient selection checklist</w:t>
      </w:r>
    </w:p>
    <w:p>
      <w:r>
        <w:t>Body text: NYVEX is indicated for adults with moderate-to-severe prurigo nodularis (IGA-PN ≥ 3, minimum 20 nodules) whose disease is inadequately controlled with topical therapies. Consider NYVEX for patients experiencing significant itch burden, sleep disruption, or quality of life impairment despite optimised topical treatment.¹</w:t>
      </w:r>
    </w:p>
    <w:p>
      <w:r>
        <w:t>Call to action: Download patient selection guide → /nyvex/resources</w:t>
      </w:r>
    </w:p>
    <w:p>
      <w:pPr/>
      <w:r>
        <w:t>────────────────────────────────────────────────────────────</w:t>
      </w:r>
    </w:p>
    <w:p>
      <w:pPr>
        <w:pStyle w:val="Heading3"/>
      </w:pPr>
      <w:r>
        <w:t>Section 4 — Prescribing information footer</w:t>
      </w:r>
    </w:p>
    <w:p>
      <w:r>
        <w:t>Block: accordion  |  Expandable: PI | AE Reporting | References</w:t>
      </w:r>
    </w:p>
    <w:p/>
    <w:p>
      <w:r>
        <w:t>Page metadata</w:t>
      </w:r>
    </w:p>
    <w:p>
      <w:r>
        <w:t>Title: Patient Support | NYVEX (nyvexabart) | AstraZeneca UK</w:t>
      </w:r>
    </w:p>
    <w:p>
      <w:r>
        <w:t>Description: Patient support programmes for NYVEX including co-pay assistance, hub enrolment, and injection training resources for prurigo nodularis patients.</w:t>
      </w:r>
    </w:p>
    <w:p>
      <w:r>
        <w:br w:type="page"/>
      </w:r>
    </w:p>
    <w:p>
      <w:pPr>
        <w:pStyle w:val="Heading2"/>
      </w:pPr>
      <w:r>
        <w:t>PAGE 6: Resources</w:t>
      </w:r>
    </w:p>
    <w:p>
      <w:r>
        <w:t>URL path: /nyvex/resources</w:t>
      </w:r>
    </w:p>
    <w:p>
      <w:pPr/>
      <w:r>
        <w:t>────────────────────────────────────────────────────────────</w:t>
      </w:r>
    </w:p>
    <w:p>
      <w:pPr>
        <w:pStyle w:val="Heading3"/>
      </w:pPr>
      <w:r>
        <w:t>Section 1 — Page header (text only)</w:t>
      </w:r>
    </w:p>
    <w:p>
      <w:r>
        <w:t>Block: title</w:t>
      </w:r>
    </w:p>
    <w:p>
      <w:r>
        <w:t>Heading: Resources for healthcare professionals</w:t>
      </w:r>
    </w:p>
    <w:p>
      <w:r>
        <w:t>Body text: Prescribing information, clinical resources, and educational materials for NYVEX® (nyvexabart)</w:t>
      </w:r>
    </w:p>
    <w:p>
      <w:pPr/>
      <w:r>
        <w:t>────────────────────────────────────────────────────────────</w:t>
      </w:r>
    </w:p>
    <w:p>
      <w:pPr>
        <w:pStyle w:val="Heading3"/>
      </w:pPr>
      <w:r>
        <w:t>Section 2 — Resource cards (three equal columns) | light background</w:t>
      </w:r>
    </w:p>
    <w:p>
      <w:r>
        <w:t>Block: cards-teaser</w:t>
      </w:r>
    </w:p>
    <w:p>
      <w:r>
        <w:t>Section metadata: Style: light</w:t>
      </w:r>
    </w:p>
    <w:p/>
    <w:p>
      <w:r>
        <w:drawing>
          <wp:inline xmlns:a="http://schemas.openxmlformats.org/drawingml/2006/main" xmlns:pic="http://schemas.openxmlformats.org/drawingml/2006/picture">
            <wp:extent cx="5029200" cy="3755136"/>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755136"/>
                    </a:xfrm>
                    <a:prstGeom prst="rect"/>
                  </pic:spPr>
                </pic:pic>
              </a:graphicData>
            </a:graphic>
          </wp:inline>
        </w:drawing>
      </w:r>
    </w:p>
    <w:p>
      <w:pPr/>
      <w:r>
        <w:rPr>
          <w:color w:val="0056B3"/>
          <w:sz w:val="16"/>
        </w:rPr>
        <w:t>https://eluvion-images.pages.dev/resource-prescribing.jpeg</w:t>
      </w:r>
    </w:p>
    <w:p>
      <w:r>
        <w:rPr>
          <w:color w:val="666666"/>
          <w:sz w:val="16"/>
        </w:rPr>
        <w:t>Usage: Resources — PI card</w:t>
      </w:r>
    </w:p>
    <w:p>
      <w:r>
        <w:t>Card heading: Prescribing Information</w:t>
      </w:r>
    </w:p>
    <w:p>
      <w:r>
        <w:t>Card body: Full Summary of Product Characteristics and Patient Information Leaflet for NYVEX (nyvexabart).</w:t>
      </w:r>
    </w:p>
    <w:p>
      <w:r>
        <w:t>Card link: Download PI (PDF) → [PLACEHOLDER — PI PDF URL]</w:t>
      </w:r>
    </w:p>
    <w:p>
      <w:pPr/>
      <w:r>
        <w:t>────────────────────────────────────────────────────────────</w:t>
      </w:r>
    </w:p>
    <w:p>
      <w:r>
        <w:drawing>
          <wp:inline xmlns:a="http://schemas.openxmlformats.org/drawingml/2006/main" xmlns:pic="http://schemas.openxmlformats.org/drawingml/2006/picture">
            <wp:extent cx="5029200" cy="3755136"/>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755136"/>
                    </a:xfrm>
                    <a:prstGeom prst="rect"/>
                  </pic:spPr>
                </pic:pic>
              </a:graphicData>
            </a:graphic>
          </wp:inline>
        </w:drawing>
      </w:r>
    </w:p>
    <w:p>
      <w:pPr/>
      <w:r>
        <w:rPr>
          <w:color w:val="0056B3"/>
          <w:sz w:val="16"/>
        </w:rPr>
        <w:t>https://eluvion-images.pages.dev/resource-clinical.jpeg</w:t>
      </w:r>
    </w:p>
    <w:p>
      <w:r>
        <w:rPr>
          <w:color w:val="666666"/>
          <w:sz w:val="16"/>
        </w:rPr>
        <w:t>Usage: Resources — patient selection guide</w:t>
      </w:r>
    </w:p>
    <w:p>
      <w:r>
        <w:t>Card heading: Patient selection guide</w:t>
      </w:r>
    </w:p>
    <w:p>
      <w:r>
        <w:t>Card body: A practical guide to identifying patients who may benefit from NYVEX treatment, including clinical criteria and assessment tools.</w:t>
      </w:r>
    </w:p>
    <w:p>
      <w:r>
        <w:t>Card link: Download guide → [PLACEHOLDER — guide PDF URL]</w:t>
      </w:r>
    </w:p>
    <w:p>
      <w:pPr/>
      <w:r>
        <w:t>────────────────────────────────────────────────────────────</w:t>
      </w:r>
    </w:p>
    <w:p>
      <w:r>
        <w:drawing>
          <wp:inline xmlns:a="http://schemas.openxmlformats.org/drawingml/2006/main" xmlns:pic="http://schemas.openxmlformats.org/drawingml/2006/picture">
            <wp:extent cx="5029200" cy="3755136"/>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755136"/>
                    </a:xfrm>
                    <a:prstGeom prst="rect"/>
                  </pic:spPr>
                </pic:pic>
              </a:graphicData>
            </a:graphic>
          </wp:inline>
        </w:drawing>
      </w:r>
    </w:p>
    <w:p>
      <w:pPr/>
      <w:r>
        <w:rPr>
          <w:color w:val="0056B3"/>
          <w:sz w:val="16"/>
        </w:rPr>
        <w:t>https://revantha-images.pages.dev/resource-education.jpeg</w:t>
      </w:r>
    </w:p>
    <w:p>
      <w:r>
        <w:rPr>
          <w:color w:val="666666"/>
          <w:sz w:val="16"/>
        </w:rPr>
        <w:t>Usage: Resources — CME card</w:t>
      </w:r>
    </w:p>
    <w:p>
      <w:r>
        <w:t>Card heading: CME and medical education</w:t>
      </w:r>
    </w:p>
    <w:p>
      <w:r>
        <w:t>Card body: Links to continuing medical education modules, webinars, and published literature relevant to prurigo nodularis and IL-31 pathway biology.</w:t>
      </w:r>
    </w:p>
    <w:p>
      <w:r>
        <w:t>Card link: Explore CME resources → [PLACEHOLDER — CME links]</w:t>
      </w:r>
    </w:p>
    <w:p>
      <w:pPr/>
      <w:r>
        <w:t>────────────────────────────────────────────────────────────</w:t>
      </w:r>
    </w:p>
    <w:p>
      <w:pPr>
        <w:pStyle w:val="Heading3"/>
      </w:pPr>
      <w:r>
        <w:t>Section 3 — Contact (centred text) | highlight background</w:t>
      </w:r>
    </w:p>
    <w:p>
      <w:r>
        <w:t>Block: introduction</w:t>
      </w:r>
    </w:p>
    <w:p>
      <w:r>
        <w:t>Section metadata: Style: highlight</w:t>
      </w:r>
    </w:p>
    <w:p>
      <w:r>
        <w:t>Heading: Medical information enquiries</w:t>
      </w:r>
    </w:p>
    <w:p>
      <w:r>
        <w:t>Body text: For medical information about NYVEX or any AstraZeneca product, visit contactazmedical.astrazeneca.com or call 0800 783 0033.</w:t>
      </w:r>
    </w:p>
    <w:p>
      <w:pPr/>
      <w:r>
        <w:t>────────────────────────────────────────────────────────────</w:t>
      </w:r>
    </w:p>
    <w:p>
      <w:pPr>
        <w:pStyle w:val="Heading3"/>
      </w:pPr>
      <w:r>
        <w:t>Section 4 — Prescribing information footer</w:t>
      </w:r>
    </w:p>
    <w:p>
      <w:r>
        <w:t>Block: accordion  |  Expandable: PI | AE Reporting | References</w:t>
      </w:r>
    </w:p>
    <w:p/>
    <w:p>
      <w:r>
        <w:t>Page metadata</w:t>
      </w:r>
    </w:p>
    <w:p>
      <w:r>
        <w:t>Title: HCP Resources | NYVEX (nyvexabart) | AstraZeneca UK</w:t>
      </w:r>
    </w:p>
    <w:p>
      <w:r>
        <w:t>Description: Prescribing information, patient selection guide, and CME resources for NYVEX (nyvexabart). Access clinical materials for prurigo nodularis management.</w:t>
      </w:r>
    </w:p>
    <w:p>
      <w:r>
        <w:br w:type="page"/>
      </w:r>
    </w:p>
    <w:p>
      <w:pPr>
        <w:pStyle w:val="Heading1"/>
      </w:pPr>
      <w:r>
        <w:t>10. Footer Content</w:t>
      </w:r>
    </w:p>
    <w:p>
      <w:r>
        <w:t>The footer must appear on every page and contain:</w:t>
      </w:r>
    </w:p>
    <w:p>
      <w:pPr>
        <w:pStyle w:val="ListBullet"/>
      </w:pPr>
      <w:r>
        <w:t>Logo: AstraZeneca logo (linked to /nyvex/)</w:t>
      </w:r>
    </w:p>
    <w:p>
      <w:pPr>
        <w:pStyle w:val="ListBullet"/>
      </w:pPr>
      <w:r>
        <w:t>Approval code: [GB-XXXXX] | DOP: [Month Year]</w:t>
      </w:r>
    </w:p>
    <w:p>
      <w:pPr>
        <w:pStyle w:val="ListBullet"/>
      </w:pPr>
      <w:r>
        <w:t>Copyright: © [Year] AstraZeneca. All rights reserved. NYVEX is a registered trademark of the AstraZeneca group of companies.</w:t>
      </w:r>
    </w:p>
    <w:p>
      <w:pPr>
        <w:pStyle w:val="ListBullet"/>
      </w:pPr>
      <w:r>
        <w:t>Page links: Efficacy | Safety | Dosing &amp; Administration | Patient Support | Resources</w:t>
      </w:r>
    </w:p>
    <w:p>
      <w:pPr>
        <w:pStyle w:val="ListBullet"/>
      </w:pPr>
      <w:r>
        <w:t>Regulatory links: 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pPr>
        <w:pStyle w:val="ListBullet"/>
      </w:pPr>
      <w:r>
        <w:t>Date of preparation: Date of Preparation: [Month Year]</w:t>
      </w:r>
    </w:p>
    <w:p>
      <w:pPr/>
      <w:r>
        <w:t>────────────────────────────────────────────────────────────</w:t>
      </w:r>
    </w:p>
    <w:p>
      <w:pPr>
        <w:pStyle w:val="Heading1"/>
      </w:pPr>
      <w:r>
        <w:t>11. Image Assets</w:t>
      </w:r>
    </w:p>
    <w:p>
      <w:r>
        <w:t>All images reused from existing site CDNs. No new images required for initial build.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Filename</w:t>
            </w:r>
          </w:p>
        </w:tc>
        <w:tc>
          <w:tcPr>
            <w:tcW w:type="dxa" w:w="2880"/>
          </w:tcPr>
          <w:p>
            <w:r>
              <w:rPr>
                <w:b/>
                <w:sz w:val="18"/>
              </w:rPr>
              <w:t>Usage</w:t>
            </w:r>
          </w:p>
        </w:tc>
        <w:tc>
          <w:tcPr>
            <w:tcW w:type="dxa" w:w="2880"/>
          </w:tcPr>
          <w:p>
            <w:r>
              <w:rPr>
                <w:b/>
                <w:sz w:val="18"/>
              </w:rPr>
              <w:t>Source CDN URL</w:t>
            </w:r>
          </w:p>
        </w:tc>
      </w:tr>
      <w:tr>
        <w:tc>
          <w:tcPr>
            <w:tcW w:type="dxa" w:w="2880"/>
          </w:tcPr>
          <w:p>
            <w:r>
              <w:rPr>
                <w:sz w:val="18"/>
              </w:rPr>
              <w:t>hero-home.jpeg</w:t>
            </w:r>
          </w:p>
        </w:tc>
        <w:tc>
          <w:tcPr>
            <w:tcW w:type="dxa" w:w="2880"/>
          </w:tcPr>
          <w:p>
            <w:r>
              <w:rPr>
                <w:sz w:val="18"/>
              </w:rPr>
              <w:t>Home — hero</w:t>
            </w:r>
          </w:p>
        </w:tc>
        <w:tc>
          <w:tcPr>
            <w:tcW w:type="dxa" w:w="2880"/>
          </w:tcPr>
          <w:p>
            <w:r>
              <w:rPr>
                <w:sz w:val="18"/>
              </w:rPr>
              <w:t>https://treluxia-images.pages.dev/hero-home.jpeg</w:t>
            </w:r>
          </w:p>
        </w:tc>
      </w:tr>
      <w:tr>
        <w:tc>
          <w:tcPr>
            <w:tcW w:type="dxa" w:w="2880"/>
          </w:tcPr>
          <w:p>
            <w:r>
              <w:rPr>
                <w:sz w:val="18"/>
              </w:rPr>
              <w:t>columns-moa.jpeg</w:t>
            </w:r>
          </w:p>
        </w:tc>
        <w:tc>
          <w:tcPr>
            <w:tcW w:type="dxa" w:w="2880"/>
          </w:tcPr>
          <w:p>
            <w:r>
              <w:rPr>
                <w:sz w:val="18"/>
              </w:rPr>
              <w:t>Home — MoA teaser</w:t>
            </w:r>
          </w:p>
        </w:tc>
        <w:tc>
          <w:tcPr>
            <w:tcW w:type="dxa" w:w="2880"/>
          </w:tcPr>
          <w:p>
            <w:r>
              <w:rPr>
                <w:sz w:val="18"/>
              </w:rPr>
              <w:t>https://lumivex-images.pages.dev/columns-moa.jpeg</w:t>
            </w:r>
          </w:p>
        </w:tc>
      </w:tr>
      <w:tr>
        <w:tc>
          <w:tcPr>
            <w:tcW w:type="dxa" w:w="2880"/>
          </w:tcPr>
          <w:p>
            <w:r>
              <w:rPr>
                <w:sz w:val="18"/>
              </w:rPr>
              <w:t>card-efficacy.jpeg</w:t>
            </w:r>
          </w:p>
        </w:tc>
        <w:tc>
          <w:tcPr>
            <w:tcW w:type="dxa" w:w="2880"/>
          </w:tcPr>
          <w:p>
            <w:r>
              <w:rPr>
                <w:sz w:val="18"/>
              </w:rPr>
              <w:t>Home — itch card</w:t>
            </w:r>
          </w:p>
        </w:tc>
        <w:tc>
          <w:tcPr>
            <w:tcW w:type="dxa" w:w="2880"/>
          </w:tcPr>
          <w:p>
            <w:r>
              <w:rPr>
                <w:sz w:val="18"/>
              </w:rPr>
              <w:t>https://vitessa-images.pages.dev/card-efficacy.jpeg</w:t>
            </w:r>
          </w:p>
        </w:tc>
      </w:tr>
      <w:tr>
        <w:tc>
          <w:tcPr>
            <w:tcW w:type="dxa" w:w="2880"/>
          </w:tcPr>
          <w:p>
            <w:r>
              <w:rPr>
                <w:sz w:val="18"/>
              </w:rPr>
              <w:t>card-safety.jpeg</w:t>
            </w:r>
          </w:p>
        </w:tc>
        <w:tc>
          <w:tcPr>
            <w:tcW w:type="dxa" w:w="2880"/>
          </w:tcPr>
          <w:p>
            <w:r>
              <w:rPr>
                <w:sz w:val="18"/>
              </w:rPr>
              <w:t>Home — safety card</w:t>
            </w:r>
          </w:p>
        </w:tc>
        <w:tc>
          <w:tcPr>
            <w:tcW w:type="dxa" w:w="2880"/>
          </w:tcPr>
          <w:p>
            <w:r>
              <w:rPr>
                <w:sz w:val="18"/>
              </w:rPr>
              <w:t>https://novapril-images.pages.dev/card-safety.jpeg</w:t>
            </w:r>
          </w:p>
        </w:tc>
      </w:tr>
      <w:tr>
        <w:tc>
          <w:tcPr>
            <w:tcW w:type="dxa" w:w="2880"/>
          </w:tcPr>
          <w:p>
            <w:r>
              <w:rPr>
                <w:sz w:val="18"/>
              </w:rPr>
              <w:t>card-clinical-data.jpeg</w:t>
            </w:r>
          </w:p>
        </w:tc>
        <w:tc>
          <w:tcPr>
            <w:tcW w:type="dxa" w:w="2880"/>
          </w:tcPr>
          <w:p>
            <w:r>
              <w:rPr>
                <w:sz w:val="18"/>
              </w:rPr>
              <w:t>Home — dosing card</w:t>
            </w:r>
          </w:p>
        </w:tc>
        <w:tc>
          <w:tcPr>
            <w:tcW w:type="dxa" w:w="2880"/>
          </w:tcPr>
          <w:p>
            <w:r>
              <w:rPr>
                <w:sz w:val="18"/>
              </w:rPr>
              <w:t>https://treluxia-images.pages.dev/card-clinical-data.jpeg</w:t>
            </w:r>
          </w:p>
        </w:tc>
      </w:tr>
      <w:tr>
        <w:tc>
          <w:tcPr>
            <w:tcW w:type="dxa" w:w="2880"/>
          </w:tcPr>
          <w:p>
            <w:r>
              <w:rPr>
                <w:sz w:val="18"/>
              </w:rPr>
              <w:t>tab-luminos1.jpeg</w:t>
            </w:r>
          </w:p>
        </w:tc>
        <w:tc>
          <w:tcPr>
            <w:tcW w:type="dxa" w:w="2880"/>
          </w:tcPr>
          <w:p>
            <w:r>
              <w:rPr>
                <w:sz w:val="18"/>
              </w:rPr>
              <w:t>Efficacy — slide 1</w:t>
            </w:r>
          </w:p>
        </w:tc>
        <w:tc>
          <w:tcPr>
            <w:tcW w:type="dxa" w:w="2880"/>
          </w:tcPr>
          <w:p>
            <w:r>
              <w:rPr>
                <w:sz w:val="18"/>
              </w:rPr>
              <w:t>https://treluxia-images.pages.dev/tab-luminos1.jpeg</w:t>
            </w:r>
          </w:p>
        </w:tc>
      </w:tr>
      <w:tr>
        <w:tc>
          <w:tcPr>
            <w:tcW w:type="dxa" w:w="2880"/>
          </w:tcPr>
          <w:p>
            <w:r>
              <w:rPr>
                <w:sz w:val="18"/>
              </w:rPr>
              <w:t>tab-luminance1.jpeg</w:t>
            </w:r>
          </w:p>
        </w:tc>
        <w:tc>
          <w:tcPr>
            <w:tcW w:type="dxa" w:w="2880"/>
          </w:tcPr>
          <w:p>
            <w:r>
              <w:rPr>
                <w:sz w:val="18"/>
              </w:rPr>
              <w:t>Efficacy — slide 2</w:t>
            </w:r>
          </w:p>
        </w:tc>
        <w:tc>
          <w:tcPr>
            <w:tcW w:type="dxa" w:w="2880"/>
          </w:tcPr>
          <w:p>
            <w:r>
              <w:rPr>
                <w:sz w:val="18"/>
              </w:rPr>
              <w:t>https://lumivex-images.pages.dev/tab-luminance1.jpeg</w:t>
            </w:r>
          </w:p>
        </w:tc>
      </w:tr>
      <w:tr>
        <w:tc>
          <w:tcPr>
            <w:tcW w:type="dxa" w:w="2880"/>
          </w:tcPr>
          <w:p>
            <w:r>
              <w:rPr>
                <w:sz w:val="18"/>
              </w:rPr>
              <w:t>tab-zenith1.jpeg</w:t>
            </w:r>
          </w:p>
        </w:tc>
        <w:tc>
          <w:tcPr>
            <w:tcW w:type="dxa" w:w="2880"/>
          </w:tcPr>
          <w:p>
            <w:r>
              <w:rPr>
                <w:sz w:val="18"/>
              </w:rPr>
              <w:t>Efficacy — slide 3</w:t>
            </w:r>
          </w:p>
        </w:tc>
        <w:tc>
          <w:tcPr>
            <w:tcW w:type="dxa" w:w="2880"/>
          </w:tcPr>
          <w:p>
            <w:r>
              <w:rPr>
                <w:sz w:val="18"/>
              </w:rPr>
              <w:t>https://zenturis-images.pages.dev/tab-zenith1.jpeg</w:t>
            </w:r>
          </w:p>
        </w:tc>
      </w:tr>
      <w:tr>
        <w:tc>
          <w:tcPr>
            <w:tcW w:type="dxa" w:w="2880"/>
          </w:tcPr>
          <w:p>
            <w:r>
              <w:rPr>
                <w:sz w:val="18"/>
              </w:rPr>
              <w:t>tab-luminance2.jpeg</w:t>
            </w:r>
          </w:p>
        </w:tc>
        <w:tc>
          <w:tcPr>
            <w:tcW w:type="dxa" w:w="2880"/>
          </w:tcPr>
          <w:p>
            <w:r>
              <w:rPr>
                <w:sz w:val="18"/>
              </w:rPr>
              <w:t>Efficacy — slide 4</w:t>
            </w:r>
          </w:p>
        </w:tc>
        <w:tc>
          <w:tcPr>
            <w:tcW w:type="dxa" w:w="2880"/>
          </w:tcPr>
          <w:p>
            <w:r>
              <w:rPr>
                <w:sz w:val="18"/>
              </w:rPr>
              <w:t>https://lumivex-images.pages.dev/tab-luminance2.jpeg</w:t>
            </w:r>
          </w:p>
        </w:tc>
      </w:tr>
      <w:tr>
        <w:tc>
          <w:tcPr>
            <w:tcW w:type="dxa" w:w="2880"/>
          </w:tcPr>
          <w:p>
            <w:r>
              <w:rPr>
                <w:sz w:val="18"/>
              </w:rPr>
              <w:t>trial1-results.jpeg</w:t>
            </w:r>
          </w:p>
        </w:tc>
        <w:tc>
          <w:tcPr>
            <w:tcW w:type="dxa" w:w="2880"/>
          </w:tcPr>
          <w:p>
            <w:r>
              <w:rPr>
                <w:sz w:val="18"/>
              </w:rPr>
              <w:t>Efficacy — primary</w:t>
            </w:r>
          </w:p>
        </w:tc>
        <w:tc>
          <w:tcPr>
            <w:tcW w:type="dxa" w:w="2880"/>
          </w:tcPr>
          <w:p>
            <w:r>
              <w:rPr>
                <w:sz w:val="18"/>
              </w:rPr>
              <w:t>https://eluvion-images.pages.dev/trial1-results.jpeg</w:t>
            </w:r>
          </w:p>
        </w:tc>
      </w:tr>
      <w:tr>
        <w:tc>
          <w:tcPr>
            <w:tcW w:type="dxa" w:w="2880"/>
          </w:tcPr>
          <w:p>
            <w:r>
              <w:rPr>
                <w:sz w:val="18"/>
              </w:rPr>
              <w:t>contact-support.jpeg</w:t>
            </w:r>
          </w:p>
        </w:tc>
        <w:tc>
          <w:tcPr>
            <w:tcW w:type="dxa" w:w="2880"/>
          </w:tcPr>
          <w:p>
            <w:r>
              <w:rPr>
                <w:sz w:val="18"/>
              </w:rPr>
              <w:t>Efficacy — QoL</w:t>
            </w:r>
          </w:p>
        </w:tc>
        <w:tc>
          <w:tcPr>
            <w:tcW w:type="dxa" w:w="2880"/>
          </w:tcPr>
          <w:p>
            <w:r>
              <w:rPr>
                <w:sz w:val="18"/>
              </w:rPr>
              <w:t>https://vitessa-images.pages.dev/contact-support.jpeg</w:t>
            </w:r>
          </w:p>
        </w:tc>
      </w:tr>
      <w:tr>
        <w:tc>
          <w:tcPr>
            <w:tcW w:type="dxa" w:w="2880"/>
          </w:tcPr>
          <w:p>
            <w:r>
              <w:rPr>
                <w:sz w:val="18"/>
              </w:rPr>
              <w:t>safety-injection.jpeg</w:t>
            </w:r>
          </w:p>
        </w:tc>
        <w:tc>
          <w:tcPr>
            <w:tcW w:type="dxa" w:w="2880"/>
          </w:tcPr>
          <w:p>
            <w:r>
              <w:rPr>
                <w:sz w:val="18"/>
              </w:rPr>
              <w:t>Safety — ISR card</w:t>
            </w:r>
          </w:p>
        </w:tc>
        <w:tc>
          <w:tcPr>
            <w:tcW w:type="dxa" w:w="2880"/>
          </w:tcPr>
          <w:p>
            <w:r>
              <w:rPr>
                <w:sz w:val="18"/>
              </w:rPr>
              <w:t>https://vitessa-images.pages.dev/safety-injection.jpeg</w:t>
            </w:r>
          </w:p>
        </w:tc>
      </w:tr>
      <w:tr>
        <w:tc>
          <w:tcPr>
            <w:tcW w:type="dxa" w:w="2880"/>
          </w:tcPr>
          <w:p>
            <w:r>
              <w:rPr>
                <w:sz w:val="18"/>
              </w:rPr>
              <w:t>safety-monitoring.jpeg</w:t>
            </w:r>
          </w:p>
        </w:tc>
        <w:tc>
          <w:tcPr>
            <w:tcW w:type="dxa" w:w="2880"/>
          </w:tcPr>
          <w:p>
            <w:r>
              <w:rPr>
                <w:sz w:val="18"/>
              </w:rPr>
              <w:t>Safety — infections</w:t>
            </w:r>
          </w:p>
        </w:tc>
        <w:tc>
          <w:tcPr>
            <w:tcW w:type="dxa" w:w="2880"/>
          </w:tcPr>
          <w:p>
            <w:r>
              <w:rPr>
                <w:sz w:val="18"/>
              </w:rPr>
              <w:t>https://novapril-images.pages.dev/safety-monitoring.jpeg</w:t>
            </w:r>
          </w:p>
        </w:tc>
      </w:tr>
      <w:tr>
        <w:tc>
          <w:tcPr>
            <w:tcW w:type="dxa" w:w="2880"/>
          </w:tcPr>
          <w:p>
            <w:r>
              <w:rPr>
                <w:sz w:val="18"/>
              </w:rPr>
              <w:t>card-selectivity.jpeg</w:t>
            </w:r>
          </w:p>
        </w:tc>
        <w:tc>
          <w:tcPr>
            <w:tcW w:type="dxa" w:w="2880"/>
          </w:tcPr>
          <w:p>
            <w:r>
              <w:rPr>
                <w:sz w:val="18"/>
              </w:rPr>
              <w:t>Safety — selectivity</w:t>
            </w:r>
          </w:p>
        </w:tc>
        <w:tc>
          <w:tcPr>
            <w:tcW w:type="dxa" w:w="2880"/>
          </w:tcPr>
          <w:p>
            <w:r>
              <w:rPr>
                <w:sz w:val="18"/>
              </w:rPr>
              <w:t>https://lumivex-images.pages.dev/card-selectivity.jpeg</w:t>
            </w:r>
          </w:p>
        </w:tc>
      </w:tr>
      <w:tr>
        <w:tc>
          <w:tcPr>
            <w:tcW w:type="dxa" w:w="2880"/>
          </w:tcPr>
          <w:p>
            <w:r>
              <w:rPr>
                <w:sz w:val="18"/>
              </w:rPr>
              <w:t>columns-dosing.jpeg</w:t>
            </w:r>
          </w:p>
        </w:tc>
        <w:tc>
          <w:tcPr>
            <w:tcW w:type="dxa" w:w="2880"/>
          </w:tcPr>
          <w:p>
            <w:r>
              <w:rPr>
                <w:sz w:val="18"/>
              </w:rPr>
              <w:t>Dosing — schedule</w:t>
            </w:r>
          </w:p>
        </w:tc>
        <w:tc>
          <w:tcPr>
            <w:tcW w:type="dxa" w:w="2880"/>
          </w:tcPr>
          <w:p>
            <w:r>
              <w:rPr>
                <w:sz w:val="18"/>
              </w:rPr>
              <w:t>https://treluxia-images.pages.dev/columns-dosing.jpeg</w:t>
            </w:r>
          </w:p>
        </w:tc>
      </w:tr>
      <w:tr>
        <w:tc>
          <w:tcPr>
            <w:tcW w:type="dxa" w:w="2880"/>
          </w:tcPr>
          <w:p>
            <w:r>
              <w:rPr>
                <w:sz w:val="18"/>
              </w:rPr>
              <w:t>resource-training.jpeg</w:t>
            </w:r>
          </w:p>
        </w:tc>
        <w:tc>
          <w:tcPr>
            <w:tcW w:type="dxa" w:w="2880"/>
          </w:tcPr>
          <w:p>
            <w:r>
              <w:rPr>
                <w:sz w:val="18"/>
              </w:rPr>
              <w:t>Dosing — training</w:t>
            </w:r>
          </w:p>
        </w:tc>
        <w:tc>
          <w:tcPr>
            <w:tcW w:type="dxa" w:w="2880"/>
          </w:tcPr>
          <w:p>
            <w:r>
              <w:rPr>
                <w:sz w:val="18"/>
              </w:rPr>
              <w:t>https://vitessa-images.pages.dev/resource-training.jpeg</w:t>
            </w:r>
          </w:p>
        </w:tc>
      </w:tr>
      <w:tr>
        <w:tc>
          <w:tcPr>
            <w:tcW w:type="dxa" w:w="2880"/>
          </w:tcPr>
          <w:p>
            <w:r>
              <w:rPr>
                <w:sz w:val="18"/>
              </w:rPr>
              <w:t>resource-patient.jpeg</w:t>
            </w:r>
          </w:p>
        </w:tc>
        <w:tc>
          <w:tcPr>
            <w:tcW w:type="dxa" w:w="2880"/>
          </w:tcPr>
          <w:p>
            <w:r>
              <w:rPr>
                <w:sz w:val="18"/>
              </w:rPr>
              <w:t>Support — copay</w:t>
            </w:r>
          </w:p>
        </w:tc>
        <w:tc>
          <w:tcPr>
            <w:tcW w:type="dxa" w:w="2880"/>
          </w:tcPr>
          <w:p>
            <w:r>
              <w:rPr>
                <w:sz w:val="18"/>
              </w:rPr>
              <w:t>https://novapril-images.pages.dev/resource-patient.jpeg</w:t>
            </w:r>
          </w:p>
        </w:tc>
      </w:tr>
      <w:tr>
        <w:tc>
          <w:tcPr>
            <w:tcW w:type="dxa" w:w="2880"/>
          </w:tcPr>
          <w:p>
            <w:r>
              <w:rPr>
                <w:sz w:val="18"/>
              </w:rPr>
              <w:t>contact-support.jpeg</w:t>
            </w:r>
          </w:p>
        </w:tc>
        <w:tc>
          <w:tcPr>
            <w:tcW w:type="dxa" w:w="2880"/>
          </w:tcPr>
          <w:p>
            <w:r>
              <w:rPr>
                <w:sz w:val="18"/>
              </w:rPr>
              <w:t>Support — hub</w:t>
            </w:r>
          </w:p>
        </w:tc>
        <w:tc>
          <w:tcPr>
            <w:tcW w:type="dxa" w:w="2880"/>
          </w:tcPr>
          <w:p>
            <w:r>
              <w:rPr>
                <w:sz w:val="18"/>
              </w:rPr>
              <w:t>https://novapril-images.pages.dev/contact-support.jpeg</w:t>
            </w:r>
          </w:p>
        </w:tc>
      </w:tr>
      <w:tr>
        <w:tc>
          <w:tcPr>
            <w:tcW w:type="dxa" w:w="2880"/>
          </w:tcPr>
          <w:p>
            <w:r>
              <w:rPr>
                <w:sz w:val="18"/>
              </w:rPr>
              <w:t>hcp-consultation.jpeg</w:t>
            </w:r>
          </w:p>
        </w:tc>
        <w:tc>
          <w:tcPr>
            <w:tcW w:type="dxa" w:w="2880"/>
          </w:tcPr>
          <w:p>
            <w:r>
              <w:rPr>
                <w:sz w:val="18"/>
              </w:rPr>
              <w:t>Support — selection</w:t>
            </w:r>
          </w:p>
        </w:tc>
        <w:tc>
          <w:tcPr>
            <w:tcW w:type="dxa" w:w="2880"/>
          </w:tcPr>
          <w:p>
            <w:r>
              <w:rPr>
                <w:sz w:val="18"/>
              </w:rPr>
              <w:t>https://novapril-images.pages.dev/hcp-consultation.jpeg</w:t>
            </w:r>
          </w:p>
        </w:tc>
      </w:tr>
      <w:tr>
        <w:tc>
          <w:tcPr>
            <w:tcW w:type="dxa" w:w="2880"/>
          </w:tcPr>
          <w:p>
            <w:r>
              <w:rPr>
                <w:sz w:val="18"/>
              </w:rPr>
              <w:t>resource-prescribing.jpeg</w:t>
            </w:r>
          </w:p>
        </w:tc>
        <w:tc>
          <w:tcPr>
            <w:tcW w:type="dxa" w:w="2880"/>
          </w:tcPr>
          <w:p>
            <w:r>
              <w:rPr>
                <w:sz w:val="18"/>
              </w:rPr>
              <w:t>Resources — PI</w:t>
            </w:r>
          </w:p>
        </w:tc>
        <w:tc>
          <w:tcPr>
            <w:tcW w:type="dxa" w:w="2880"/>
          </w:tcPr>
          <w:p>
            <w:r>
              <w:rPr>
                <w:sz w:val="18"/>
              </w:rPr>
              <w:t>https://eluvion-images.pages.dev/resource-prescribing.jpeg</w:t>
            </w:r>
          </w:p>
        </w:tc>
      </w:tr>
      <w:tr>
        <w:tc>
          <w:tcPr>
            <w:tcW w:type="dxa" w:w="2880"/>
          </w:tcPr>
          <w:p>
            <w:r>
              <w:rPr>
                <w:sz w:val="18"/>
              </w:rPr>
              <w:t>resource-clinical.jpeg</w:t>
            </w:r>
          </w:p>
        </w:tc>
        <w:tc>
          <w:tcPr>
            <w:tcW w:type="dxa" w:w="2880"/>
          </w:tcPr>
          <w:p>
            <w:r>
              <w:rPr>
                <w:sz w:val="18"/>
              </w:rPr>
              <w:t>Resources — guide</w:t>
            </w:r>
          </w:p>
        </w:tc>
        <w:tc>
          <w:tcPr>
            <w:tcW w:type="dxa" w:w="2880"/>
          </w:tcPr>
          <w:p>
            <w:r>
              <w:rPr>
                <w:sz w:val="18"/>
              </w:rPr>
              <w:t>https://eluvion-images.pages.dev/resource-clinical.jpeg</w:t>
            </w:r>
          </w:p>
        </w:tc>
      </w:tr>
      <w:tr>
        <w:tc>
          <w:tcPr>
            <w:tcW w:type="dxa" w:w="2880"/>
          </w:tcPr>
          <w:p>
            <w:r>
              <w:rPr>
                <w:sz w:val="18"/>
              </w:rPr>
              <w:t>resource-education.jpeg</w:t>
            </w:r>
          </w:p>
        </w:tc>
        <w:tc>
          <w:tcPr>
            <w:tcW w:type="dxa" w:w="2880"/>
          </w:tcPr>
          <w:p>
            <w:r>
              <w:rPr>
                <w:sz w:val="18"/>
              </w:rPr>
              <w:t>Resources — CME</w:t>
            </w:r>
          </w:p>
        </w:tc>
        <w:tc>
          <w:tcPr>
            <w:tcW w:type="dxa" w:w="2880"/>
          </w:tcPr>
          <w:p>
            <w:r>
              <w:rPr>
                <w:sz w:val="18"/>
              </w:rPr>
              <w:t>https://revantha-images.pages.dev/resource-education.jpeg</w:t>
            </w:r>
          </w:p>
        </w:tc>
      </w:tr>
    </w:tbl>
    <w:p/>
    <w:p>
      <w:pPr/>
      <w:r>
        <w:t>────────────────────────────────────────────────────────────</w:t>
      </w:r>
    </w:p>
    <w:p>
      <w:pPr>
        <w:pStyle w:val="Heading1"/>
      </w:pPr>
      <w:r>
        <w:t>12. Imagery Direction</w:t>
      </w:r>
    </w:p>
    <w:p>
      <w:r>
        <w:t>Per the original briefing, all imagery must:</w:t>
      </w:r>
    </w:p>
    <w:p>
      <w:pPr>
        <w:pStyle w:val="ListBullet"/>
      </w:pPr>
      <w:r>
        <w:t>Reflect the clinical reality of prurigo nodularis without sensationalising the disease</w:t>
      </w:r>
    </w:p>
    <w:p>
      <w:pPr>
        <w:pStyle w:val="ListBullet"/>
      </w:pPr>
      <w:r>
        <w:t>Include diverse skin tones — PN disproportionately affects people with skin of colour</w:t>
      </w:r>
    </w:p>
    <w:p>
      <w:pPr>
        <w:pStyle w:val="ListBullet"/>
      </w:pPr>
      <w:r>
        <w:t>Use dermatology clinical settings for HCP imagery — avoid generic stock</w:t>
      </w:r>
    </w:p>
    <w:p>
      <w:pPr>
        <w:pStyle w:val="ListBullet"/>
      </w:pPr>
      <w:r>
        <w:t>Keep abstract/conceptual imagery clean and scientifically grounded</w:t>
      </w:r>
    </w:p>
    <w:p>
      <w:pPr>
        <w:pStyle w:val="ListBullet"/>
      </w:pPr>
      <w:r>
        <w:t>Maintain a restrained, professional colour palette — cool neutral base with slate teal accent</w:t>
      </w:r>
    </w:p>
    <w:p>
      <w:pPr>
        <w:pStyle w:val="ListBullet"/>
      </w:pPr>
      <w:r>
        <w:t>Avoid lifestyle aspiration photography (running on beaches, family gatherings in golden light)</w:t>
      </w:r>
    </w:p>
    <w:p>
      <w:pPr>
        <w:pStyle w:val="ListBullet"/>
      </w:pPr>
      <w:r>
        <w:t>Avoid nodule close-ups used as decorative or emotive devices</w:t>
      </w:r>
    </w:p>
    <w:p/>
    <w:p>
      <w:r>
        <w:t>If reused images appear too generic for this disease area, three contingency images should be generated: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Filename</w:t>
            </w:r>
          </w:p>
        </w:tc>
        <w:tc>
          <w:tcPr>
            <w:tcW w:type="dxa" w:w="2880"/>
          </w:tcPr>
          <w:p>
            <w:r>
              <w:rPr>
                <w:b/>
                <w:sz w:val="18"/>
              </w:rPr>
              <w:t>Usage</w:t>
            </w:r>
          </w:p>
        </w:tc>
        <w:tc>
          <w:tcPr>
            <w:tcW w:type="dxa" w:w="2880"/>
          </w:tcPr>
          <w:p>
            <w:r>
              <w:rPr>
                <w:b/>
                <w:sz w:val="18"/>
              </w:rPr>
              <w:t>Description</w:t>
            </w:r>
          </w:p>
        </w:tc>
      </w:tr>
      <w:tr>
        <w:tc>
          <w:tcPr>
            <w:tcW w:type="dxa" w:w="2880"/>
          </w:tcPr>
          <w:p>
            <w:r>
              <w:rPr>
                <w:sz w:val="18"/>
              </w:rPr>
              <w:t>hero-home.jpeg</w:t>
            </w:r>
          </w:p>
        </w:tc>
        <w:tc>
          <w:tcPr>
            <w:tcW w:type="dxa" w:w="2880"/>
          </w:tcPr>
          <w:p>
            <w:r>
              <w:rPr>
                <w:sz w:val="18"/>
              </w:rPr>
              <w:t>Home hero</w:t>
            </w:r>
          </w:p>
        </w:tc>
        <w:tc>
          <w:tcPr>
            <w:tcW w:type="dxa" w:w="2880"/>
          </w:tcPr>
          <w:p>
            <w:r>
              <w:rPr>
                <w:sz w:val="18"/>
              </w:rPr>
              <w:t>[GENERATE] Tier 2: Dermatologist in consultation room reviewing patient notes, clinical but warm lighting, diverse representation</w:t>
            </w:r>
          </w:p>
        </w:tc>
      </w:tr>
      <w:tr>
        <w:tc>
          <w:tcPr>
            <w:tcW w:type="dxa" w:w="2880"/>
          </w:tcPr>
          <w:p>
            <w:r>
              <w:rPr>
                <w:sz w:val="18"/>
              </w:rPr>
              <w:t>card-pn-patient.jpeg</w:t>
            </w:r>
          </w:p>
        </w:tc>
        <w:tc>
          <w:tcPr>
            <w:tcW w:type="dxa" w:w="2880"/>
          </w:tcPr>
          <w:p>
            <w:r>
              <w:rPr>
                <w:sz w:val="18"/>
              </w:rPr>
              <w:t>Efficacy card</w:t>
            </w:r>
          </w:p>
        </w:tc>
        <w:tc>
          <w:tcPr>
            <w:tcW w:type="dxa" w:w="2880"/>
          </w:tcPr>
          <w:p>
            <w:r>
              <w:rPr>
                <w:sz w:val="18"/>
              </w:rPr>
              <w:t>[GENERATE] Tier 2: Patient with skin of colour in everyday setting, arms relaxed and visible, natural light, expressing relief</w:t>
            </w:r>
          </w:p>
        </w:tc>
      </w:tr>
      <w:tr>
        <w:tc>
          <w:tcPr>
            <w:tcW w:type="dxa" w:w="2880"/>
          </w:tcPr>
          <w:p>
            <w:r>
              <w:rPr>
                <w:sz w:val="18"/>
              </w:rPr>
              <w:t>moa-il31-pathway.jpeg</w:t>
            </w:r>
          </w:p>
        </w:tc>
        <w:tc>
          <w:tcPr>
            <w:tcW w:type="dxa" w:w="2880"/>
          </w:tcPr>
          <w:p>
            <w:r>
              <w:rPr>
                <w:sz w:val="18"/>
              </w:rPr>
              <w:t>MoA diagram</w:t>
            </w:r>
          </w:p>
        </w:tc>
        <w:tc>
          <w:tcPr>
            <w:tcW w:type="dxa" w:w="2880"/>
          </w:tcPr>
          <w:p>
            <w:r>
              <w:rPr>
                <w:sz w:val="18"/>
              </w:rPr>
              <w:t>[GENERATE] Tier 3: Clean scientific diagram showing IL-31/IL-31Rα pathway on sensory neuron, professional illustration style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