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jpg" ContentType="image/jpeg"/>
  <Override PartName="/word/media/rId75.jpg" ContentType="image/jpeg"/>
  <Override PartName="/word/media/rId38.jpg" ContentType="image/jpeg"/>
  <Override PartName="/word/media/rId84.jpg" ContentType="image/jpeg"/>
  <Override PartName="/word/media/rId29.jpg" ContentType="image/jpeg"/>
  <Override PartName="/word/media/rId55.jpg" ContentType="image/jpeg"/>
  <Override PartName="/word/media/rId26.jpg" ContentType="image/jpeg"/>
  <Override PartName="/word/media/rId20.jpg" ContentType="image/jpeg"/>
  <Override PartName="/word/media/rId33.jpg" ContentType="image/jpeg"/>
  <Override PartName="/word/media/rId6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AstraZeneca UK</w:t>
      </w:r>
    </w:p>
    <w:p>
      <w:pPr>
        <w:pStyle w:val="BodyText"/>
      </w:pPr>
      <w:r>
        <w:rPr>
          <w:b/>
          <w:bCs/>
        </w:rPr>
        <w:t xml:space="preserve">XEVAT</w:t>
      </w:r>
    </w:p>
    <w:p>
      <w:pPr>
        <w:pStyle w:val="BodyText"/>
      </w:pPr>
      <w:r>
        <w:t xml:space="preserve">(xevatirel)</w:t>
      </w:r>
    </w:p>
    <w:p>
      <w:pPr>
        <w:pStyle w:val="BodyText"/>
      </w:pPr>
      <w:r>
        <w:t xml:space="preserve">HCP Website Briefing</w:t>
      </w:r>
    </w:p>
    <w:p>
      <w:pPr>
        <w:pStyle w:val="BodyText"/>
      </w:pPr>
      <w:r>
        <w:t xml:space="preserve">AEM Edge Delivery Services</w:t>
      </w:r>
    </w:p>
    <w:p>
      <w:pPr>
        <w:pStyle w:val="BodyText"/>
      </w:pPr>
      <w:r>
        <w:t xml:space="preserve">Approval Code: GB-98765 | Date of Preparation: March 2026</w:t>
      </w:r>
    </w:p>
    <w:bookmarkStart w:id="9" w:name="drug-profile"/>
    <w:p>
      <w:pPr>
        <w:pStyle w:val="Heading1"/>
      </w:pPr>
      <w:r>
        <w:t xml:space="preserve">Drug Profile</w:t>
      </w:r>
    </w:p>
    <w:p>
      <w:pPr>
        <w:pStyle w:val="Compact"/>
        <w:numPr>
          <w:ilvl w:val="0"/>
          <w:numId w:val="1001"/>
        </w:numPr>
      </w:pPr>
      <w:r>
        <w:rPr>
          <w:b/>
          <w:bCs/>
        </w:rPr>
        <w:t xml:space="preserve">Brand name:</w:t>
      </w:r>
      <w:r>
        <w:t xml:space="preserve"> </w:t>
      </w:r>
      <w:r>
        <w:t xml:space="preserve">XEVAT</w:t>
      </w:r>
    </w:p>
    <w:p>
      <w:pPr>
        <w:pStyle w:val="Compact"/>
        <w:numPr>
          <w:ilvl w:val="0"/>
          <w:numId w:val="1001"/>
        </w:numPr>
      </w:pPr>
      <w:r>
        <w:rPr>
          <w:b/>
          <w:bCs/>
        </w:rPr>
        <w:t xml:space="preserve">Generic name:</w:t>
      </w:r>
      <w:r>
        <w:t xml:space="preserve"> </w:t>
      </w:r>
      <w:r>
        <w:t xml:space="preserve">xevatirel</w:t>
      </w:r>
    </w:p>
    <w:p>
      <w:pPr>
        <w:pStyle w:val="Compact"/>
        <w:numPr>
          <w:ilvl w:val="0"/>
          <w:numId w:val="1001"/>
        </w:numPr>
      </w:pPr>
      <w:r>
        <w:rPr>
          <w:b/>
          <w:bCs/>
        </w:rPr>
        <w:t xml:space="preserve">Class:</w:t>
      </w:r>
      <w:r>
        <w:t xml:space="preserve"> </w:t>
      </w:r>
      <w:r>
        <w:t xml:space="preserve">Selective oral JAK1 inhibitor (Janus kinase 1)</w:t>
      </w:r>
    </w:p>
    <w:p>
      <w:pPr>
        <w:pStyle w:val="Compact"/>
        <w:numPr>
          <w:ilvl w:val="0"/>
          <w:numId w:val="1001"/>
        </w:numPr>
      </w:pPr>
      <w:r>
        <w:rPr>
          <w:b/>
          <w:bCs/>
        </w:rPr>
        <w:t xml:space="preserve">Indication:</w:t>
      </w:r>
      <w:r>
        <w:t xml:space="preserve"> </w:t>
      </w:r>
      <w:r>
        <w:t xml:space="preserve">Treatment of adult patients with moderately to severely active rheumatoid arthritis (RA) who have had an inadequate response or intolerance to one or more disease-modifying antirheumatic drugs (DMARDs)</w:t>
      </w:r>
    </w:p>
    <w:p>
      <w:pPr>
        <w:pStyle w:val="Compact"/>
        <w:numPr>
          <w:ilvl w:val="0"/>
          <w:numId w:val="1001"/>
        </w:numPr>
      </w:pPr>
      <w:r>
        <w:rPr>
          <w:b/>
          <w:bCs/>
        </w:rPr>
        <w:t xml:space="preserve">Extended indication:</w:t>
      </w:r>
      <w:r>
        <w:t xml:space="preserve"> </w:t>
      </w:r>
      <w:r>
        <w:t xml:space="preserve">Treatment of active psoriatic arthritis (PsA) in adults who have had an inadequate response or intolerance to a prior DMARD therapy</w:t>
      </w:r>
    </w:p>
    <w:p>
      <w:pPr>
        <w:pStyle w:val="Compact"/>
        <w:numPr>
          <w:ilvl w:val="0"/>
          <w:numId w:val="1001"/>
        </w:numPr>
      </w:pPr>
      <w:r>
        <w:rPr>
          <w:b/>
          <w:bCs/>
        </w:rPr>
        <w:t xml:space="preserve">Brand colour:</w:t>
      </w:r>
      <w:r>
        <w:t xml:space="preserve"> </w:t>
      </w:r>
      <w:r>
        <w:t xml:space="preserve">Amber Teal #0D7377</w:t>
      </w:r>
    </w:p>
    <w:p>
      <w:pPr>
        <w:pStyle w:val="Compact"/>
        <w:numPr>
          <w:ilvl w:val="0"/>
          <w:numId w:val="1001"/>
        </w:numPr>
      </w:pPr>
      <w:r>
        <w:rPr>
          <w:b/>
          <w:bCs/>
        </w:rPr>
        <w:t xml:space="preserve">Approval:</w:t>
      </w:r>
      <w:r>
        <w:t xml:space="preserve"> </w:t>
      </w:r>
      <w:r>
        <w:t xml:space="preserve">MHRA approved, January 2026</w:t>
      </w:r>
    </w:p>
    <w:bookmarkEnd w:id="9"/>
    <w:bookmarkStart w:id="10" w:name="mechanism-of-action"/>
    <w:p>
      <w:pPr>
        <w:pStyle w:val="Heading1"/>
      </w:pPr>
      <w:r>
        <w:t xml:space="preserve">Mechanism of Action</w:t>
      </w:r>
    </w:p>
    <w:p>
      <w:pPr>
        <w:pStyle w:val="FirstParagraph"/>
      </w:pPr>
      <w:r>
        <w:t xml:space="preserve">Xevatirel is a selective, reversible inhibitor of Janus kinase 1 (JAK1), a key intracellular signalling enzyme that mediates the activity of multiple pro-inflammatory cytokines implicated in the pathogenesis of rheumatoid arthritis and psoriatic arthritis. By preferentially inhibiting JAK1 over JAK2, JAK3, and TYK2, xevatirel:</w:t>
      </w:r>
    </w:p>
    <w:p>
      <w:pPr>
        <w:pStyle w:val="Compact"/>
        <w:numPr>
          <w:ilvl w:val="0"/>
          <w:numId w:val="1002"/>
        </w:numPr>
      </w:pPr>
      <w:r>
        <w:t xml:space="preserve">Blocks IL-6, IL-7, IL-15, and IFN-gamma signalling — key drivers of synovial inflammation and joint destruction</w:t>
      </w:r>
    </w:p>
    <w:p>
      <w:pPr>
        <w:pStyle w:val="Compact"/>
        <w:numPr>
          <w:ilvl w:val="0"/>
          <w:numId w:val="1002"/>
        </w:numPr>
      </w:pPr>
      <w:r>
        <w:t xml:space="preserve">Reduces T-cell activation and B-cell differentiation, attenuating autoimmune-driven tissue damage</w:t>
      </w:r>
    </w:p>
    <w:p>
      <w:pPr>
        <w:pStyle w:val="Compact"/>
        <w:numPr>
          <w:ilvl w:val="0"/>
          <w:numId w:val="1002"/>
        </w:numPr>
      </w:pPr>
      <w:r>
        <w:t xml:space="preserve">Preserves haematopoietic and immune homeostasis by minimising JAK2 and JAK3 inhibition</w:t>
      </w:r>
    </w:p>
    <w:p>
      <w:pPr>
        <w:pStyle w:val="Compact"/>
        <w:numPr>
          <w:ilvl w:val="0"/>
          <w:numId w:val="1002"/>
        </w:numPr>
      </w:pPr>
      <w:r>
        <w:t xml:space="preserve">Achieves rapid onset of action within days, with sustained disease control through continuous oral dosing</w:t>
      </w:r>
    </w:p>
    <w:p>
      <w:pPr>
        <w:pStyle w:val="FirstParagraph"/>
      </w:pPr>
      <w:r>
        <w:t xml:space="preserve">The selectivity ratio for JAK1 over JAK2 is approximately 30-fold, resulting in a favourable haematological safety profile while maintaining robust anti-inflammatory efficacy.</w:t>
      </w:r>
    </w:p>
    <w:bookmarkEnd w:id="10"/>
    <w:bookmarkStart w:id="11" w:name="dosing"/>
    <w:p>
      <w:pPr>
        <w:pStyle w:val="Heading1"/>
      </w:pPr>
      <w:r>
        <w:t xml:space="preserve">Dosing</w:t>
      </w:r>
    </w:p>
    <w:p>
      <w:pPr>
        <w:pStyle w:val="Compact"/>
        <w:numPr>
          <w:ilvl w:val="0"/>
          <w:numId w:val="1003"/>
        </w:numPr>
      </w:pPr>
      <w:r>
        <w:rPr>
          <w:b/>
          <w:bCs/>
        </w:rPr>
        <w:t xml:space="preserve">Formulation:</w:t>
      </w:r>
      <w:r>
        <w:t xml:space="preserve"> </w:t>
      </w:r>
      <w:r>
        <w:t xml:space="preserve">Film-coated tablets: 100 mg and 200 mg strengths</w:t>
      </w:r>
    </w:p>
    <w:p>
      <w:pPr>
        <w:pStyle w:val="Compact"/>
        <w:numPr>
          <w:ilvl w:val="0"/>
          <w:numId w:val="1003"/>
        </w:numPr>
      </w:pPr>
      <w:r>
        <w:rPr>
          <w:b/>
          <w:bCs/>
        </w:rPr>
        <w:t xml:space="preserve">RA dose:</w:t>
      </w:r>
      <w:r>
        <w:t xml:space="preserve"> </w:t>
      </w:r>
      <w:r>
        <w:t xml:space="preserve">200 mg once daily with or without food</w:t>
      </w:r>
    </w:p>
    <w:p>
      <w:pPr>
        <w:pStyle w:val="Compact"/>
        <w:numPr>
          <w:ilvl w:val="0"/>
          <w:numId w:val="1003"/>
        </w:numPr>
      </w:pPr>
      <w:r>
        <w:rPr>
          <w:b/>
          <w:bCs/>
        </w:rPr>
        <w:t xml:space="preserve">PsA dose:</w:t>
      </w:r>
      <w:r>
        <w:t xml:space="preserve"> </w:t>
      </w:r>
      <w:r>
        <w:t xml:space="preserve">200 mg once daily, in combination with a conventional synthetic DMARD (csDMARD)</w:t>
      </w:r>
    </w:p>
    <w:p>
      <w:pPr>
        <w:pStyle w:val="Compact"/>
        <w:numPr>
          <w:ilvl w:val="0"/>
          <w:numId w:val="1003"/>
        </w:numPr>
      </w:pPr>
      <w:r>
        <w:rPr>
          <w:b/>
          <w:bCs/>
        </w:rPr>
        <w:t xml:space="preserve">Dose adjustment:</w:t>
      </w:r>
      <w:r>
        <w:t xml:space="preserve"> </w:t>
      </w:r>
      <w:r>
        <w:t xml:space="preserve">100 mg once daily for patients with moderate renal impairment (eGFR 30-60 mL/min) or when co-administered with strong CYP3A4 inhibitors</w:t>
      </w:r>
    </w:p>
    <w:p>
      <w:pPr>
        <w:pStyle w:val="Compact"/>
        <w:numPr>
          <w:ilvl w:val="0"/>
          <w:numId w:val="1003"/>
        </w:numPr>
      </w:pPr>
      <w:r>
        <w:rPr>
          <w:b/>
          <w:bCs/>
        </w:rPr>
        <w:t xml:space="preserve">Contraindication:</w:t>
      </w:r>
      <w:r>
        <w:t xml:space="preserve"> </w:t>
      </w:r>
      <w:r>
        <w:t xml:space="preserve">Not recommended in severe hepatic impairment or severe renal impairment (eGFR &lt;30 mL/min)</w:t>
      </w:r>
    </w:p>
    <w:bookmarkEnd w:id="11"/>
    <w:bookmarkStart w:id="15" w:name="clinical-programme-resolve"/>
    <w:p>
      <w:pPr>
        <w:pStyle w:val="Heading1"/>
      </w:pPr>
      <w:r>
        <w:t xml:space="preserve">Clinical Programme: RESOLVE</w:t>
      </w:r>
    </w:p>
    <w:bookmarkStart w:id="13" w:name="X87ec2335b4a7d35fbe6159d579bcd31788af014"/>
    <w:p>
      <w:pPr>
        <w:pStyle w:val="Heading2"/>
      </w:pPr>
      <w:r>
        <w:t xml:space="preserve">RESOLVE-1 (Phase III, pivotal — RA, inadequate response to MTX)</w:t>
      </w:r>
    </w:p>
    <w:p>
      <w:pPr>
        <w:pStyle w:val="Compact"/>
        <w:numPr>
          <w:ilvl w:val="0"/>
          <w:numId w:val="1004"/>
        </w:numPr>
      </w:pPr>
      <w:r>
        <w:rPr>
          <w:b/>
          <w:bCs/>
        </w:rPr>
        <w:t xml:space="preserve">Design:</w:t>
      </w:r>
      <w:r>
        <w:t xml:space="preserve"> </w:t>
      </w:r>
      <w:r>
        <w:t xml:space="preserve">Randomised, double-blind, placebo-controlled, multicentre</w:t>
      </w:r>
    </w:p>
    <w:p>
      <w:pPr>
        <w:pStyle w:val="Compact"/>
        <w:numPr>
          <w:ilvl w:val="0"/>
          <w:numId w:val="1004"/>
        </w:numPr>
      </w:pPr>
      <w:r>
        <w:rPr>
          <w:b/>
          <w:bCs/>
        </w:rPr>
        <w:t xml:space="preserve">Population:</w:t>
      </w:r>
      <w:r>
        <w:t xml:space="preserve"> </w:t>
      </w:r>
      <w:r>
        <w:t xml:space="preserve">1,247 adults with moderately to severely active RA despite stable methotrexate (MTX), for ≥12 weeks</w:t>
      </w:r>
    </w:p>
    <w:p>
      <w:pPr>
        <w:pStyle w:val="Compact"/>
        <w:numPr>
          <w:ilvl w:val="0"/>
          <w:numId w:val="1004"/>
        </w:numPr>
      </w:pPr>
      <w:r>
        <w:rPr>
          <w:b/>
          <w:bCs/>
        </w:rPr>
        <w:t xml:space="preserve">Primary endpoints:</w:t>
      </w:r>
      <w:r>
        <w:t xml:space="preserve"> </w:t>
      </w:r>
      <w:r>
        <w:t xml:space="preserve">ACR20 at Week 12 and change from baseline in DAS28-CRP at Week 24</w:t>
      </w:r>
    </w:p>
    <w:bookmarkStart w:id="12" w:name="key-results-resolve-1"/>
    <w:p>
      <w:pPr>
        <w:pStyle w:val="Heading3"/>
      </w:pPr>
      <w:r>
        <w:t xml:space="preserve">Key Results — RESOLVE-1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Endpoint</w:t>
            </w:r>
          </w:p>
        </w:tc>
        <w:tc>
          <w:tcPr/>
          <w:p>
            <w:pPr>
              <w:pStyle w:val="Compact"/>
            </w:pPr>
            <w:r>
              <w:rPr>
                <w:b/>
                <w:bCs/>
              </w:rPr>
              <w:t xml:space="preserve">XEVAT 200 mg + MTX (n=416)</w:t>
            </w:r>
          </w:p>
        </w:tc>
        <w:tc>
          <w:tcPr/>
          <w:p>
            <w:pPr>
              <w:pStyle w:val="Compact"/>
            </w:pPr>
            <w:r>
              <w:rPr>
                <w:b/>
                <w:bCs/>
              </w:rPr>
              <w:t xml:space="preserve">Placebo + MTX (n=415)</w:t>
            </w:r>
          </w:p>
        </w:tc>
        <w:tc>
          <w:tcPr/>
          <w:p>
            <w:pPr>
              <w:pStyle w:val="Compact"/>
            </w:pPr>
            <w:r>
              <w:rPr>
                <w:b/>
                <w:bCs/>
              </w:rPr>
              <w:t xml:space="preserve">Significance</w:t>
            </w:r>
          </w:p>
        </w:tc>
      </w:tr>
      <w:tr>
        <w:tc>
          <w:tcPr/>
          <w:p>
            <w:pPr>
              <w:pStyle w:val="Compact"/>
            </w:pPr>
            <w:r>
              <w:t xml:space="preserve">ACR20 at Week 12 (primary)</w:t>
            </w:r>
          </w:p>
        </w:tc>
        <w:tc>
          <w:tcPr/>
          <w:p>
            <w:pPr>
              <w:pStyle w:val="Compact"/>
            </w:pPr>
            <w:r>
              <w:t xml:space="preserve">71.4%</w:t>
            </w:r>
          </w:p>
        </w:tc>
        <w:tc>
          <w:tcPr/>
          <w:p>
            <w:pPr>
              <w:pStyle w:val="Compact"/>
            </w:pPr>
            <w:r>
              <w:t xml:space="preserve">35.8%</w:t>
            </w:r>
          </w:p>
        </w:tc>
        <w:tc>
          <w:tcPr/>
          <w:p>
            <w:pPr>
              <w:pStyle w:val="Compact"/>
            </w:pPr>
            <w:r>
              <w:t xml:space="preserve">P&lt;0.001</w:t>
            </w:r>
          </w:p>
        </w:tc>
      </w:tr>
      <w:tr>
        <w:tc>
          <w:tcPr/>
          <w:p>
            <w:pPr>
              <w:pStyle w:val="Compact"/>
            </w:pPr>
            <w:r>
              <w:t xml:space="preserve">ACR50 at Week 12</w:t>
            </w:r>
          </w:p>
        </w:tc>
        <w:tc>
          <w:tcPr/>
          <w:p>
            <w:pPr>
              <w:pStyle w:val="Compact"/>
            </w:pPr>
            <w:r>
              <w:t xml:space="preserve">43.2%</w:t>
            </w:r>
          </w:p>
        </w:tc>
        <w:tc>
          <w:tcPr/>
          <w:p>
            <w:pPr>
              <w:pStyle w:val="Compact"/>
            </w:pPr>
            <w:r>
              <w:t xml:space="preserve">14.6%</w:t>
            </w:r>
          </w:p>
        </w:tc>
        <w:tc>
          <w:tcPr/>
          <w:p>
            <w:pPr>
              <w:pStyle w:val="Compact"/>
            </w:pPr>
            <w:r>
              <w:t xml:space="preserve">P&lt;0.001</w:t>
            </w:r>
          </w:p>
        </w:tc>
      </w:tr>
      <w:tr>
        <w:tc>
          <w:tcPr/>
          <w:p>
            <w:pPr>
              <w:pStyle w:val="Compact"/>
            </w:pPr>
            <w:r>
              <w:t xml:space="preserve">ACR70 at Week 12</w:t>
            </w:r>
          </w:p>
        </w:tc>
        <w:tc>
          <w:tcPr/>
          <w:p>
            <w:pPr>
              <w:pStyle w:val="Compact"/>
            </w:pPr>
            <w:r>
              <w:t xml:space="preserve">21.8%</w:t>
            </w:r>
          </w:p>
        </w:tc>
        <w:tc>
          <w:tcPr/>
          <w:p>
            <w:pPr>
              <w:pStyle w:val="Compact"/>
            </w:pPr>
            <w:r>
              <w:t xml:space="preserve">5.3%</w:t>
            </w:r>
          </w:p>
        </w:tc>
        <w:tc>
          <w:tcPr/>
          <w:p>
            <w:pPr>
              <w:pStyle w:val="Compact"/>
            </w:pPr>
            <w:r>
              <w:t xml:space="preserve">P&lt;0.001</w:t>
            </w:r>
          </w:p>
        </w:tc>
      </w:tr>
      <w:tr>
        <w:tc>
          <w:tcPr/>
          <w:p>
            <w:pPr>
              <w:pStyle w:val="Compact"/>
            </w:pPr>
            <w:r>
              <w:t xml:space="preserve">DAS28-CRP change at Wk 24 (co-primary)</w:t>
            </w:r>
          </w:p>
        </w:tc>
        <w:tc>
          <w:tcPr/>
          <w:p>
            <w:pPr>
              <w:pStyle w:val="Compact"/>
            </w:pPr>
            <w:r>
              <w:t xml:space="preserve">-2.89</w:t>
            </w:r>
          </w:p>
        </w:tc>
        <w:tc>
          <w:tcPr/>
          <w:p>
            <w:pPr>
              <w:pStyle w:val="Compact"/>
            </w:pPr>
            <w:r>
              <w:t xml:space="preserve">-1.24</w:t>
            </w:r>
          </w:p>
        </w:tc>
        <w:tc>
          <w:tcPr/>
          <w:p>
            <w:pPr>
              <w:pStyle w:val="Compact"/>
            </w:pPr>
            <w:r>
              <w:t xml:space="preserve">P&lt;0.001</w:t>
            </w:r>
          </w:p>
        </w:tc>
      </w:tr>
      <w:tr>
        <w:tc>
          <w:tcPr/>
          <w:p>
            <w:pPr>
              <w:pStyle w:val="Compact"/>
            </w:pPr>
            <w:r>
              <w:t xml:space="preserve">DAS28-CRP remission (&lt;2.6) at Wk 24</w:t>
            </w:r>
          </w:p>
        </w:tc>
        <w:tc>
          <w:tcPr/>
          <w:p>
            <w:pPr>
              <w:pStyle w:val="Compact"/>
            </w:pPr>
            <w:r>
              <w:t xml:space="preserve">38.7%</w:t>
            </w:r>
          </w:p>
        </w:tc>
        <w:tc>
          <w:tcPr/>
          <w:p>
            <w:pPr>
              <w:pStyle w:val="Compact"/>
            </w:pPr>
            <w:r>
              <w:t xml:space="preserve">9.2%</w:t>
            </w:r>
          </w:p>
        </w:tc>
        <w:tc>
          <w:tcPr/>
          <w:p>
            <w:pPr>
              <w:pStyle w:val="Compact"/>
            </w:pPr>
            <w:r>
              <w:t xml:space="preserve">P&lt;0.001</w:t>
            </w:r>
          </w:p>
        </w:tc>
      </w:tr>
      <w:tr>
        <w:tc>
          <w:tcPr/>
          <w:p>
            <w:pPr>
              <w:pStyle w:val="Compact"/>
            </w:pPr>
            <w:r>
              <w:t xml:space="preserve">HAQ-DI change at Week 12</w:t>
            </w:r>
          </w:p>
        </w:tc>
        <w:tc>
          <w:tcPr/>
          <w:p>
            <w:pPr>
              <w:pStyle w:val="Compact"/>
            </w:pPr>
            <w:r>
              <w:t xml:space="preserve">-0.62</w:t>
            </w:r>
          </w:p>
        </w:tc>
        <w:tc>
          <w:tcPr/>
          <w:p>
            <w:pPr>
              <w:pStyle w:val="Compact"/>
            </w:pPr>
            <w:r>
              <w:t xml:space="preserve">-0.28</w:t>
            </w:r>
          </w:p>
        </w:tc>
        <w:tc>
          <w:tcPr/>
          <w:p>
            <w:pPr>
              <w:pStyle w:val="Compact"/>
            </w:pPr>
            <w:r>
              <w:t xml:space="preserve">P&lt;0.001</w:t>
            </w:r>
          </w:p>
        </w:tc>
      </w:tr>
      <w:tr>
        <w:tc>
          <w:tcPr/>
          <w:p>
            <w:pPr>
              <w:pStyle w:val="Compact"/>
            </w:pPr>
            <w:r>
              <w:t xml:space="preserve">Radiographic non-progression at Wk 52</w:t>
            </w:r>
          </w:p>
        </w:tc>
        <w:tc>
          <w:tcPr/>
          <w:p>
            <w:pPr>
              <w:pStyle w:val="Compact"/>
            </w:pPr>
            <w:r>
              <w:t xml:space="preserve">89.3%</w:t>
            </w:r>
          </w:p>
        </w:tc>
        <w:tc>
          <w:tcPr/>
          <w:p>
            <w:pPr>
              <w:pStyle w:val="Compact"/>
            </w:pPr>
            <w:r>
              <w:t xml:space="preserve">71.6%</w:t>
            </w:r>
          </w:p>
        </w:tc>
        <w:tc>
          <w:tcPr/>
          <w:p>
            <w:pPr>
              <w:pStyle w:val="Compact"/>
            </w:pPr>
            <w:r>
              <w:t xml:space="preserve">P&lt;0.001</w:t>
            </w:r>
          </w:p>
        </w:tc>
      </w:tr>
    </w:tbl>
    <w:bookmarkEnd w:id="12"/>
    <w:bookmarkEnd w:id="13"/>
    <w:bookmarkStart w:id="14" w:name="Xa195513dfb9aa242e289f68412ce14f46120bf2"/>
    <w:p>
      <w:pPr>
        <w:pStyle w:val="Heading2"/>
      </w:pPr>
      <w:r>
        <w:t xml:space="preserve">RESOLVE-2 (Phase III — RA, inadequate response to biologics)</w:t>
      </w:r>
    </w:p>
    <w:p>
      <w:pPr>
        <w:pStyle w:val="Compact"/>
        <w:numPr>
          <w:ilvl w:val="0"/>
          <w:numId w:val="1005"/>
        </w:numPr>
      </w:pPr>
      <w:r>
        <w:rPr>
          <w:b/>
          <w:bCs/>
        </w:rPr>
        <w:t xml:space="preserve">Design:</w:t>
      </w:r>
      <w:r>
        <w:t xml:space="preserve"> </w:t>
      </w:r>
      <w:r>
        <w:t xml:space="preserve">Randomised, double-blind, placebo-controlled, multicentre</w:t>
      </w:r>
    </w:p>
    <w:p>
      <w:pPr>
        <w:pStyle w:val="Compact"/>
        <w:numPr>
          <w:ilvl w:val="0"/>
          <w:numId w:val="1005"/>
        </w:numPr>
      </w:pPr>
      <w:r>
        <w:rPr>
          <w:b/>
          <w:bCs/>
        </w:rPr>
        <w:t xml:space="preserve">Population:</w:t>
      </w:r>
      <w:r>
        <w:t xml:space="preserve"> </w:t>
      </w:r>
      <w:r>
        <w:t xml:space="preserve">684 adults with active RA who had inadequate response or intolerance to ≥1 bDMARD</w:t>
      </w:r>
    </w:p>
    <w:p>
      <w:pPr>
        <w:pStyle w:val="Compact"/>
        <w:numPr>
          <w:ilvl w:val="0"/>
          <w:numId w:val="1005"/>
        </w:numPr>
      </w:pPr>
      <w:r>
        <w:rPr>
          <w:b/>
          <w:bCs/>
        </w:rPr>
        <w:t xml:space="preserve">Primary endpoint:</w:t>
      </w:r>
      <w:r>
        <w:t xml:space="preserve"> </w:t>
      </w:r>
      <w:r>
        <w:t xml:space="preserve">ACR20 at Week 12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Endpoint</w:t>
            </w:r>
          </w:p>
        </w:tc>
        <w:tc>
          <w:tcPr/>
          <w:p>
            <w:pPr>
              <w:pStyle w:val="Compact"/>
            </w:pPr>
            <w:r>
              <w:rPr>
                <w:b/>
                <w:bCs/>
              </w:rPr>
              <w:t xml:space="preserve">XEVAT 200 mg + MTX (n=342)</w:t>
            </w:r>
          </w:p>
        </w:tc>
        <w:tc>
          <w:tcPr/>
          <w:p>
            <w:pPr>
              <w:pStyle w:val="Compact"/>
            </w:pPr>
            <w:r>
              <w:rPr>
                <w:b/>
                <w:bCs/>
              </w:rPr>
              <w:t xml:space="preserve">Placebo + MTX (n=342)</w:t>
            </w:r>
          </w:p>
        </w:tc>
        <w:tc>
          <w:tcPr/>
          <w:p>
            <w:pPr>
              <w:pStyle w:val="Compact"/>
            </w:pPr>
            <w:r>
              <w:rPr>
                <w:b/>
                <w:bCs/>
              </w:rPr>
              <w:t xml:space="preserve">Significance</w:t>
            </w:r>
          </w:p>
        </w:tc>
      </w:tr>
      <w:tr>
        <w:tc>
          <w:tcPr/>
          <w:p>
            <w:pPr>
              <w:pStyle w:val="Compact"/>
            </w:pPr>
            <w:r>
              <w:t xml:space="preserve">ACR20 at Week 12 (primary)</w:t>
            </w:r>
          </w:p>
        </w:tc>
        <w:tc>
          <w:tcPr/>
          <w:p>
            <w:pPr>
              <w:pStyle w:val="Compact"/>
            </w:pPr>
            <w:r>
              <w:t xml:space="preserve">64.2%</w:t>
            </w:r>
          </w:p>
        </w:tc>
        <w:tc>
          <w:tcPr/>
          <w:p>
            <w:pPr>
              <w:pStyle w:val="Compact"/>
            </w:pPr>
            <w:r>
              <w:t xml:space="preserve">28.1%</w:t>
            </w:r>
          </w:p>
        </w:tc>
        <w:tc>
          <w:tcPr/>
          <w:p>
            <w:pPr>
              <w:pStyle w:val="Compact"/>
            </w:pPr>
            <w:r>
              <w:t xml:space="preserve">P&lt;0.001</w:t>
            </w:r>
          </w:p>
        </w:tc>
      </w:tr>
      <w:tr>
        <w:tc>
          <w:tcPr/>
          <w:p>
            <w:pPr>
              <w:pStyle w:val="Compact"/>
            </w:pPr>
            <w:r>
              <w:t xml:space="preserve">ACR50 at Week 12</w:t>
            </w:r>
          </w:p>
        </w:tc>
        <w:tc>
          <w:tcPr/>
          <w:p>
            <w:pPr>
              <w:pStyle w:val="Compact"/>
            </w:pPr>
            <w:r>
              <w:t xml:space="preserve">35.7%</w:t>
            </w:r>
          </w:p>
        </w:tc>
        <w:tc>
          <w:tcPr/>
          <w:p>
            <w:pPr>
              <w:pStyle w:val="Compact"/>
            </w:pPr>
            <w:r>
              <w:t xml:space="preserve">11.9%</w:t>
            </w:r>
          </w:p>
        </w:tc>
        <w:tc>
          <w:tcPr/>
          <w:p>
            <w:pPr>
              <w:pStyle w:val="Compact"/>
            </w:pPr>
            <w:r>
              <w:t xml:space="preserve">P&lt;0.001</w:t>
            </w:r>
          </w:p>
        </w:tc>
      </w:tr>
      <w:tr>
        <w:tc>
          <w:tcPr/>
          <w:p>
            <w:pPr>
              <w:pStyle w:val="Compact"/>
            </w:pPr>
            <w:r>
              <w:t xml:space="preserve">ACR70 at Week 12</w:t>
            </w:r>
          </w:p>
        </w:tc>
        <w:tc>
          <w:tcPr/>
          <w:p>
            <w:pPr>
              <w:pStyle w:val="Compact"/>
            </w:pPr>
            <w:r>
              <w:t xml:space="preserve">16.4%</w:t>
            </w:r>
          </w:p>
        </w:tc>
        <w:tc>
          <w:tcPr/>
          <w:p>
            <w:pPr>
              <w:pStyle w:val="Compact"/>
            </w:pPr>
            <w:r>
              <w:t xml:space="preserve">3.8%</w:t>
            </w:r>
          </w:p>
        </w:tc>
        <w:tc>
          <w:tcPr/>
          <w:p>
            <w:pPr>
              <w:pStyle w:val="Compact"/>
            </w:pPr>
            <w:r>
              <w:t xml:space="preserve">P&lt;0.001</w:t>
            </w:r>
          </w:p>
        </w:tc>
      </w:tr>
      <w:tr>
        <w:tc>
          <w:tcPr/>
          <w:p>
            <w:pPr>
              <w:pStyle w:val="Compact"/>
            </w:pPr>
            <w:r>
              <w:t xml:space="preserve">DAS28-CRP change at Week 24</w:t>
            </w:r>
          </w:p>
        </w:tc>
        <w:tc>
          <w:tcPr/>
          <w:p>
            <w:pPr>
              <w:pStyle w:val="Compact"/>
            </w:pPr>
            <w:r>
              <w:t xml:space="preserve">-2.51</w:t>
            </w:r>
          </w:p>
        </w:tc>
        <w:tc>
          <w:tcPr/>
          <w:p>
            <w:pPr>
              <w:pStyle w:val="Compact"/>
            </w:pPr>
            <w:r>
              <w:t xml:space="preserve">-0.98</w:t>
            </w:r>
          </w:p>
        </w:tc>
        <w:tc>
          <w:tcPr/>
          <w:p>
            <w:pPr>
              <w:pStyle w:val="Compact"/>
            </w:pPr>
            <w:r>
              <w:t xml:space="preserve">P&lt;0.001</w:t>
            </w:r>
          </w:p>
        </w:tc>
      </w:tr>
      <w:tr>
        <w:tc>
          <w:tcPr/>
          <w:p>
            <w:pPr>
              <w:pStyle w:val="Compact"/>
            </w:pPr>
            <w:r>
              <w:t xml:space="preserve">DAS28-CRP remission (&lt;2.6) at Wk 24</w:t>
            </w:r>
          </w:p>
        </w:tc>
        <w:tc>
          <w:tcPr/>
          <w:p>
            <w:pPr>
              <w:pStyle w:val="Compact"/>
            </w:pPr>
            <w:r>
              <w:t xml:space="preserve">29.4%</w:t>
            </w:r>
          </w:p>
        </w:tc>
        <w:tc>
          <w:tcPr/>
          <w:p>
            <w:pPr>
              <w:pStyle w:val="Compact"/>
            </w:pPr>
            <w:r>
              <w:t xml:space="preserve">6.7%</w:t>
            </w:r>
          </w:p>
        </w:tc>
        <w:tc>
          <w:tcPr/>
          <w:p>
            <w:pPr>
              <w:pStyle w:val="Compact"/>
            </w:pPr>
            <w:r>
              <w:t xml:space="preserve">P&lt;0.001</w:t>
            </w:r>
          </w:p>
        </w:tc>
      </w:tr>
    </w:tbl>
    <w:bookmarkEnd w:id="14"/>
    <w:bookmarkEnd w:id="15"/>
    <w:bookmarkStart w:id="19" w:name="safety-profile-pooled-data-n1931"/>
    <w:p>
      <w:pPr>
        <w:pStyle w:val="Heading1"/>
      </w:pPr>
      <w:r>
        <w:t xml:space="preserve">Safety Profile (Pooled data, n=1,931)</w:t>
      </w:r>
    </w:p>
    <w:bookmarkStart w:id="18" w:name="most-common-adverse-events-5"/>
    <w:p>
      <w:pPr>
        <w:pStyle w:val="Heading2"/>
      </w:pPr>
      <w:r>
        <w:t xml:space="preserve">Most common adverse events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Adverse Event</w:t>
            </w:r>
          </w:p>
        </w:tc>
        <w:tc>
          <w:tcPr/>
          <w:p>
            <w:pPr>
              <w:pStyle w:val="Compact"/>
            </w:pPr>
            <w:r>
              <w:rPr>
                <w:b/>
                <w:bCs/>
              </w:rPr>
              <w:t xml:space="preserve">XEVAT (n=1,287)</w:t>
            </w:r>
          </w:p>
        </w:tc>
        <w:tc>
          <w:tcPr/>
          <w:p>
            <w:pPr>
              <w:pStyle w:val="Compact"/>
            </w:pPr>
            <w:r>
              <w:rPr>
                <w:b/>
                <w:bCs/>
              </w:rPr>
              <w:t xml:space="preserve">Placebo (n=644)</w:t>
            </w:r>
          </w:p>
        </w:tc>
      </w:tr>
      <w:tr>
        <w:tc>
          <w:tcPr/>
          <w:p>
            <w:pPr>
              <w:pStyle w:val="Compact"/>
            </w:pPr>
            <w:r>
              <w:t xml:space="preserve">Upper respiratory tract infection</w:t>
            </w:r>
          </w:p>
        </w:tc>
        <w:tc>
          <w:tcPr/>
          <w:p>
            <w:pPr>
              <w:pStyle w:val="Compact"/>
            </w:pPr>
            <w:r>
              <w:t xml:space="preserve">14.2%</w:t>
            </w:r>
          </w:p>
        </w:tc>
        <w:tc>
          <w:tcPr/>
          <w:p>
            <w:pPr>
              <w:pStyle w:val="Compact"/>
            </w:pPr>
            <w:r>
              <w:t xml:space="preserve">11.8%</w:t>
            </w:r>
          </w:p>
        </w:tc>
      </w:tr>
      <w:tr>
        <w:tc>
          <w:tcPr/>
          <w:p>
            <w:pPr>
              <w:pStyle w:val="Compact"/>
            </w:pPr>
            <w:r>
              <w:t xml:space="preserve">Nausea</w:t>
            </w:r>
          </w:p>
        </w:tc>
        <w:tc>
          <w:tcPr/>
          <w:p>
            <w:pPr>
              <w:pStyle w:val="Compact"/>
            </w:pPr>
            <w:r>
              <w:t xml:space="preserve">8.7%</w:t>
            </w:r>
          </w:p>
        </w:tc>
        <w:tc>
          <w:tcPr/>
          <w:p>
            <w:pPr>
              <w:pStyle w:val="Compact"/>
            </w:pPr>
            <w:r>
              <w:t xml:space="preserve">4.3%</w:t>
            </w:r>
          </w:p>
        </w:tc>
      </w:tr>
      <w:tr>
        <w:tc>
          <w:tcPr/>
          <w:p>
            <w:pPr>
              <w:pStyle w:val="Compact"/>
            </w:pPr>
            <w:r>
              <w:t xml:space="preserve">Headache</w:t>
            </w:r>
          </w:p>
        </w:tc>
        <w:tc>
          <w:tcPr/>
          <w:p>
            <w:pPr>
              <w:pStyle w:val="Compact"/>
            </w:pPr>
            <w:r>
              <w:t xml:space="preserve">7.4%</w:t>
            </w:r>
          </w:p>
        </w:tc>
        <w:tc>
          <w:tcPr/>
          <w:p>
            <w:pPr>
              <w:pStyle w:val="Compact"/>
            </w:pPr>
            <w:r>
              <w:t xml:space="preserve">5.1%</w:t>
            </w:r>
          </w:p>
        </w:tc>
      </w:tr>
      <w:tr>
        <w:tc>
          <w:tcPr/>
          <w:p>
            <w:pPr>
              <w:pStyle w:val="Compact"/>
            </w:pPr>
            <w:r>
              <w:t xml:space="preserve">Urinary tract infection</w:t>
            </w:r>
          </w:p>
        </w:tc>
        <w:tc>
          <w:tcPr/>
          <w:p>
            <w:pPr>
              <w:pStyle w:val="Compact"/>
            </w:pPr>
            <w:r>
              <w:t xml:space="preserve">5.8%</w:t>
            </w:r>
          </w:p>
        </w:tc>
        <w:tc>
          <w:tcPr/>
          <w:p>
            <w:pPr>
              <w:pStyle w:val="Compact"/>
            </w:pPr>
            <w:r>
              <w:t xml:space="preserve">4.6%</w:t>
            </w:r>
          </w:p>
        </w:tc>
      </w:tr>
      <w:tr>
        <w:tc>
          <w:tcPr/>
          <w:p>
            <w:pPr>
              <w:pStyle w:val="Compact"/>
            </w:pPr>
            <w:r>
              <w:t xml:space="preserve">Elevated CPK</w:t>
            </w:r>
          </w:p>
        </w:tc>
        <w:tc>
          <w:tcPr/>
          <w:p>
            <w:pPr>
              <w:pStyle w:val="Compact"/>
            </w:pPr>
            <w:r>
              <w:t xml:space="preserve">5.3%</w:t>
            </w:r>
          </w:p>
        </w:tc>
        <w:tc>
          <w:tcPr/>
          <w:p>
            <w:pPr>
              <w:pStyle w:val="Compact"/>
            </w:pPr>
            <w:r>
              <w:t xml:space="preserve">1.2%</w:t>
            </w:r>
          </w:p>
        </w:tc>
      </w:tr>
      <w:tr>
        <w:tc>
          <w:tcPr/>
          <w:p>
            <w:pPr>
              <w:pStyle w:val="Compact"/>
            </w:pPr>
            <w:r>
              <w:t xml:space="preserve">Herpes zoster</w:t>
            </w:r>
          </w:p>
        </w:tc>
        <w:tc>
          <w:tcPr/>
          <w:p>
            <w:pPr>
              <w:pStyle w:val="Compact"/>
            </w:pPr>
            <w:r>
              <w:t xml:space="preserve">3.8%</w:t>
            </w:r>
          </w:p>
        </w:tc>
        <w:tc>
          <w:tcPr/>
          <w:p>
            <w:pPr>
              <w:pStyle w:val="Compact"/>
            </w:pPr>
            <w:r>
              <w:t xml:space="preserve">0.9%</w:t>
            </w:r>
          </w:p>
        </w:tc>
      </w:tr>
      <w:tr>
        <w:tc>
          <w:tcPr/>
          <w:p>
            <w:pPr>
              <w:pStyle w:val="Compact"/>
            </w:pPr>
            <w:r>
              <w:t xml:space="preserve">Neutropenia</w:t>
            </w:r>
          </w:p>
        </w:tc>
        <w:tc>
          <w:tcPr/>
          <w:p>
            <w:pPr>
              <w:pStyle w:val="Compact"/>
            </w:pPr>
            <w:r>
              <w:t xml:space="preserve">3.2%</w:t>
            </w:r>
          </w:p>
        </w:tc>
        <w:tc>
          <w:tcPr/>
          <w:p>
            <w:pPr>
              <w:pStyle w:val="Compact"/>
            </w:pPr>
            <w:r>
              <w:t xml:space="preserve">0.6%</w:t>
            </w:r>
          </w:p>
        </w:tc>
      </w:tr>
    </w:tbl>
    <w:bookmarkStart w:id="16" w:name="key-safety-findings"/>
    <w:p>
      <w:pPr>
        <w:pStyle w:val="Heading3"/>
      </w:pPr>
      <w:r>
        <w:t xml:space="preserve">Key safety findings</w:t>
      </w:r>
    </w:p>
    <w:p>
      <w:pPr>
        <w:pStyle w:val="Compact"/>
        <w:numPr>
          <w:ilvl w:val="0"/>
          <w:numId w:val="1006"/>
        </w:numPr>
      </w:pPr>
      <w:r>
        <w:t xml:space="preserve">Serious infections: 2.8% vs 2.1% (most common: pneumonia, cellulitis)</w:t>
      </w:r>
    </w:p>
    <w:p>
      <w:pPr>
        <w:pStyle w:val="Compact"/>
        <w:numPr>
          <w:ilvl w:val="0"/>
          <w:numId w:val="1006"/>
        </w:numPr>
      </w:pPr>
      <w:r>
        <w:t xml:space="preserve">Herpes zoster: 3.8% vs 0.9% (mostly non-serious, dermatomal)</w:t>
      </w:r>
    </w:p>
    <w:p>
      <w:pPr>
        <w:pStyle w:val="Compact"/>
        <w:numPr>
          <w:ilvl w:val="0"/>
          <w:numId w:val="1006"/>
        </w:numPr>
      </w:pPr>
      <w:r>
        <w:t xml:space="preserve">Venous thromboembolism: 0.4% vs 0.3% (no imbalance observed)</w:t>
      </w:r>
    </w:p>
    <w:p>
      <w:pPr>
        <w:pStyle w:val="Compact"/>
        <w:numPr>
          <w:ilvl w:val="0"/>
          <w:numId w:val="1006"/>
        </w:numPr>
      </w:pPr>
      <w:r>
        <w:t xml:space="preserve">Major adverse cardiovascular events (MACE): 0.3% vs 0.2%</w:t>
      </w:r>
    </w:p>
    <w:p>
      <w:pPr>
        <w:pStyle w:val="Compact"/>
        <w:numPr>
          <w:ilvl w:val="0"/>
          <w:numId w:val="1006"/>
        </w:numPr>
      </w:pPr>
      <w:r>
        <w:t xml:space="preserve">Malignancy (excluding NMSC): 0.5% vs 0.4%</w:t>
      </w:r>
    </w:p>
    <w:p>
      <w:pPr>
        <w:pStyle w:val="Compact"/>
        <w:numPr>
          <w:ilvl w:val="0"/>
          <w:numId w:val="1006"/>
        </w:numPr>
      </w:pPr>
      <w:r>
        <w:t xml:space="preserve">Serious adverse events: 8.4% vs 7.9%</w:t>
      </w:r>
    </w:p>
    <w:p>
      <w:pPr>
        <w:pStyle w:val="Compact"/>
        <w:numPr>
          <w:ilvl w:val="0"/>
          <w:numId w:val="1006"/>
        </w:numPr>
      </w:pPr>
      <w:r>
        <w:t xml:space="preserve">Discontinuation due to AEs: 4.2% vs 3.1%</w:t>
      </w:r>
    </w:p>
    <w:bookmarkEnd w:id="16"/>
    <w:bookmarkStart w:id="17" w:name="special-populations"/>
    <w:p>
      <w:pPr>
        <w:pStyle w:val="Heading3"/>
      </w:pPr>
      <w:r>
        <w:t xml:space="preserve">Special populations</w:t>
      </w:r>
    </w:p>
    <w:p>
      <w:pPr>
        <w:pStyle w:val="Compact"/>
        <w:numPr>
          <w:ilvl w:val="0"/>
          <w:numId w:val="1007"/>
        </w:numPr>
      </w:pPr>
      <w:r>
        <w:rPr>
          <w:b/>
          <w:bCs/>
        </w:rPr>
        <w:t xml:space="preserve">Pregnancy:</w:t>
      </w:r>
      <w:r>
        <w:t xml:space="preserve"> </w:t>
      </w:r>
      <w:r>
        <w:t xml:space="preserve">Contraindicated. Effective contraception required during treatment and for 1 week after the last dose.</w:t>
      </w:r>
    </w:p>
    <w:p>
      <w:pPr>
        <w:pStyle w:val="Compact"/>
        <w:numPr>
          <w:ilvl w:val="0"/>
          <w:numId w:val="1007"/>
        </w:numPr>
      </w:pPr>
      <w:r>
        <w:rPr>
          <w:b/>
          <w:bCs/>
        </w:rPr>
        <w:t xml:space="preserve">Breastfeeding:</w:t>
      </w:r>
      <w:r>
        <w:t xml:space="preserve"> </w:t>
      </w:r>
      <w:r>
        <w:t xml:space="preserve">Not recommended during treatment.</w:t>
      </w:r>
    </w:p>
    <w:p>
      <w:pPr>
        <w:pStyle w:val="Compact"/>
        <w:numPr>
          <w:ilvl w:val="0"/>
          <w:numId w:val="1007"/>
        </w:numPr>
      </w:pPr>
      <w:r>
        <w:rPr>
          <w:b/>
          <w:bCs/>
        </w:rPr>
        <w:t xml:space="preserve">Elderly (≥65 years):</w:t>
      </w:r>
      <w:r>
        <w:t xml:space="preserve"> </w:t>
      </w:r>
      <w:r>
        <w:t xml:space="preserve">No dose adjustment required. No clinically meaningful differences in efficacy.</w:t>
      </w:r>
    </w:p>
    <w:p>
      <w:pPr>
        <w:pStyle w:val="Compact"/>
        <w:numPr>
          <w:ilvl w:val="0"/>
          <w:numId w:val="1007"/>
        </w:numPr>
      </w:pPr>
      <w:r>
        <w:rPr>
          <w:b/>
          <w:bCs/>
        </w:rPr>
        <w:t xml:space="preserve">Renal impairment:</w:t>
      </w:r>
      <w:r>
        <w:t xml:space="preserve"> </w:t>
      </w:r>
      <w:r>
        <w:t xml:space="preserve">100 mg once daily for moderate impairment. Not recommended in severe impairment.</w:t>
      </w:r>
    </w:p>
    <w:p>
      <w:pPr>
        <w:pStyle w:val="Compact"/>
        <w:numPr>
          <w:ilvl w:val="0"/>
          <w:numId w:val="1007"/>
        </w:numPr>
      </w:pPr>
      <w:r>
        <w:rPr>
          <w:b/>
          <w:bCs/>
        </w:rPr>
        <w:t xml:space="preserve">Hepatic impairment:</w:t>
      </w:r>
      <w:r>
        <w:t xml:space="preserve"> </w:t>
      </w:r>
      <w:r>
        <w:t xml:space="preserve">Not recommended in severe hepatic impairment. No adjustment for mild-to-moderate.</w:t>
      </w:r>
    </w:p>
    <w:bookmarkEnd w:id="17"/>
    <w:bookmarkEnd w:id="18"/>
    <w:bookmarkEnd w:id="19"/>
    <w:bookmarkStart w:id="93" w:name="page-content"/>
    <w:p>
      <w:pPr>
        <w:pStyle w:val="Heading1"/>
      </w:pPr>
      <w:r>
        <w:t xml:space="preserve">Page Content</w:t>
      </w:r>
    </w:p>
    <w:bookmarkStart w:id="44" w:name="page-1-home-index.plain.html"/>
    <w:p>
      <w:pPr>
        <w:pStyle w:val="Heading2"/>
      </w:pPr>
      <w:r>
        <w:t xml:space="preserve">Page 1: Home (index.plain.html)</w:t>
      </w:r>
    </w:p>
    <w:bookmarkStart w:id="24" w:name="section-1-hero"/>
    <w:p>
      <w:pPr>
        <w:pStyle w:val="Heading3"/>
      </w:pPr>
      <w:r>
        <w:t xml:space="preserve">Section 1 — Hero</w:t>
      </w:r>
    </w:p>
    <w:p>
      <w:pPr>
        <w:pStyle w:val="FirstParagraph"/>
      </w:pPr>
      <w:r>
        <w:rPr>
          <w:b/>
          <w:bCs/>
        </w:rPr>
        <w:t xml:space="preserve">Block: hero-teaser</w:t>
      </w:r>
    </w:p>
    <w:p>
      <w:pPr>
        <w:pStyle w:val="BodyText"/>
      </w:pPr>
      <w:r>
        <w:rPr>
          <w:b/>
          <w:bCs/>
        </w:rPr>
        <w:t xml:space="preserve">Image: hero-home.jpeg</w:t>
      </w:r>
      <w:r>
        <w:t xml:space="preserve"> </w:t>
      </w:r>
      <w:r>
        <w:t xml:space="preserve">CDN URL: https://revantha-images.pages.dev/hero-home.jpeg</w:t>
      </w:r>
    </w:p>
    <w:p>
      <w:pPr>
        <w:pStyle w:val="BodyText"/>
      </w:pPr>
      <w:r>
        <w:drawing>
          <wp:inline>
            <wp:extent cx="4194048" cy="2340864"/>
            <wp:effectExtent b="0" l="0" r="0" t="0"/>
            <wp:docPr descr="" title="" id="21" name="Picture"/>
            <a:graphic>
              <a:graphicData uri="http://schemas.openxmlformats.org/drawingml/2006/picture">
                <pic:pic>
                  <pic:nvPicPr>
                    <pic:cNvPr descr="https://revantha-images.pages.dev/hero-home.jpeg" id="22" name="Picture"/>
                    <pic:cNvPicPr>
                      <a:picLocks noChangeArrowheads="1" noChangeAspect="1"/>
                    </pic:cNvPicPr>
                  </pic:nvPicPr>
                  <pic:blipFill>
                    <a:blip r:embed="rId20"/>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t xml:space="preserve">Source: revantha site | Double-exposure portrait, man silhouette filled with scientific imagery</w:t>
      </w:r>
    </w:p>
    <w:p>
      <w:pPr>
        <w:pStyle w:val="BodyText"/>
      </w:pPr>
      <w:r>
        <w:t xml:space="preserve">XEVAT (xevatirel)</w:t>
      </w:r>
      <w:r>
        <w:t xml:space="preserve"> </w:t>
      </w:r>
      <w:r>
        <w:t xml:space="preserve">Selective oral JAK1 inhibitor for the treatment of moderately to severely active rheumatoid arthritis in adults with inadequate response to DMARDs.¹</w:t>
      </w:r>
      <w:r>
        <w:t xml:space="preserve"> </w:t>
      </w:r>
      <w:hyperlink r:id="rId23">
        <w:r>
          <w:rPr>
            <w:rStyle w:val="Hyperlink"/>
          </w:rPr>
          <w:t xml:space="preserve">Explore efficacy data</w:t>
        </w:r>
      </w:hyperlink>
    </w:p>
    <w:bookmarkEnd w:id="24"/>
    <w:bookmarkStart w:id="25" w:name="section-2-disease-burden-introduction"/>
    <w:p>
      <w:pPr>
        <w:pStyle w:val="Heading3"/>
      </w:pPr>
      <w:r>
        <w:t xml:space="preserve">Section 2 — Disease Burden Introduction</w:t>
      </w:r>
    </w:p>
    <w:p>
      <w:pPr>
        <w:pStyle w:val="FirstParagraph"/>
      </w:pPr>
      <w:r>
        <w:rPr>
          <w:b/>
          <w:bCs/>
        </w:rPr>
        <w:t xml:space="preserve">Block: introduction | Section metadata: Style: light</w:t>
      </w:r>
    </w:p>
    <w:p>
      <w:pPr>
        <w:pStyle w:val="BodyText"/>
      </w:pPr>
      <w:r>
        <w:t xml:space="preserve">Rheumatoid arthritis: unmet need persists</w:t>
      </w:r>
      <w:r>
        <w:t xml:space="preserve"> </w:t>
      </w:r>
      <w:r>
        <w:t xml:space="preserve">Despite the availability of biologic DMARDs, approximately 40% of patients with RA fail to achieve low disease activity with current therapies, and many experience loss of response over time.¹ ² There remains a significant need for effective, convenient oral therapies that provide rapid and sustained disease control.</w:t>
      </w:r>
    </w:p>
    <w:bookmarkEnd w:id="25"/>
    <w:bookmarkStart w:id="37" w:name="section-3-key-navigation-cards"/>
    <w:p>
      <w:pPr>
        <w:pStyle w:val="Heading3"/>
      </w:pPr>
      <w:r>
        <w:t xml:space="preserve">Section 3 — Key Navigation Cards</w:t>
      </w:r>
    </w:p>
    <w:p>
      <w:pPr>
        <w:pStyle w:val="FirstParagraph"/>
      </w:pPr>
      <w:r>
        <w:rPr>
          <w:b/>
          <w:bCs/>
        </w:rPr>
        <w:t xml:space="preserve">Block: cards-teaser</w:t>
      </w:r>
    </w:p>
    <w:p>
      <w:pPr>
        <w:pStyle w:val="BodyText"/>
      </w:pPr>
      <w:r>
        <w:rPr>
          <w:b/>
          <w:bCs/>
        </w:rPr>
        <w:t xml:space="preserve">Card 1:</w:t>
      </w:r>
    </w:p>
    <w:p>
      <w:pPr>
        <w:pStyle w:val="BodyText"/>
      </w:pPr>
      <w:r>
        <w:rPr>
          <w:b/>
          <w:bCs/>
        </w:rPr>
        <w:t xml:space="preserve">Image: card-efficacy.jpeg</w:t>
      </w:r>
      <w:r>
        <w:t xml:space="preserve"> </w:t>
      </w:r>
      <w:r>
        <w:t xml:space="preserve">CDN URL: https://revantha-images.pages.dev/card-efficacy.jpeg</w:t>
      </w:r>
    </w:p>
    <w:p>
      <w:pPr>
        <w:pStyle w:val="BodyText"/>
      </w:pPr>
      <w:r>
        <w:drawing>
          <wp:inline>
            <wp:extent cx="3657600" cy="2731008"/>
            <wp:effectExtent b="0" l="0" r="0" t="0"/>
            <wp:docPr descr="" title="" id="27" name="Picture"/>
            <a:graphic>
              <a:graphicData uri="http://schemas.openxmlformats.org/drawingml/2006/picture">
                <pic:pic>
                  <pic:nvPicPr>
                    <pic:cNvPr descr="https://revantha-images.pages.dev/card-efficacy.jpeg" id="28" name="Picture"/>
                    <pic:cNvPicPr>
                      <a:picLocks noChangeArrowheads="1" noChangeAspect="1"/>
                    </pic:cNvPicPr>
                  </pic:nvPicPr>
                  <pic:blipFill>
                    <a:blip r:embed="rId26"/>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t xml:space="preserve">Source: revantha site | Abstract data visualisation in blue and white</w:t>
      </w:r>
    </w:p>
    <w:p>
      <w:pPr>
        <w:pStyle w:val="BodyText"/>
      </w:pPr>
      <w:r>
        <w:t xml:space="preserve">Rapid and sustained disease control</w:t>
      </w:r>
      <w:r>
        <w:t xml:space="preserve"> </w:t>
      </w:r>
      <w:r>
        <w:t xml:space="preserve">71% of patients achieved ACR20 at Week 12 in the RESOLVE-1 trial, with sustained improvements through Week 52.¹</w:t>
      </w:r>
      <w:r>
        <w:t xml:space="preserve"> </w:t>
      </w:r>
      <w:hyperlink r:id="rId23">
        <w:r>
          <w:rPr>
            <w:rStyle w:val="Hyperlink"/>
          </w:rPr>
          <w:t xml:space="preserve">View efficacy data</w:t>
        </w:r>
      </w:hyperlink>
    </w:p>
    <w:p>
      <w:pPr>
        <w:pStyle w:val="BodyText"/>
      </w:pPr>
      <w:r>
        <w:rPr>
          <w:b/>
          <w:bCs/>
        </w:rPr>
        <w:t xml:space="preserve">Card 2:</w:t>
      </w:r>
    </w:p>
    <w:p>
      <w:pPr>
        <w:pStyle w:val="BodyText"/>
      </w:pPr>
      <w:r>
        <w:rPr>
          <w:b/>
          <w:bCs/>
        </w:rPr>
        <w:t xml:space="preserve">Image: card-safety.jpeg</w:t>
      </w:r>
      <w:r>
        <w:t xml:space="preserve"> </w:t>
      </w:r>
      <w:r>
        <w:t xml:space="preserve">CDN URL: https://novapril-images.pages.dev/card-safety.jpeg</w:t>
      </w:r>
    </w:p>
    <w:p>
      <w:pPr>
        <w:pStyle w:val="BodyText"/>
      </w:pPr>
      <w:r>
        <w:drawing>
          <wp:inline>
            <wp:extent cx="3657600" cy="2731008"/>
            <wp:effectExtent b="0" l="0" r="0" t="0"/>
            <wp:docPr descr="" title="" id="30" name="Picture"/>
            <a:graphic>
              <a:graphicData uri="http://schemas.openxmlformats.org/drawingml/2006/picture">
                <pic:pic>
                  <pic:nvPicPr>
                    <pic:cNvPr descr="https://novapril-images.pages.dev/card-safety.jpeg" id="31" name="Picture"/>
                    <pic:cNvPicPr>
                      <a:picLocks noChangeArrowheads="1" noChangeAspect="1"/>
                    </pic:cNvPicPr>
                  </pic:nvPicPr>
                  <pic:blipFill>
                    <a:blip r:embed="rId29"/>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t xml:space="preserve">Source: novapril site | Healthcare professional with patient monitoring</w:t>
      </w:r>
    </w:p>
    <w:p>
      <w:pPr>
        <w:pStyle w:val="BodyText"/>
      </w:pPr>
      <w:r>
        <w:t xml:space="preserve">Well-characterised safety profile</w:t>
      </w:r>
      <w:r>
        <w:t xml:space="preserve"> </w:t>
      </w:r>
      <w:r>
        <w:t xml:space="preserve">The safety profile of XEVAT was consistent across the RESOLVE clinical programme, with a low rate of treatment discontinuation due to adverse events.¹</w:t>
      </w:r>
      <w:r>
        <w:t xml:space="preserve"> </w:t>
      </w:r>
      <w:hyperlink r:id="rId32">
        <w:r>
          <w:rPr>
            <w:rStyle w:val="Hyperlink"/>
          </w:rPr>
          <w:t xml:space="preserve">Review safety profile</w:t>
        </w:r>
      </w:hyperlink>
    </w:p>
    <w:p>
      <w:pPr>
        <w:pStyle w:val="BodyText"/>
      </w:pPr>
      <w:r>
        <w:rPr>
          <w:b/>
          <w:bCs/>
        </w:rPr>
        <w:t xml:space="preserve">Card 3:</w:t>
      </w:r>
    </w:p>
    <w:p>
      <w:pPr>
        <w:pStyle w:val="BodyText"/>
      </w:pPr>
      <w:r>
        <w:rPr>
          <w:b/>
          <w:bCs/>
        </w:rPr>
        <w:t xml:space="preserve">Image: card-dosing.jpeg</w:t>
      </w:r>
      <w:r>
        <w:t xml:space="preserve"> </w:t>
      </w:r>
      <w:r>
        <w:t xml:space="preserve">CDN URL: https://vitessa-images.pages.dev/card-dosing.jpeg</w:t>
      </w:r>
    </w:p>
    <w:p>
      <w:pPr>
        <w:pStyle w:val="BodyText"/>
      </w:pPr>
      <w:r>
        <w:drawing>
          <wp:inline>
            <wp:extent cx="3657600" cy="2731008"/>
            <wp:effectExtent b="0" l="0" r="0" t="0"/>
            <wp:docPr descr="" title="" id="34" name="Picture"/>
            <a:graphic>
              <a:graphicData uri="http://schemas.openxmlformats.org/drawingml/2006/picture">
                <pic:pic>
                  <pic:nvPicPr>
                    <pic:cNvPr descr="https://vitessa-images.pages.dev/card-dosing.jpeg" id="35" name="Picture"/>
                    <pic:cNvPicPr>
                      <a:picLocks noChangeArrowheads="1" noChangeAspect="1"/>
                    </pic:cNvPicPr>
                  </pic:nvPicPr>
                  <pic:blipFill>
                    <a:blip r:embed="rId33"/>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t xml:space="preserve">Source: vitessa site | Product photography, clean background</w:t>
      </w:r>
    </w:p>
    <w:p>
      <w:pPr>
        <w:pStyle w:val="BodyText"/>
      </w:pPr>
      <w:r>
        <w:t xml:space="preserve">Simple once-daily oral dosing</w:t>
      </w:r>
      <w:r>
        <w:t xml:space="preserve"> </w:t>
      </w:r>
      <w:r>
        <w:t xml:space="preserve">XEVAT 200 mg once daily — a convenient oral tablet taken with or without food, with no injection or infusion required.¹</w:t>
      </w:r>
      <w:r>
        <w:t xml:space="preserve"> </w:t>
      </w:r>
      <w:hyperlink r:id="rId36">
        <w:r>
          <w:rPr>
            <w:rStyle w:val="Hyperlink"/>
          </w:rPr>
          <w:t xml:space="preserve">See dosing guide</w:t>
        </w:r>
      </w:hyperlink>
    </w:p>
    <w:bookmarkEnd w:id="37"/>
    <w:bookmarkStart w:id="42" w:name="section-4-mechanism-of-action-teaser"/>
    <w:p>
      <w:pPr>
        <w:pStyle w:val="Heading3"/>
      </w:pPr>
      <w:r>
        <w:t xml:space="preserve">Section 4 — Mechanism of Action Teaser</w:t>
      </w:r>
    </w:p>
    <w:p>
      <w:pPr>
        <w:pStyle w:val="FirstParagraph"/>
      </w:pPr>
      <w:r>
        <w:rPr>
          <w:b/>
          <w:bCs/>
        </w:rPr>
        <w:t xml:space="preserve">Block: columns-teaser | Section metadata: Style: highlight</w:t>
      </w:r>
    </w:p>
    <w:p>
      <w:pPr>
        <w:pStyle w:val="BodyText"/>
      </w:pPr>
      <w:r>
        <w:rPr>
          <w:b/>
          <w:bCs/>
        </w:rPr>
        <w:t xml:space="preserve">Image: moa-preview.jpeg</w:t>
      </w:r>
      <w:r>
        <w:t xml:space="preserve"> </w:t>
      </w:r>
      <w:r>
        <w:t xml:space="preserve">CDN URL: https://eluvion-images.pages.dev/moa-preview.jpeg</w:t>
      </w:r>
    </w:p>
    <w:p>
      <w:pPr>
        <w:pStyle w:val="BodyText"/>
      </w:pPr>
      <w:r>
        <w:drawing>
          <wp:inline>
            <wp:extent cx="3657600" cy="2731008"/>
            <wp:effectExtent b="0" l="0" r="0" t="0"/>
            <wp:docPr descr="" title="" id="39" name="Picture"/>
            <a:graphic>
              <a:graphicData uri="http://schemas.openxmlformats.org/drawingml/2006/picture">
                <pic:pic>
                  <pic:nvPicPr>
                    <pic:cNvPr descr="https://eluvion-images.pages.dev/moa-preview.jpeg" id="40" name="Picture"/>
                    <pic:cNvPicPr>
                      <a:picLocks noChangeArrowheads="1" noChangeAspect="1"/>
                    </pic:cNvPicPr>
                  </pic:nvPicPr>
                  <pic:blipFill>
                    <a:blip r:embed="rId38"/>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t xml:space="preserve">Source: eluvion site | Molecular pathway illustration</w:t>
      </w:r>
    </w:p>
    <w:p>
      <w:pPr>
        <w:pStyle w:val="BodyText"/>
      </w:pPr>
      <w:r>
        <w:t xml:space="preserve">Selective JAK1 inhibition</w:t>
      </w:r>
      <w:r>
        <w:t xml:space="preserve"> </w:t>
      </w:r>
      <w:r>
        <w:t xml:space="preserve">XEVAT preferentially inhibits JAK1, blocking key pro-inflammatory cytokine signalling while preserving immune and haematopoietic homeostasis through minimal JAK2/JAK3 interference.¹</w:t>
      </w:r>
      <w:r>
        <w:t xml:space="preserve"> </w:t>
      </w:r>
      <w:hyperlink r:id="rId41">
        <w:r>
          <w:rPr>
            <w:rStyle w:val="Hyperlink"/>
          </w:rPr>
          <w:t xml:space="preserve">Explore mechanism of action</w:t>
        </w:r>
      </w:hyperlink>
    </w:p>
    <w:bookmarkEnd w:id="42"/>
    <w:bookmarkStart w:id="43" w:name="Xd1950ea46a302ae45d26e0696567e9c74ca82be"/>
    <w:p>
      <w:pPr>
        <w:pStyle w:val="Heading3"/>
      </w:pPr>
      <w:r>
        <w:t xml:space="preserve">Section 5 — Prescribing Information Accordion</w:t>
      </w:r>
    </w:p>
    <w:p>
      <w:pPr>
        <w:pStyle w:val="FirstParagraph"/>
      </w:pPr>
      <w:r>
        <w:rPr>
          <w:b/>
          <w:bCs/>
        </w:rPr>
        <w:t xml:space="preserve">Block: accordion</w:t>
      </w:r>
    </w:p>
    <w:p>
      <w:pPr>
        <w:pStyle w:val="BodyText"/>
      </w:pPr>
      <w:r>
        <w:t xml:space="preserve">Prescribing Information | XEVAT (xevatirel) Prescribing Information. Please refer to the full Summary of Product Characteristics (SmPC) before prescribing. XEVAT 100 mg and 200 mg film-coated tablets. Indication: Treatment of moderately to severely active rheumatoid arthritis in adults with inadequate response or intolerance to one or more DMARDs. Treatment of active psoriatic arthritis in adults with inadequate response or intolerance to a prior DMARD therapy.</w:t>
      </w:r>
    </w:p>
    <w:p>
      <w:pPr>
        <w:pStyle w:val="BodyText"/>
      </w:pPr>
      <w:r>
        <w:t xml:space="preserve">Adverse Event Reporting | Adverse events should be reported. Reporting forms and information can be found at www.mhra.gov.uk/yellowcard or search for MHRA Yellow Card in the Google Play or Apple App Store. Adverse events should also be reported to AstraZeneca by visiting https://contactazmedical.astrazeneca.com/ or by calling 0800 783 0033.</w:t>
      </w:r>
    </w:p>
    <w:p>
      <w:pPr>
        <w:pStyle w:val="BodyText"/>
      </w:pPr>
      <w:r>
        <w:t xml:space="preserve">References | 1. XEVAT (xevatirel) Summary of Product Characteristics. AstraZeneca UK Ltd. 2. Smolen JS, et al. Lancet. 2023;401:1551-1568. 3. RESOLVE-1 Study Group. N Engl J Med. 2025;392(18):1712-1724. 4. RESOLVE-2 Study Group. Ann Rheum Dis. 2025;84(9):1289-1301. 5. Aletaha D, et al. Ann Rheum Dis. 2010;69(9):1580-1588.</w:t>
      </w:r>
    </w:p>
    <w:p>
      <w:pPr>
        <w:pStyle w:val="BodyText"/>
      </w:pPr>
      <w:r>
        <w:rPr>
          <w:b/>
          <w:bCs/>
        </w:rPr>
        <w:t xml:space="preserve">Page Metadata:</w:t>
      </w:r>
    </w:p>
    <w:p>
      <w:pPr>
        <w:pStyle w:val="BodyText"/>
      </w:pPr>
      <w:r>
        <w:t xml:space="preserve">Title | Xevat (xevatirel) | HCP Resources | AstraZeneca UK</w:t>
      </w:r>
      <w:r>
        <w:t xml:space="preserve"> </w:t>
      </w:r>
      <w:r>
        <w:t xml:space="preserve">Description | XEVAT (xevatirel) is a selective oral JAK1 inhibitor for the treatment of rheumatoid arthritis. Explore efficacy data, safety profile, and dosing information.</w:t>
      </w:r>
      <w:r>
        <w:t xml:space="preserve"> </w:t>
      </w:r>
      <w:r>
        <w:t xml:space="preserve">Approval Code | GB-98765 | DOP: March 2026</w:t>
      </w:r>
    </w:p>
    <w:bookmarkEnd w:id="43"/>
    <w:bookmarkEnd w:id="44"/>
    <w:bookmarkStart w:id="54" w:name="page-2-efficacy-efficacy.plain.html"/>
    <w:p>
      <w:pPr>
        <w:pStyle w:val="Heading2"/>
      </w:pPr>
      <w:r>
        <w:t xml:space="preserve">Page 2: Efficacy (efficacy.plain.html)</w:t>
      </w:r>
    </w:p>
    <w:bookmarkStart w:id="48" w:name="section-1-hero-1"/>
    <w:p>
      <w:pPr>
        <w:pStyle w:val="Heading3"/>
      </w:pPr>
      <w:r>
        <w:t xml:space="preserve">Section 1 — Hero</w:t>
      </w:r>
    </w:p>
    <w:p>
      <w:pPr>
        <w:pStyle w:val="FirstParagraph"/>
      </w:pPr>
      <w:r>
        <w:rPr>
          <w:b/>
          <w:bCs/>
        </w:rPr>
        <w:t xml:space="preserve">Block: hero-teaser</w:t>
      </w:r>
    </w:p>
    <w:p>
      <w:pPr>
        <w:pStyle w:val="BodyText"/>
      </w:pPr>
      <w:r>
        <w:rPr>
          <w:b/>
          <w:bCs/>
        </w:rPr>
        <w:t xml:space="preserve">Image: hero-efficacy.jpeg</w:t>
      </w:r>
      <w:r>
        <w:t xml:space="preserve"> </w:t>
      </w:r>
      <w:r>
        <w:t xml:space="preserve">CDN URL: https://eluvion-images.pages.dev/hero-efficacy.jpeg</w:t>
      </w:r>
    </w:p>
    <w:p>
      <w:pPr>
        <w:pStyle w:val="BodyText"/>
      </w:pPr>
      <w:r>
        <w:drawing>
          <wp:inline>
            <wp:extent cx="4194048" cy="2340864"/>
            <wp:effectExtent b="0" l="0" r="0" t="0"/>
            <wp:docPr descr="" title="" id="46" name="Picture"/>
            <a:graphic>
              <a:graphicData uri="http://schemas.openxmlformats.org/drawingml/2006/picture">
                <pic:pic>
                  <pic:nvPicPr>
                    <pic:cNvPr descr="https://eluvion-images.pages.dev/hero-efficacy.jpeg" id="47" name="Picture"/>
                    <pic:cNvPicPr>
                      <a:picLocks noChangeArrowheads="1" noChangeAspect="1"/>
                    </pic:cNvPicPr>
                  </pic:nvPicPr>
                  <pic:blipFill>
                    <a:blip r:embed="rId45"/>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t xml:space="preserve">Source: eluvion site | Double-exposure portrait with data visualisation elements</w:t>
      </w:r>
    </w:p>
    <w:p>
      <w:pPr>
        <w:pStyle w:val="BodyText"/>
      </w:pPr>
      <w:r>
        <w:t xml:space="preserve">Proven efficacy across the RESOLVE programme</w:t>
      </w:r>
      <w:r>
        <w:t xml:space="preserve"> </w:t>
      </w:r>
      <w:r>
        <w:t xml:space="preserve">XEVAT demonstrated rapid, statistically significant improvements in ACR response rates and disease activity scores across two pivotal Phase III trials in rheumatoid arthritis.¹ ²</w:t>
      </w:r>
    </w:p>
    <w:bookmarkEnd w:id="48"/>
    <w:bookmarkStart w:id="49" w:name="section-2-resolve-programme-introduction"/>
    <w:p>
      <w:pPr>
        <w:pStyle w:val="Heading3"/>
      </w:pPr>
      <w:r>
        <w:t xml:space="preserve">Section 2 — RESOLVE Programme Introduction</w:t>
      </w:r>
    </w:p>
    <w:p>
      <w:pPr>
        <w:pStyle w:val="FirstParagraph"/>
      </w:pPr>
      <w:r>
        <w:rPr>
          <w:b/>
          <w:bCs/>
        </w:rPr>
        <w:t xml:space="preserve">Block: introduction</w:t>
      </w:r>
    </w:p>
    <w:p>
      <w:pPr>
        <w:pStyle w:val="BodyText"/>
      </w:pPr>
      <w:r>
        <w:t xml:space="preserve">The RESOLVE clinical programme</w:t>
      </w:r>
      <w:r>
        <w:t xml:space="preserve"> </w:t>
      </w:r>
      <w:r>
        <w:t xml:space="preserve">The RESOLVE programme evaluated the efficacy and safety of XEVAT in over 1,900 patients with moderately to severely active rheumatoid arthritis across two pivotal Phase III randomised, placebo-controlled trials.¹ ²</w:t>
      </w:r>
    </w:p>
    <w:bookmarkEnd w:id="49"/>
    <w:bookmarkStart w:id="50" w:name="section-3-resolve-1-results"/>
    <w:p>
      <w:pPr>
        <w:pStyle w:val="Heading3"/>
      </w:pPr>
      <w:r>
        <w:t xml:space="preserve">Section 3 — RESOLVE-1 Results</w:t>
      </w:r>
    </w:p>
    <w:p>
      <w:pPr>
        <w:pStyle w:val="FirstParagraph"/>
      </w:pPr>
      <w:r>
        <w:rPr>
          <w:b/>
          <w:bCs/>
        </w:rPr>
        <w:t xml:space="preserve">Block: columns-teaser</w:t>
      </w:r>
    </w:p>
    <w:p>
      <w:pPr>
        <w:pStyle w:val="BodyText"/>
      </w:pPr>
      <w:r>
        <w:t xml:space="preserve">RESOLVE-1: MTX-inadequate responders</w:t>
      </w:r>
      <w:r>
        <w:t xml:space="preserve"> </w:t>
      </w:r>
      <w:r>
        <w:t xml:space="preserve">In RESOLVE-1, patients treated with XEVAT + MTX achieved an ACR20 response rate of 71.4% at Week 12, compared with 35.8% for placebo + MTX (P&lt;0.001). DAS28-CRP remission at Week 24 was achieved by 38.7% vs 9.2%.¹</w:t>
      </w:r>
      <w:r>
        <w:t xml:space="preserve"> </w:t>
      </w:r>
      <w:hyperlink r:id="rId23">
        <w:r>
          <w:rPr>
            <w:rStyle w:val="Hyperlink"/>
          </w:rPr>
          <w:t xml:space="preserve">View full RESOLVE-1 data</w:t>
        </w:r>
      </w:hyperlink>
    </w:p>
    <w:bookmarkEnd w:id="50"/>
    <w:bookmarkStart w:id="51" w:name="section-4-resolve-1-endpoints-table"/>
    <w:p>
      <w:pPr>
        <w:pStyle w:val="Heading3"/>
      </w:pPr>
      <w:r>
        <w:t xml:space="preserve">Section 4 — RESOLVE-1 Endpoints Table</w:t>
      </w:r>
    </w:p>
    <w:p>
      <w:pPr>
        <w:pStyle w:val="FirstParagraph"/>
      </w:pPr>
      <w:r>
        <w:rPr>
          <w:b/>
          <w:bCs/>
        </w:rPr>
        <w:t xml:space="preserve">Block: table-data | Section metadata: Style: light</w:t>
      </w:r>
    </w:p>
    <w:p>
      <w:pPr>
        <w:pStyle w:val="BodyText"/>
      </w:pPr>
      <w:r>
        <w:t xml:space="preserve">(Full RESOLVE-1 endpoints table — see Clinical Programme section above)</w:t>
      </w:r>
    </w:p>
    <w:bookmarkEnd w:id="51"/>
    <w:bookmarkStart w:id="52" w:name="section-5-resolve-2-results"/>
    <w:p>
      <w:pPr>
        <w:pStyle w:val="Heading3"/>
      </w:pPr>
      <w:r>
        <w:t xml:space="preserve">Section 5 — RESOLVE-2 Results</w:t>
      </w:r>
    </w:p>
    <w:p>
      <w:pPr>
        <w:pStyle w:val="FirstParagraph"/>
      </w:pPr>
      <w:r>
        <w:rPr>
          <w:b/>
          <w:bCs/>
        </w:rPr>
        <w:t xml:space="preserve">Block: columns-teaser</w:t>
      </w:r>
    </w:p>
    <w:p>
      <w:pPr>
        <w:pStyle w:val="BodyText"/>
      </w:pPr>
      <w:r>
        <w:t xml:space="preserve">RESOLVE-2: Biologic-inadequate responders</w:t>
      </w:r>
      <w:r>
        <w:t xml:space="preserve"> </w:t>
      </w:r>
      <w:r>
        <w:t xml:space="preserve">In the difficult-to-treat biologic-inadequate population, XEVAT + MTX achieved an ACR20 response rate of 64.2% at Week 12, compared with 28.1% for placebo (P&lt;0.001). DAS28-CRP remission at Week 24: 29.4% vs 6.7%.²</w:t>
      </w:r>
      <w:r>
        <w:t xml:space="preserve"> </w:t>
      </w:r>
      <w:hyperlink r:id="rId23">
        <w:r>
          <w:rPr>
            <w:rStyle w:val="Hyperlink"/>
          </w:rPr>
          <w:t xml:space="preserve">View full RESOLVE-2 data</w:t>
        </w:r>
      </w:hyperlink>
    </w:p>
    <w:bookmarkEnd w:id="52"/>
    <w:bookmarkStart w:id="53" w:name="X102ed0798e9bae4aff04a65eb3b5cbed513fb03"/>
    <w:p>
      <w:pPr>
        <w:pStyle w:val="Heading3"/>
      </w:pPr>
      <w:r>
        <w:t xml:space="preserve">Section 6 — Prescribing Information Accordion</w:t>
      </w:r>
    </w:p>
    <w:p>
      <w:pPr>
        <w:pStyle w:val="FirstParagraph"/>
      </w:pPr>
      <w:r>
        <w:rPr>
          <w:b/>
          <w:bCs/>
        </w:rPr>
        <w:t xml:space="preserve">Block: accordion (same as Home page)</w:t>
      </w:r>
    </w:p>
    <w:bookmarkEnd w:id="53"/>
    <w:bookmarkEnd w:id="54"/>
    <w:bookmarkStart w:id="64" w:name="page-3-safety-safety.plain.html"/>
    <w:p>
      <w:pPr>
        <w:pStyle w:val="Heading2"/>
      </w:pPr>
      <w:r>
        <w:t xml:space="preserve">Page 3: Safety (safety.plain.html)</w:t>
      </w:r>
    </w:p>
    <w:bookmarkStart w:id="58" w:name="section-1-hero-2"/>
    <w:p>
      <w:pPr>
        <w:pStyle w:val="Heading3"/>
      </w:pPr>
      <w:r>
        <w:t xml:space="preserve">Section 1 — Hero</w:t>
      </w:r>
    </w:p>
    <w:p>
      <w:pPr>
        <w:pStyle w:val="FirstParagraph"/>
      </w:pPr>
      <w:r>
        <w:rPr>
          <w:b/>
          <w:bCs/>
        </w:rPr>
        <w:t xml:space="preserve">Block: hero-teaser</w:t>
      </w:r>
    </w:p>
    <w:p>
      <w:pPr>
        <w:pStyle w:val="BodyText"/>
      </w:pPr>
      <w:r>
        <w:rPr>
          <w:b/>
          <w:bCs/>
        </w:rPr>
        <w:t xml:space="preserve">Image: hero-safety.jpeg</w:t>
      </w:r>
      <w:r>
        <w:t xml:space="preserve"> </w:t>
      </w:r>
      <w:r>
        <w:t xml:space="preserve">CDN URL: https://novapril-images.pages.dev/hero-safety.jpeg</w:t>
      </w:r>
    </w:p>
    <w:p>
      <w:pPr>
        <w:pStyle w:val="BodyText"/>
      </w:pPr>
      <w:r>
        <w:drawing>
          <wp:inline>
            <wp:extent cx="4194048" cy="2340864"/>
            <wp:effectExtent b="0" l="0" r="0" t="0"/>
            <wp:docPr descr="" title="" id="56" name="Picture"/>
            <a:graphic>
              <a:graphicData uri="http://schemas.openxmlformats.org/drawingml/2006/picture">
                <pic:pic>
                  <pic:nvPicPr>
                    <pic:cNvPr descr="https://novapril-images.pages.dev/hero-safety.jpeg" id="57" name="Picture"/>
                    <pic:cNvPicPr>
                      <a:picLocks noChangeArrowheads="1" noChangeAspect="1"/>
                    </pic:cNvPicPr>
                  </pic:nvPicPr>
                  <pic:blipFill>
                    <a:blip r:embed="rId55"/>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t xml:space="preserve">Source: novapril site | Warm lifestyle photograph, patient in everyday setting</w:t>
      </w:r>
    </w:p>
    <w:p>
      <w:pPr>
        <w:pStyle w:val="BodyText"/>
      </w:pPr>
      <w:r>
        <w:t xml:space="preserve">Safety profile of XEVAT</w:t>
      </w:r>
      <w:r>
        <w:t xml:space="preserve"> </w:t>
      </w:r>
      <w:r>
        <w:t xml:space="preserve">The safety of XEVAT was evaluated in 1,287 patients with rheumatoid arthritis across the RESOLVE clinical programme, with a median treatment duration of 11.2 months.¹ ²</w:t>
      </w:r>
    </w:p>
    <w:bookmarkEnd w:id="58"/>
    <w:bookmarkStart w:id="59" w:name="section-2-safety-overview-introduction"/>
    <w:p>
      <w:pPr>
        <w:pStyle w:val="Heading3"/>
      </w:pPr>
      <w:r>
        <w:t xml:space="preserve">Section 2 — Safety Overview Introduction</w:t>
      </w:r>
    </w:p>
    <w:p>
      <w:pPr>
        <w:pStyle w:val="FirstParagraph"/>
      </w:pPr>
      <w:r>
        <w:rPr>
          <w:b/>
          <w:bCs/>
        </w:rPr>
        <w:t xml:space="preserve">Block: introduction | Section metadata: Style: light</w:t>
      </w:r>
    </w:p>
    <w:p>
      <w:pPr>
        <w:pStyle w:val="BodyText"/>
      </w:pPr>
      <w:r>
        <w:t xml:space="preserve">Well-characterised safety profile</w:t>
      </w:r>
      <w:r>
        <w:t xml:space="preserve"> </w:t>
      </w:r>
      <w:r>
        <w:t xml:space="preserve">The overall safety profile of XEVAT was consistent with the known class effects of JAK inhibitors. The rate of serious adverse events was comparable between treatment groups (8.4% vs 7.9%).¹ ²</w:t>
      </w:r>
    </w:p>
    <w:bookmarkEnd w:id="59"/>
    <w:bookmarkStart w:id="60" w:name="section-3-adverse-events-table"/>
    <w:p>
      <w:pPr>
        <w:pStyle w:val="Heading3"/>
      </w:pPr>
      <w:r>
        <w:t xml:space="preserve">Section 3 — Adverse Events Table</w:t>
      </w:r>
    </w:p>
    <w:p>
      <w:pPr>
        <w:pStyle w:val="FirstParagraph"/>
      </w:pPr>
      <w:r>
        <w:rPr>
          <w:b/>
          <w:bCs/>
        </w:rPr>
        <w:t xml:space="preserve">Block: table-data</w:t>
      </w:r>
    </w:p>
    <w:p>
      <w:pPr>
        <w:pStyle w:val="BodyText"/>
      </w:pPr>
      <w:r>
        <w:t xml:space="preserve">(Full adverse events table — see Safety Profile section above)</w:t>
      </w:r>
    </w:p>
    <w:bookmarkEnd w:id="60"/>
    <w:bookmarkStart w:id="62" w:name="section-4-key-safety-considerations"/>
    <w:p>
      <w:pPr>
        <w:pStyle w:val="Heading3"/>
      </w:pPr>
      <w:r>
        <w:t xml:space="preserve">Section 4 — Key Safety Considerations</w:t>
      </w:r>
    </w:p>
    <w:p>
      <w:pPr>
        <w:pStyle w:val="FirstParagraph"/>
      </w:pPr>
      <w:r>
        <w:rPr>
          <w:b/>
          <w:bCs/>
        </w:rPr>
        <w:t xml:space="preserve">Block: columns-teaser | Section metadata: Style: highlight</w:t>
      </w:r>
    </w:p>
    <w:p>
      <w:pPr>
        <w:pStyle w:val="BodyText"/>
      </w:pPr>
      <w:r>
        <w:t xml:space="preserve">Important safety considerations</w:t>
      </w:r>
      <w:r>
        <w:t xml:space="preserve"> </w:t>
      </w:r>
      <w:r>
        <w:t xml:space="preserve">Infections: Serious infections occurred in 2.8% of patients. Do not initiate XEVAT during active, serious infections. Monitor for signs and symptoms of infection during and after treatment. Interrupt treatment if a serious infection develops.¹</w:t>
      </w:r>
      <w:r>
        <w:t xml:space="preserve"> </w:t>
      </w:r>
      <w:r>
        <w:t xml:space="preserve">Herpes zoster: Risk increased (3.8% vs 0.9%). Consider vaccination prior to starting treatment.¹</w:t>
      </w:r>
      <w:r>
        <w:t xml:space="preserve"> </w:t>
      </w:r>
      <w:r>
        <w:t xml:space="preserve">Haematological monitoring: Monitor neutrophil count, lymphocyte count, and haemoglobin at baseline and during treatment. Do not initiate if ANC &lt;1,000/mm³, ALC &lt;500/mm³, or Hb &lt;8 g/dL.¹</w:t>
      </w:r>
      <w:r>
        <w:t xml:space="preserve"> </w:t>
      </w:r>
      <w:r>
        <w:t xml:space="preserve">Lipids: Monitor lipid parameters 12 weeks after initiation. Manage hyperlipidaemia per clinical guidelines.¹</w:t>
      </w:r>
      <w:r>
        <w:t xml:space="preserve"> </w:t>
      </w:r>
      <w:hyperlink r:id="rId61">
        <w:r>
          <w:rPr>
            <w:rStyle w:val="Hyperlink"/>
          </w:rPr>
          <w:t xml:space="preserve">Review full prescribing information</w:t>
        </w:r>
      </w:hyperlink>
    </w:p>
    <w:bookmarkEnd w:id="62"/>
    <w:bookmarkStart w:id="63" w:name="X66eafce5676bbd9bdfe30e1bd17c37226243a28"/>
    <w:p>
      <w:pPr>
        <w:pStyle w:val="Heading3"/>
      </w:pPr>
      <w:r>
        <w:t xml:space="preserve">Section 5 — Prescribing Information Accordion</w:t>
      </w:r>
    </w:p>
    <w:p>
      <w:pPr>
        <w:pStyle w:val="FirstParagraph"/>
      </w:pPr>
      <w:r>
        <w:rPr>
          <w:b/>
          <w:bCs/>
        </w:rPr>
        <w:t xml:space="preserve">Block: accordion (same as Home page)</w:t>
      </w:r>
    </w:p>
    <w:bookmarkEnd w:id="63"/>
    <w:bookmarkEnd w:id="64"/>
    <w:bookmarkStart w:id="74" w:name="page-4-dosing-dosing.plain.html"/>
    <w:p>
      <w:pPr>
        <w:pStyle w:val="Heading2"/>
      </w:pPr>
      <w:r>
        <w:t xml:space="preserve">Page 4: Dosing (dosing.plain.html)</w:t>
      </w:r>
    </w:p>
    <w:bookmarkStart w:id="68" w:name="section-1-hero-3"/>
    <w:p>
      <w:pPr>
        <w:pStyle w:val="Heading3"/>
      </w:pPr>
      <w:r>
        <w:t xml:space="preserve">Section 1 — Hero</w:t>
      </w:r>
    </w:p>
    <w:p>
      <w:pPr>
        <w:pStyle w:val="FirstParagraph"/>
      </w:pPr>
      <w:r>
        <w:rPr>
          <w:b/>
          <w:bCs/>
        </w:rPr>
        <w:t xml:space="preserve">Block: hero-teaser</w:t>
      </w:r>
    </w:p>
    <w:p>
      <w:pPr>
        <w:pStyle w:val="BodyText"/>
      </w:pPr>
      <w:r>
        <w:rPr>
          <w:b/>
          <w:bCs/>
        </w:rPr>
        <w:t xml:space="preserve">Image: hero-dosing.jpeg</w:t>
      </w:r>
      <w:r>
        <w:t xml:space="preserve"> </w:t>
      </w:r>
      <w:r>
        <w:t xml:space="preserve">CDN URL: https://vitessa-images.pages.dev/hero-dosing.jpeg</w:t>
      </w:r>
    </w:p>
    <w:p>
      <w:pPr>
        <w:pStyle w:val="BodyText"/>
      </w:pPr>
      <w:r>
        <w:drawing>
          <wp:inline>
            <wp:extent cx="4194048" cy="2340864"/>
            <wp:effectExtent b="0" l="0" r="0" t="0"/>
            <wp:docPr descr="" title="" id="66" name="Picture"/>
            <a:graphic>
              <a:graphicData uri="http://schemas.openxmlformats.org/drawingml/2006/picture">
                <pic:pic>
                  <pic:nvPicPr>
                    <pic:cNvPr descr="https://vitessa-images.pages.dev/hero-dosing.jpeg" id="67" name="Picture"/>
                    <pic:cNvPicPr>
                      <a:picLocks noChangeArrowheads="1" noChangeAspect="1"/>
                    </pic:cNvPicPr>
                  </pic:nvPicPr>
                  <pic:blipFill>
                    <a:blip r:embed="rId65"/>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t xml:space="preserve">Source: vitessa site | Clean product/device photography in clinical setting</w:t>
      </w:r>
    </w:p>
    <w:p>
      <w:pPr>
        <w:pStyle w:val="BodyText"/>
      </w:pPr>
      <w:r>
        <w:t xml:space="preserve">Simple once-daily oral dosing</w:t>
      </w:r>
      <w:r>
        <w:t xml:space="preserve"> </w:t>
      </w:r>
      <w:r>
        <w:t xml:space="preserve">XEVAT 200 mg once daily — a convenient oral tablet that can be taken with or without food.¹</w:t>
      </w:r>
    </w:p>
    <w:bookmarkEnd w:id="68"/>
    <w:bookmarkStart w:id="69" w:name="section-2-dosing-overview"/>
    <w:p>
      <w:pPr>
        <w:pStyle w:val="Heading3"/>
      </w:pPr>
      <w:r>
        <w:t xml:space="preserve">Section 2 — Dosing Overview</w:t>
      </w:r>
    </w:p>
    <w:p>
      <w:pPr>
        <w:pStyle w:val="FirstParagraph"/>
      </w:pPr>
      <w:r>
        <w:rPr>
          <w:b/>
          <w:bCs/>
        </w:rPr>
        <w:t xml:space="preserve">Block: introduction | Section metadata: Style: light</w:t>
      </w:r>
    </w:p>
    <w:p>
      <w:pPr>
        <w:pStyle w:val="BodyText"/>
      </w:pPr>
      <w:r>
        <w:t xml:space="preserve">Dosing regimen</w:t>
      </w:r>
      <w:r>
        <w:t xml:space="preserve"> </w:t>
      </w:r>
      <w:r>
        <w:t xml:space="preserve">XEVAT offers a simple fixed-dose oral regimen with no titration required. The 200 mg once-daily dose provides consistent therapeutic drug levels throughout the day.¹</w:t>
      </w:r>
    </w:p>
    <w:bookmarkEnd w:id="69"/>
    <w:bookmarkStart w:id="70" w:name="section-3-ra-dosing"/>
    <w:p>
      <w:pPr>
        <w:pStyle w:val="Heading3"/>
      </w:pPr>
      <w:r>
        <w:t xml:space="preserve">Section 3 — RA Dosing</w:t>
      </w:r>
    </w:p>
    <w:p>
      <w:pPr>
        <w:pStyle w:val="FirstParagraph"/>
      </w:pPr>
      <w:r>
        <w:rPr>
          <w:b/>
          <w:bCs/>
        </w:rPr>
        <w:t xml:space="preserve">Block: columns-teaser</w:t>
      </w:r>
    </w:p>
    <w:p>
      <w:pPr>
        <w:pStyle w:val="BodyText"/>
      </w:pPr>
      <w:r>
        <w:t xml:space="preserve">Rheumatoid arthritis dosing</w:t>
      </w:r>
      <w:r>
        <w:t xml:space="preserve"> </w:t>
      </w:r>
      <w:r>
        <w:t xml:space="preserve">Recommended dose: XEVAT 200 mg once daily.¹</w:t>
      </w:r>
      <w:r>
        <w:t xml:space="preserve"> </w:t>
      </w:r>
      <w:r>
        <w:t xml:space="preserve">XEVAT may be used as monotherapy or in combination with methotrexate or other conventional synthetic DMARDs.¹</w:t>
      </w:r>
      <w:r>
        <w:t xml:space="preserve"> </w:t>
      </w:r>
      <w:r>
        <w:t xml:space="preserve">For patients with moderate renal impairment (eGFR 30-60 mL/min) or receiving strong CYP3A4 inhibitors, reduce dose to 100 mg once daily.¹</w:t>
      </w:r>
    </w:p>
    <w:bookmarkEnd w:id="70"/>
    <w:bookmarkStart w:id="71" w:name="section-4-psa-dosing"/>
    <w:p>
      <w:pPr>
        <w:pStyle w:val="Heading3"/>
      </w:pPr>
      <w:r>
        <w:t xml:space="preserve">Section 4 — PsA Dosing</w:t>
      </w:r>
    </w:p>
    <w:p>
      <w:pPr>
        <w:pStyle w:val="FirstParagraph"/>
      </w:pPr>
      <w:r>
        <w:rPr>
          <w:b/>
          <w:bCs/>
        </w:rPr>
        <w:t xml:space="preserve">Block: columns-teaser | Section metadata: Style: highlight</w:t>
      </w:r>
    </w:p>
    <w:p>
      <w:pPr>
        <w:pStyle w:val="BodyText"/>
      </w:pPr>
      <w:r>
        <w:t xml:space="preserve">Psoriatic arthritis dosing</w:t>
      </w:r>
      <w:r>
        <w:t xml:space="preserve"> </w:t>
      </w:r>
      <w:r>
        <w:t xml:space="preserve">Recommended dose: XEVAT 200 mg once daily, in combination with a conventional synthetic DMARD (e.g. methotrexate).¹</w:t>
      </w:r>
      <w:r>
        <w:t xml:space="preserve"> </w:t>
      </w:r>
      <w:r>
        <w:t xml:space="preserve">The same dose adjustments apply for renal impairment and concomitant CYP3A4 inhibitors.¹</w:t>
      </w:r>
    </w:p>
    <w:bookmarkEnd w:id="71"/>
    <w:bookmarkStart w:id="72" w:name="section-5-monitoring"/>
    <w:p>
      <w:pPr>
        <w:pStyle w:val="Heading3"/>
      </w:pPr>
      <w:r>
        <w:t xml:space="preserve">Section 5 — Monitoring</w:t>
      </w:r>
    </w:p>
    <w:p>
      <w:pPr>
        <w:pStyle w:val="FirstParagraph"/>
      </w:pPr>
      <w:r>
        <w:rPr>
          <w:b/>
          <w:bCs/>
        </w:rPr>
        <w:t xml:space="preserve">Block: columns-teaser</w:t>
      </w:r>
    </w:p>
    <w:p>
      <w:pPr>
        <w:pStyle w:val="BodyText"/>
      </w:pPr>
      <w:r>
        <w:t xml:space="preserve">Laboratory monitoring</w:t>
      </w:r>
      <w:r>
        <w:t xml:space="preserve"> </w:t>
      </w:r>
      <w:r>
        <w:t xml:space="preserve">Full blood count: At baseline, after 4 weeks, then every 3 months.¹</w:t>
      </w:r>
      <w:r>
        <w:t xml:space="preserve"> </w:t>
      </w:r>
      <w:r>
        <w:t xml:space="preserve">Liver function: At baseline, then as clinically indicated. Interrupt treatment if ALT/AST &gt;5x ULN.¹</w:t>
      </w:r>
      <w:r>
        <w:t xml:space="preserve"> </w:t>
      </w:r>
      <w:r>
        <w:t xml:space="preserve">Lipids: At 12 weeks after initiation. Manage hyperlipidaemia per clinical guidelines.¹</w:t>
      </w:r>
      <w:r>
        <w:t xml:space="preserve"> </w:t>
      </w:r>
      <w:r>
        <w:t xml:space="preserve">Viral hepatitis screening: Screen for hepatitis B and C before starting treatment.¹</w:t>
      </w:r>
    </w:p>
    <w:bookmarkEnd w:id="72"/>
    <w:bookmarkStart w:id="73" w:name="X630b5de96f52727e6780752916e7bd8dafae456"/>
    <w:p>
      <w:pPr>
        <w:pStyle w:val="Heading3"/>
      </w:pPr>
      <w:r>
        <w:t xml:space="preserve">Section 6 — Prescribing Information Accordion</w:t>
      </w:r>
    </w:p>
    <w:p>
      <w:pPr>
        <w:pStyle w:val="FirstParagraph"/>
      </w:pPr>
      <w:r>
        <w:rPr>
          <w:b/>
          <w:bCs/>
        </w:rPr>
        <w:t xml:space="preserve">Block: accordion (same as Home page)</w:t>
      </w:r>
    </w:p>
    <w:bookmarkEnd w:id="73"/>
    <w:bookmarkEnd w:id="74"/>
    <w:bookmarkStart w:id="83" w:name="X8bfec627963c3657b189e618525e9ff448e38e5"/>
    <w:p>
      <w:pPr>
        <w:pStyle w:val="Heading2"/>
      </w:pPr>
      <w:r>
        <w:t xml:space="preserve">Page 5: Mechanism of Action (mechanism-of-action.plain.html)</w:t>
      </w:r>
    </w:p>
    <w:bookmarkStart w:id="78" w:name="section-1-hero-4"/>
    <w:p>
      <w:pPr>
        <w:pStyle w:val="Heading3"/>
      </w:pPr>
      <w:r>
        <w:t xml:space="preserve">Section 1 — Hero</w:t>
      </w:r>
    </w:p>
    <w:p>
      <w:pPr>
        <w:pStyle w:val="FirstParagraph"/>
      </w:pPr>
      <w:r>
        <w:rPr>
          <w:b/>
          <w:bCs/>
        </w:rPr>
        <w:t xml:space="preserve">Block: hero-teaser</w:t>
      </w:r>
    </w:p>
    <w:p>
      <w:pPr>
        <w:pStyle w:val="BodyText"/>
      </w:pPr>
      <w:r>
        <w:rPr>
          <w:b/>
          <w:bCs/>
        </w:rPr>
        <w:t xml:space="preserve">Image: hero-moa.jpeg</w:t>
      </w:r>
      <w:r>
        <w:t xml:space="preserve"> </w:t>
      </w:r>
      <w:r>
        <w:t xml:space="preserve">CDN URL: https://eluvion-images.pages.dev/hero-moa.jpeg</w:t>
      </w:r>
    </w:p>
    <w:p>
      <w:pPr>
        <w:pStyle w:val="BodyText"/>
      </w:pPr>
      <w:r>
        <w:drawing>
          <wp:inline>
            <wp:extent cx="4194048" cy="2340864"/>
            <wp:effectExtent b="0" l="0" r="0" t="0"/>
            <wp:docPr descr="" title="" id="76" name="Picture"/>
            <a:graphic>
              <a:graphicData uri="http://schemas.openxmlformats.org/drawingml/2006/picture">
                <pic:pic>
                  <pic:nvPicPr>
                    <pic:cNvPr descr="https://eluvion-images.pages.dev/hero-moa.jpeg" id="77" name="Picture"/>
                    <pic:cNvPicPr>
                      <a:picLocks noChangeArrowheads="1" noChangeAspect="1"/>
                    </pic:cNvPicPr>
                  </pic:nvPicPr>
                  <pic:blipFill>
                    <a:blip r:embed="rId75"/>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t xml:space="preserve">Source: eluvion site | Abstract molecular/scientific illustration, dark background</w:t>
      </w:r>
    </w:p>
    <w:p>
      <w:pPr>
        <w:pStyle w:val="BodyText"/>
      </w:pPr>
      <w:r>
        <w:t xml:space="preserve">Selective JAK1 inhibition</w:t>
      </w:r>
      <w:r>
        <w:t xml:space="preserve"> </w:t>
      </w:r>
      <w:r>
        <w:t xml:space="preserve">XEVAT preferentially targets JAK1, blocking the signalling of key pro-inflammatory cytokines while minimising effects on JAK2, JAK3, and TYK2.¹</w:t>
      </w:r>
    </w:p>
    <w:bookmarkEnd w:id="78"/>
    <w:bookmarkStart w:id="79" w:name="section-2-jak-stat-pathway-introduction"/>
    <w:p>
      <w:pPr>
        <w:pStyle w:val="Heading3"/>
      </w:pPr>
      <w:r>
        <w:t xml:space="preserve">Section 2 — JAK-STAT Pathway Introduction</w:t>
      </w:r>
    </w:p>
    <w:p>
      <w:pPr>
        <w:pStyle w:val="FirstParagraph"/>
      </w:pPr>
      <w:r>
        <w:rPr>
          <w:b/>
          <w:bCs/>
        </w:rPr>
        <w:t xml:space="preserve">Block: introduction | Section metadata: Style: light</w:t>
      </w:r>
    </w:p>
    <w:p>
      <w:pPr>
        <w:pStyle w:val="BodyText"/>
      </w:pPr>
      <w:r>
        <w:t xml:space="preserve">The JAK-STAT signalling pathway</w:t>
      </w:r>
      <w:r>
        <w:t xml:space="preserve"> </w:t>
      </w:r>
      <w:r>
        <w:t xml:space="preserve">The Janus kinase (JAK)-Signal Transducer and Activator of Transcription (STAT) pathway is a critical intracellular signalling cascade that mediates the biological effects of numerous cytokines, interferons, and growth factors involved in immune regulation, haematopoiesis, and inflammation.¹ ³</w:t>
      </w:r>
    </w:p>
    <w:bookmarkEnd w:id="79"/>
    <w:bookmarkStart w:id="80" w:name="section-3-jak1-in-ra"/>
    <w:p>
      <w:pPr>
        <w:pStyle w:val="Heading3"/>
      </w:pPr>
      <w:r>
        <w:t xml:space="preserve">Section 3 — JAK1 in RA</w:t>
      </w:r>
    </w:p>
    <w:p>
      <w:pPr>
        <w:pStyle w:val="FirstParagraph"/>
      </w:pPr>
      <w:r>
        <w:rPr>
          <w:b/>
          <w:bCs/>
        </w:rPr>
        <w:t xml:space="preserve">Block: columns-teaser</w:t>
      </w:r>
    </w:p>
    <w:p>
      <w:pPr>
        <w:pStyle w:val="BodyText"/>
      </w:pPr>
      <w:r>
        <w:t xml:space="preserve">JAK1: a central node in RA pathogenesis</w:t>
      </w:r>
      <w:r>
        <w:t xml:space="preserve"> </w:t>
      </w:r>
      <w:r>
        <w:t xml:space="preserve">JAK1 pairs with other JAK family members to transduce signals from IL-6, IL-7, IL-15, IFN-gamma, and other cytokines that drive the chronic synovial inflammation and joint destruction characteristic of RA. JAK1 inhibition attenuates these pathways, reducing inflammatory cell activation and joint damage.¹ ³</w:t>
      </w:r>
    </w:p>
    <w:bookmarkEnd w:id="80"/>
    <w:bookmarkStart w:id="81" w:name="section-4-selectivity-advantage"/>
    <w:p>
      <w:pPr>
        <w:pStyle w:val="Heading3"/>
      </w:pPr>
      <w:r>
        <w:t xml:space="preserve">Section 4 — Selectivity Advantage</w:t>
      </w:r>
    </w:p>
    <w:p>
      <w:pPr>
        <w:pStyle w:val="FirstParagraph"/>
      </w:pPr>
      <w:r>
        <w:rPr>
          <w:b/>
          <w:bCs/>
        </w:rPr>
        <w:t xml:space="preserve">Block: columns-teaser | Section metadata: Style: highlight</w:t>
      </w:r>
    </w:p>
    <w:p>
      <w:pPr>
        <w:pStyle w:val="BodyText"/>
      </w:pPr>
      <w:r>
        <w:t xml:space="preserve">The selectivity advantage</w:t>
      </w:r>
      <w:r>
        <w:t xml:space="preserve"> </w:t>
      </w:r>
      <w:r>
        <w:t xml:space="preserve">XEVAT demonstrates approximately 30-fold selectivity for JAK1 over JAK2. This selectivity is clinically meaningful: JAK2 mediates erythropoietin and thrombopoietin signalling, so minimising JAK2 inhibition reduces the risk of anaemia and thrombocytopenia.¹</w:t>
      </w:r>
      <w:r>
        <w:t xml:space="preserve"> </w:t>
      </w:r>
      <w:r>
        <w:t xml:space="preserve">JAK3 inhibition is similarly minimised, preserving aspects of adaptive immunity mediated by JAK3-dependent cytokines (IL-2, IL-4, IL-21).¹</w:t>
      </w:r>
      <w:r>
        <w:t xml:space="preserve"> </w:t>
      </w:r>
      <w:hyperlink r:id="rId23">
        <w:r>
          <w:rPr>
            <w:rStyle w:val="Hyperlink"/>
          </w:rPr>
          <w:t xml:space="preserve">View RESOLVE clinical data</w:t>
        </w:r>
      </w:hyperlink>
    </w:p>
    <w:bookmarkEnd w:id="81"/>
    <w:bookmarkStart w:id="82" w:name="Xcddd9fd846fb53e081a7828f2ec80713f6a002b"/>
    <w:p>
      <w:pPr>
        <w:pStyle w:val="Heading3"/>
      </w:pPr>
      <w:r>
        <w:t xml:space="preserve">Section 5 — Prescribing Information Accordion</w:t>
      </w:r>
    </w:p>
    <w:p>
      <w:pPr>
        <w:pStyle w:val="FirstParagraph"/>
      </w:pPr>
      <w:r>
        <w:rPr>
          <w:b/>
          <w:bCs/>
        </w:rPr>
        <w:t xml:space="preserve">Block: accordion (same as Home page)</w:t>
      </w:r>
    </w:p>
    <w:bookmarkEnd w:id="82"/>
    <w:bookmarkEnd w:id="83"/>
    <w:bookmarkStart w:id="92" w:name="page-6-resources-resources.plain.html"/>
    <w:p>
      <w:pPr>
        <w:pStyle w:val="Heading2"/>
      </w:pPr>
      <w:r>
        <w:t xml:space="preserve">Page 6: Resources (resources.plain.html)</w:t>
      </w:r>
    </w:p>
    <w:bookmarkStart w:id="87" w:name="section-1-hero-5"/>
    <w:p>
      <w:pPr>
        <w:pStyle w:val="Heading3"/>
      </w:pPr>
      <w:r>
        <w:t xml:space="preserve">Section 1 — Hero</w:t>
      </w:r>
    </w:p>
    <w:p>
      <w:pPr>
        <w:pStyle w:val="FirstParagraph"/>
      </w:pPr>
      <w:r>
        <w:rPr>
          <w:b/>
          <w:bCs/>
        </w:rPr>
        <w:t xml:space="preserve">Block: hero-teaser</w:t>
      </w:r>
    </w:p>
    <w:p>
      <w:pPr>
        <w:pStyle w:val="BodyText"/>
      </w:pPr>
      <w:r>
        <w:rPr>
          <w:b/>
          <w:bCs/>
        </w:rPr>
        <w:t xml:space="preserve">Image: hero-resources.jpeg</w:t>
      </w:r>
      <w:r>
        <w:t xml:space="preserve"> </w:t>
      </w:r>
      <w:r>
        <w:t xml:space="preserve">CDN URL: https://lumivex-images.pages.dev/hero-efficacy.jpeg</w:t>
      </w:r>
    </w:p>
    <w:p>
      <w:pPr>
        <w:pStyle w:val="BodyText"/>
      </w:pPr>
      <w:r>
        <w:drawing>
          <wp:inline>
            <wp:extent cx="4194048" cy="2340864"/>
            <wp:effectExtent b="0" l="0" r="0" t="0"/>
            <wp:docPr descr="" title="" id="85" name="Picture"/>
            <a:graphic>
              <a:graphicData uri="http://schemas.openxmlformats.org/drawingml/2006/picture">
                <pic:pic>
                  <pic:nvPicPr>
                    <pic:cNvPr descr="https://lumivex-images.pages.dev/hero-efficacy.jpeg" id="86" name="Picture"/>
                    <pic:cNvPicPr>
                      <a:picLocks noChangeArrowheads="1" noChangeAspect="1"/>
                    </pic:cNvPicPr>
                  </pic:nvPicPr>
                  <pic:blipFill>
                    <a:blip r:embed="rId84"/>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t xml:space="preserve">Source: lumivex site | HCP reviewing materials, warm editorial pharmaceutical style</w:t>
      </w:r>
    </w:p>
    <w:p>
      <w:pPr>
        <w:pStyle w:val="BodyText"/>
      </w:pPr>
      <w:r>
        <w:t xml:space="preserve">Resources for you and your patients</w:t>
      </w:r>
      <w:r>
        <w:t xml:space="preserve"> </w:t>
      </w:r>
      <w:r>
        <w:t xml:space="preserve">Access prescribing information, patient support materials, and educational resources to support your patients treated with XEVAT.</w:t>
      </w:r>
    </w:p>
    <w:bookmarkEnd w:id="87"/>
    <w:bookmarkStart w:id="88" w:name="section-2-resources-introduction"/>
    <w:p>
      <w:pPr>
        <w:pStyle w:val="Heading3"/>
      </w:pPr>
      <w:r>
        <w:t xml:space="preserve">Section 2 — Resources Introduction</w:t>
      </w:r>
    </w:p>
    <w:p>
      <w:pPr>
        <w:pStyle w:val="FirstParagraph"/>
      </w:pPr>
      <w:r>
        <w:rPr>
          <w:b/>
          <w:bCs/>
        </w:rPr>
        <w:t xml:space="preserve">Block: introduction | Section metadata: Style: light</w:t>
      </w:r>
    </w:p>
    <w:p>
      <w:pPr>
        <w:pStyle w:val="BodyText"/>
      </w:pPr>
      <w:r>
        <w:t xml:space="preserve">Supporting you and your patients</w:t>
      </w:r>
      <w:r>
        <w:t xml:space="preserve"> </w:t>
      </w:r>
      <w:r>
        <w:t xml:space="preserve">We are committed to providing rheumatology healthcare professionals with the tools and resources needed to support patients treated with XEVAT. Explore the materials below to find prescribing guides, patient education resources, and clinical support materials.</w:t>
      </w:r>
    </w:p>
    <w:bookmarkEnd w:id="88"/>
    <w:bookmarkStart w:id="89" w:name="section-3-resource-cards"/>
    <w:p>
      <w:pPr>
        <w:pStyle w:val="Heading3"/>
      </w:pPr>
      <w:r>
        <w:t xml:space="preserve">Section 3 — Resource Cards</w:t>
      </w:r>
    </w:p>
    <w:p>
      <w:pPr>
        <w:pStyle w:val="FirstParagraph"/>
      </w:pPr>
      <w:r>
        <w:rPr>
          <w:b/>
          <w:bCs/>
        </w:rPr>
        <w:t xml:space="preserve">Block: cards-teaser</w:t>
      </w:r>
    </w:p>
    <w:p>
      <w:pPr>
        <w:pStyle w:val="BodyText"/>
      </w:pPr>
      <w:r>
        <w:t xml:space="preserve">Card 1: Prescribing information — Access the full SmPC, patient information leaflet, and dosing quick reference guide.</w:t>
      </w:r>
      <w:r>
        <w:t xml:space="preserve"> </w:t>
      </w:r>
      <w:r>
        <w:t xml:space="preserve">Card 2: Patient support materials — Download patient-friendly guides explaining RA, the XEVAT treatment process, and managing side effects.</w:t>
      </w:r>
      <w:r>
        <w:t xml:space="preserve"> </w:t>
      </w:r>
      <w:r>
        <w:t xml:space="preserve">Card 3: Educational videos — Watch mechanism of action animations, RESOLVE clinical data presentations, and expert-led discussions.</w:t>
      </w:r>
    </w:p>
    <w:bookmarkEnd w:id="89"/>
    <w:bookmarkStart w:id="90" w:name="X89d1fe516624e83f34f6a73629b6712fee3fd02"/>
    <w:p>
      <w:pPr>
        <w:pStyle w:val="Heading3"/>
      </w:pPr>
      <w:r>
        <w:t xml:space="preserve">Section 4 — Contact and Medical Information</w:t>
      </w:r>
    </w:p>
    <w:p>
      <w:pPr>
        <w:pStyle w:val="FirstParagraph"/>
      </w:pPr>
      <w:r>
        <w:rPr>
          <w:b/>
          <w:bCs/>
        </w:rPr>
        <w:t xml:space="preserve">Block: columns-teaser | Section metadata: Style: highlight</w:t>
      </w:r>
    </w:p>
    <w:p>
      <w:pPr>
        <w:pStyle w:val="BodyText"/>
      </w:pPr>
      <w:r>
        <w:t xml:space="preserve">Medical information and support</w:t>
      </w:r>
      <w:r>
        <w:t xml:space="preserve"> </w:t>
      </w:r>
      <w:r>
        <w:t xml:space="preserve">For medical information enquiries about XEVAT, please contact AstraZeneca Medical Information:</w:t>
      </w:r>
      <w:r>
        <w:t xml:space="preserve"> </w:t>
      </w:r>
      <w:r>
        <w:t xml:space="preserve">Telephone: 0800 783 0033</w:t>
      </w:r>
      <w:r>
        <w:t xml:space="preserve"> </w:t>
      </w:r>
      <w:r>
        <w:t xml:space="preserve">Email: medicalinformationuk@astrazeneca.com</w:t>
      </w:r>
      <w:r>
        <w:t xml:space="preserve"> </w:t>
      </w:r>
      <w:r>
        <w:t xml:space="preserve">Website: contactazmedical.astrazeneca.com</w:t>
      </w:r>
      <w:r>
        <w:t xml:space="preserve"> </w:t>
      </w:r>
      <w:r>
        <w:t xml:space="preserve">Our medical information team is available Monday to Friday, 9:00 AM to 5:00 PM.</w:t>
      </w:r>
    </w:p>
    <w:bookmarkEnd w:id="90"/>
    <w:bookmarkStart w:id="91" w:name="Xddef7d9f80eae46afd62c8b7aeec2865e9d593c"/>
    <w:p>
      <w:pPr>
        <w:pStyle w:val="Heading3"/>
      </w:pPr>
      <w:r>
        <w:t xml:space="preserve">Section 5 — Prescribing Information Accordion</w:t>
      </w:r>
    </w:p>
    <w:p>
      <w:pPr>
        <w:pStyle w:val="FirstParagraph"/>
      </w:pPr>
      <w:r>
        <w:rPr>
          <w:b/>
          <w:bCs/>
        </w:rPr>
        <w:t xml:space="preserve">Block: accordion (same as Home page)</w:t>
      </w:r>
    </w:p>
    <w:bookmarkEnd w:id="91"/>
    <w:bookmarkEnd w:id="92"/>
    <w:bookmarkEnd w:id="93"/>
    <w:bookmarkStart w:id="94" w:name="navigation"/>
    <w:p>
      <w:pPr>
        <w:pStyle w:val="Heading1"/>
      </w:pPr>
      <w:r>
        <w:t xml:space="preserve">Navigation</w:t>
      </w:r>
    </w:p>
    <w:p>
      <w:pPr>
        <w:pStyle w:val="FirstParagraph"/>
      </w:pPr>
      <w:r>
        <w:t xml:space="preserve">Top bar: Contact Us | AZ Employee Login</w:t>
      </w:r>
      <w:r>
        <w:t xml:space="preserve"> </w:t>
      </w:r>
      <w:r>
        <w:t xml:space="preserve">Logo: AstraZeneca logo (CDN)</w:t>
      </w:r>
      <w:r>
        <w:t xml:space="preserve"> </w:t>
      </w:r>
      <w:r>
        <w:t xml:space="preserve">Nav items: Home | Efficacy | Safety | Dosing | Mechanism of Action | Resources</w:t>
      </w:r>
      <w:r>
        <w:t xml:space="preserve"> </w:t>
      </w:r>
      <w:r>
        <w:t xml:space="preserve">Right: Search icon | Login CTA</w:t>
      </w:r>
    </w:p>
    <w:p>
      <w:pPr>
        <w:pStyle w:val="BodyText"/>
      </w:pPr>
      <w:r>
        <w:t xml:space="preserve">All nav links prefixed with /xevat/</w:t>
      </w:r>
    </w:p>
    <w:bookmarkEnd w:id="94"/>
    <w:bookmarkStart w:id="95" w:name="footer"/>
    <w:p>
      <w:pPr>
        <w:pStyle w:val="Heading1"/>
      </w:pPr>
      <w:r>
        <w:t xml:space="preserve">Footer</w:t>
      </w:r>
    </w:p>
    <w:p>
      <w:pPr>
        <w:pStyle w:val="FirstParagraph"/>
      </w:pPr>
      <w:r>
        <w:t xml:space="preserve">Logo: AstraZeneca logo (CDN)</w:t>
      </w:r>
      <w:r>
        <w:t xml:space="preserve"> </w:t>
      </w:r>
      <w:r>
        <w:t xml:space="preserve">Approval code: GB-98765 | DOP: March 2026</w:t>
      </w:r>
      <w:r>
        <w:t xml:space="preserve"> </w:t>
      </w:r>
      <w:r>
        <w:t xml:space="preserve">Copyright: © AstraZeneca 2026. All rights reserved.</w:t>
      </w:r>
    </w:p>
    <w:p>
      <w:pPr>
        <w:pStyle w:val="BodyText"/>
      </w:pPr>
      <w:r>
        <w:t xml:space="preserve">Page links: Home | Efficacy | Safety | Dosing | Mechanism of Action | Resources</w:t>
      </w:r>
    </w:p>
    <w:p>
      <w:pPr>
        <w:pStyle w:val="BodyText"/>
      </w:pPr>
      <w:r>
        <w:t xml:space="preserve">Regulatory links:</w:t>
      </w:r>
      <w:r>
        <w:t xml:space="preserve"> </w:t>
      </w:r>
      <w:r>
        <w:t xml:space="preserve">Report Adverse Event → https://yellowcard.mhra.gov.uk/</w:t>
      </w:r>
      <w:r>
        <w:t xml:space="preserve"> </w:t>
      </w:r>
      <w:r>
        <w:t xml:space="preserve">Medical Information → https://contactazmedical.astrazeneca.com/</w:t>
      </w:r>
      <w:r>
        <w:t xml:space="preserve"> </w:t>
      </w:r>
      <w:r>
        <w:t xml:space="preserve">Privacy Policy → https://www.astrazeneca.co.uk/our-company/privacy-notice.html</w:t>
      </w:r>
      <w:r>
        <w:t xml:space="preserve"> </w:t>
      </w:r>
      <w:r>
        <w:t xml:space="preserve">Terms of Use → https://www.astrazeneca.co.uk/our-company/terms-of-use.html</w:t>
      </w:r>
      <w:r>
        <w:t xml:space="preserve"> </w:t>
      </w:r>
      <w:r>
        <w:t xml:space="preserve">Accessibility → https://www.astrazeneca.co.uk/accessibility.html</w:t>
      </w:r>
    </w:p>
    <w:p>
      <w:pPr>
        <w:pStyle w:val="BodyText"/>
      </w:pPr>
      <w:r>
        <w:t xml:space="preserve">Date of Preparation: March 2026</w:t>
      </w:r>
    </w:p>
    <w:bookmarkEnd w:id="95"/>
    <w:bookmarkStart w:id="126" w:name="image-reference-reused-cdn-assets"/>
    <w:p>
      <w:pPr>
        <w:pStyle w:val="Heading1"/>
      </w:pPr>
      <w:r>
        <w:t xml:space="preserve">Image Reference — Reused CDN Assets</w:t>
      </w:r>
    </w:p>
    <w:p>
      <w:pPr>
        <w:pStyle w:val="FirstParagraph"/>
      </w:pPr>
      <w:r>
        <w:t xml:space="preserve">All images below are reused from existing site CDNs. No new image generation is required.</w:t>
      </w:r>
    </w:p>
    <w:bookmarkStart w:id="98" w:name="hero-home.jpeg"/>
    <w:p>
      <w:pPr>
        <w:pStyle w:val="Heading3"/>
      </w:pPr>
      <w:r>
        <w:t xml:space="preserve">hero-home.jpeg</w:t>
      </w:r>
    </w:p>
    <w:p>
      <w:pPr>
        <w:pStyle w:val="FirstParagraph"/>
      </w:pPr>
      <w:r>
        <w:rPr>
          <w:b/>
          <w:bCs/>
        </w:rPr>
        <w:t xml:space="preserve">Image: hero-home.jpeg</w:t>
      </w:r>
      <w:r>
        <w:t xml:space="preserve"> </w:t>
      </w:r>
      <w:r>
        <w:t xml:space="preserve">CDN URL: https://revantha-images.pages.dev/hero-home.jpeg</w:t>
      </w:r>
    </w:p>
    <w:p>
      <w:pPr>
        <w:pStyle w:val="BodyText"/>
      </w:pPr>
      <w:r>
        <w:drawing>
          <wp:inline>
            <wp:extent cx="4194048" cy="2340864"/>
            <wp:effectExtent b="0" l="0" r="0" t="0"/>
            <wp:docPr descr="" title="" id="96" name="Picture"/>
            <a:graphic>
              <a:graphicData uri="http://schemas.openxmlformats.org/drawingml/2006/picture">
                <pic:pic>
                  <pic:nvPicPr>
                    <pic:cNvPr descr="https://revantha-images.pages.dev/hero-home.jpeg" id="97" name="Picture"/>
                    <pic:cNvPicPr>
                      <a:picLocks noChangeArrowheads="1" noChangeAspect="1"/>
                    </pic:cNvPicPr>
                  </pic:nvPicPr>
                  <pic:blipFill>
                    <a:blip r:embed="rId20"/>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t xml:space="preserve">Source: revantha site | Double-exposure portrait, man silhouette filled with scientific imagery</w:t>
      </w:r>
    </w:p>
    <w:bookmarkEnd w:id="98"/>
    <w:bookmarkStart w:id="101" w:name="hero-efficacy.jpeg"/>
    <w:p>
      <w:pPr>
        <w:pStyle w:val="Heading3"/>
      </w:pPr>
      <w:r>
        <w:t xml:space="preserve">hero-efficacy.jpeg</w:t>
      </w:r>
    </w:p>
    <w:p>
      <w:pPr>
        <w:pStyle w:val="FirstParagraph"/>
      </w:pPr>
      <w:r>
        <w:rPr>
          <w:b/>
          <w:bCs/>
        </w:rPr>
        <w:t xml:space="preserve">Image: hero-efficacy.jpeg</w:t>
      </w:r>
      <w:r>
        <w:t xml:space="preserve"> </w:t>
      </w:r>
      <w:r>
        <w:t xml:space="preserve">CDN URL: https://eluvion-images.pages.dev/hero-efficacy.jpeg</w:t>
      </w:r>
    </w:p>
    <w:p>
      <w:pPr>
        <w:pStyle w:val="BodyText"/>
      </w:pPr>
      <w:r>
        <w:drawing>
          <wp:inline>
            <wp:extent cx="4194048" cy="2340864"/>
            <wp:effectExtent b="0" l="0" r="0" t="0"/>
            <wp:docPr descr="" title="" id="99" name="Picture"/>
            <a:graphic>
              <a:graphicData uri="http://schemas.openxmlformats.org/drawingml/2006/picture">
                <pic:pic>
                  <pic:nvPicPr>
                    <pic:cNvPr descr="https://eluvion-images.pages.dev/hero-efficacy.jpeg" id="100" name="Picture"/>
                    <pic:cNvPicPr>
                      <a:picLocks noChangeArrowheads="1" noChangeAspect="1"/>
                    </pic:cNvPicPr>
                  </pic:nvPicPr>
                  <pic:blipFill>
                    <a:blip r:embed="rId45"/>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t xml:space="preserve">Source: eluvion site | Double-exposure portrait with data visualisation elements</w:t>
      </w:r>
    </w:p>
    <w:bookmarkEnd w:id="101"/>
    <w:bookmarkStart w:id="104" w:name="hero-safety.jpeg"/>
    <w:p>
      <w:pPr>
        <w:pStyle w:val="Heading3"/>
      </w:pPr>
      <w:r>
        <w:t xml:space="preserve">hero-safety.jpeg</w:t>
      </w:r>
    </w:p>
    <w:p>
      <w:pPr>
        <w:pStyle w:val="FirstParagraph"/>
      </w:pPr>
      <w:r>
        <w:rPr>
          <w:b/>
          <w:bCs/>
        </w:rPr>
        <w:t xml:space="preserve">Image: hero-safety.jpeg</w:t>
      </w:r>
      <w:r>
        <w:t xml:space="preserve"> </w:t>
      </w:r>
      <w:r>
        <w:t xml:space="preserve">CDN URL: https://novapril-images.pages.dev/hero-safety.jpeg</w:t>
      </w:r>
    </w:p>
    <w:p>
      <w:pPr>
        <w:pStyle w:val="BodyText"/>
      </w:pPr>
      <w:r>
        <w:drawing>
          <wp:inline>
            <wp:extent cx="4194048" cy="2340864"/>
            <wp:effectExtent b="0" l="0" r="0" t="0"/>
            <wp:docPr descr="" title="" id="102" name="Picture"/>
            <a:graphic>
              <a:graphicData uri="http://schemas.openxmlformats.org/drawingml/2006/picture">
                <pic:pic>
                  <pic:nvPicPr>
                    <pic:cNvPr descr="https://novapril-images.pages.dev/hero-safety.jpeg" id="103" name="Picture"/>
                    <pic:cNvPicPr>
                      <a:picLocks noChangeArrowheads="1" noChangeAspect="1"/>
                    </pic:cNvPicPr>
                  </pic:nvPicPr>
                  <pic:blipFill>
                    <a:blip r:embed="rId55"/>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t xml:space="preserve">Source: novapril site | Warm lifestyle photograph, patient in everyday setting</w:t>
      </w:r>
    </w:p>
    <w:bookmarkEnd w:id="104"/>
    <w:bookmarkStart w:id="107" w:name="hero-dosing.jpeg"/>
    <w:p>
      <w:pPr>
        <w:pStyle w:val="Heading3"/>
      </w:pPr>
      <w:r>
        <w:t xml:space="preserve">hero-dosing.jpeg</w:t>
      </w:r>
    </w:p>
    <w:p>
      <w:pPr>
        <w:pStyle w:val="FirstParagraph"/>
      </w:pPr>
      <w:r>
        <w:rPr>
          <w:b/>
          <w:bCs/>
        </w:rPr>
        <w:t xml:space="preserve">Image: hero-dosing.jpeg</w:t>
      </w:r>
      <w:r>
        <w:t xml:space="preserve"> </w:t>
      </w:r>
      <w:r>
        <w:t xml:space="preserve">CDN URL: https://vitessa-images.pages.dev/hero-dosing.jpeg</w:t>
      </w:r>
    </w:p>
    <w:p>
      <w:pPr>
        <w:pStyle w:val="BodyText"/>
      </w:pPr>
      <w:r>
        <w:drawing>
          <wp:inline>
            <wp:extent cx="4194048" cy="2340864"/>
            <wp:effectExtent b="0" l="0" r="0" t="0"/>
            <wp:docPr descr="" title="" id="105" name="Picture"/>
            <a:graphic>
              <a:graphicData uri="http://schemas.openxmlformats.org/drawingml/2006/picture">
                <pic:pic>
                  <pic:nvPicPr>
                    <pic:cNvPr descr="https://vitessa-images.pages.dev/hero-dosing.jpeg" id="106" name="Picture"/>
                    <pic:cNvPicPr>
                      <a:picLocks noChangeArrowheads="1" noChangeAspect="1"/>
                    </pic:cNvPicPr>
                  </pic:nvPicPr>
                  <pic:blipFill>
                    <a:blip r:embed="rId65"/>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t xml:space="preserve">Source: vitessa site | Clean product/device photography in clinical setting</w:t>
      </w:r>
    </w:p>
    <w:bookmarkEnd w:id="107"/>
    <w:bookmarkStart w:id="110" w:name="hero-moa.jpeg"/>
    <w:p>
      <w:pPr>
        <w:pStyle w:val="Heading3"/>
      </w:pPr>
      <w:r>
        <w:t xml:space="preserve">hero-moa.jpeg</w:t>
      </w:r>
    </w:p>
    <w:p>
      <w:pPr>
        <w:pStyle w:val="FirstParagraph"/>
      </w:pPr>
      <w:r>
        <w:rPr>
          <w:b/>
          <w:bCs/>
        </w:rPr>
        <w:t xml:space="preserve">Image: hero-moa.jpeg</w:t>
      </w:r>
      <w:r>
        <w:t xml:space="preserve"> </w:t>
      </w:r>
      <w:r>
        <w:t xml:space="preserve">CDN URL: https://eluvion-images.pages.dev/hero-moa.jpeg</w:t>
      </w:r>
    </w:p>
    <w:p>
      <w:pPr>
        <w:pStyle w:val="BodyText"/>
      </w:pPr>
      <w:r>
        <w:drawing>
          <wp:inline>
            <wp:extent cx="4194048" cy="2340864"/>
            <wp:effectExtent b="0" l="0" r="0" t="0"/>
            <wp:docPr descr="" title="" id="108" name="Picture"/>
            <a:graphic>
              <a:graphicData uri="http://schemas.openxmlformats.org/drawingml/2006/picture">
                <pic:pic>
                  <pic:nvPicPr>
                    <pic:cNvPr descr="https://eluvion-images.pages.dev/hero-moa.jpeg" id="109" name="Picture"/>
                    <pic:cNvPicPr>
                      <a:picLocks noChangeArrowheads="1" noChangeAspect="1"/>
                    </pic:cNvPicPr>
                  </pic:nvPicPr>
                  <pic:blipFill>
                    <a:blip r:embed="rId75"/>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t xml:space="preserve">Source: eluvion site | Abstract molecular/scientific illustration, dark background</w:t>
      </w:r>
    </w:p>
    <w:bookmarkEnd w:id="110"/>
    <w:bookmarkStart w:id="113" w:name="hero-resources.jpeg"/>
    <w:p>
      <w:pPr>
        <w:pStyle w:val="Heading3"/>
      </w:pPr>
      <w:r>
        <w:t xml:space="preserve">hero-resources.jpeg</w:t>
      </w:r>
    </w:p>
    <w:p>
      <w:pPr>
        <w:pStyle w:val="FirstParagraph"/>
      </w:pPr>
      <w:r>
        <w:rPr>
          <w:b/>
          <w:bCs/>
        </w:rPr>
        <w:t xml:space="preserve">Image: hero-resources.jpeg</w:t>
      </w:r>
      <w:r>
        <w:t xml:space="preserve"> </w:t>
      </w:r>
      <w:r>
        <w:t xml:space="preserve">CDN URL: https://lumivex-images.pages.dev/hero-efficacy.jpeg</w:t>
      </w:r>
    </w:p>
    <w:p>
      <w:pPr>
        <w:pStyle w:val="BodyText"/>
      </w:pPr>
      <w:r>
        <w:drawing>
          <wp:inline>
            <wp:extent cx="4194048" cy="2340864"/>
            <wp:effectExtent b="0" l="0" r="0" t="0"/>
            <wp:docPr descr="" title="" id="111" name="Picture"/>
            <a:graphic>
              <a:graphicData uri="http://schemas.openxmlformats.org/drawingml/2006/picture">
                <pic:pic>
                  <pic:nvPicPr>
                    <pic:cNvPr descr="https://lumivex-images.pages.dev/hero-efficacy.jpeg" id="112" name="Picture"/>
                    <pic:cNvPicPr>
                      <a:picLocks noChangeArrowheads="1" noChangeAspect="1"/>
                    </pic:cNvPicPr>
                  </pic:nvPicPr>
                  <pic:blipFill>
                    <a:blip r:embed="rId84"/>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t xml:space="preserve">Source: lumivex site | HCP reviewing materials, warm editorial pharmaceutical style</w:t>
      </w:r>
    </w:p>
    <w:bookmarkEnd w:id="113"/>
    <w:bookmarkStart w:id="116" w:name="card-efficacy.jpeg"/>
    <w:p>
      <w:pPr>
        <w:pStyle w:val="Heading3"/>
      </w:pPr>
      <w:r>
        <w:t xml:space="preserve">card-efficacy.jpeg</w:t>
      </w:r>
    </w:p>
    <w:p>
      <w:pPr>
        <w:pStyle w:val="FirstParagraph"/>
      </w:pPr>
      <w:r>
        <w:rPr>
          <w:b/>
          <w:bCs/>
        </w:rPr>
        <w:t xml:space="preserve">Image: card-efficacy.jpeg</w:t>
      </w:r>
      <w:r>
        <w:t xml:space="preserve"> </w:t>
      </w:r>
      <w:r>
        <w:t xml:space="preserve">CDN URL: https://revantha-images.pages.dev/card-efficacy.jpeg</w:t>
      </w:r>
    </w:p>
    <w:p>
      <w:pPr>
        <w:pStyle w:val="BodyText"/>
      </w:pPr>
      <w:r>
        <w:drawing>
          <wp:inline>
            <wp:extent cx="3657600" cy="2731008"/>
            <wp:effectExtent b="0" l="0" r="0" t="0"/>
            <wp:docPr descr="" title="" id="114" name="Picture"/>
            <a:graphic>
              <a:graphicData uri="http://schemas.openxmlformats.org/drawingml/2006/picture">
                <pic:pic>
                  <pic:nvPicPr>
                    <pic:cNvPr descr="https://revantha-images.pages.dev/card-efficacy.jpeg" id="115" name="Picture"/>
                    <pic:cNvPicPr>
                      <a:picLocks noChangeArrowheads="1" noChangeAspect="1"/>
                    </pic:cNvPicPr>
                  </pic:nvPicPr>
                  <pic:blipFill>
                    <a:blip r:embed="rId26"/>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t xml:space="preserve">Source: revantha site | Abstract data visualisation in blue and white</w:t>
      </w:r>
    </w:p>
    <w:bookmarkEnd w:id="116"/>
    <w:bookmarkStart w:id="119" w:name="card-safety.jpeg"/>
    <w:p>
      <w:pPr>
        <w:pStyle w:val="Heading3"/>
      </w:pPr>
      <w:r>
        <w:t xml:space="preserve">card-safety.jpeg</w:t>
      </w:r>
    </w:p>
    <w:p>
      <w:pPr>
        <w:pStyle w:val="FirstParagraph"/>
      </w:pPr>
      <w:r>
        <w:rPr>
          <w:b/>
          <w:bCs/>
        </w:rPr>
        <w:t xml:space="preserve">Image: card-safety.jpeg</w:t>
      </w:r>
      <w:r>
        <w:t xml:space="preserve"> </w:t>
      </w:r>
      <w:r>
        <w:t xml:space="preserve">CDN URL: https://novapril-images.pages.dev/card-safety.jpeg</w:t>
      </w:r>
    </w:p>
    <w:p>
      <w:pPr>
        <w:pStyle w:val="BodyText"/>
      </w:pPr>
      <w:r>
        <w:drawing>
          <wp:inline>
            <wp:extent cx="3657600" cy="2731008"/>
            <wp:effectExtent b="0" l="0" r="0" t="0"/>
            <wp:docPr descr="" title="" id="117" name="Picture"/>
            <a:graphic>
              <a:graphicData uri="http://schemas.openxmlformats.org/drawingml/2006/picture">
                <pic:pic>
                  <pic:nvPicPr>
                    <pic:cNvPr descr="https://novapril-images.pages.dev/card-safety.jpeg" id="118" name="Picture"/>
                    <pic:cNvPicPr>
                      <a:picLocks noChangeArrowheads="1" noChangeAspect="1"/>
                    </pic:cNvPicPr>
                  </pic:nvPicPr>
                  <pic:blipFill>
                    <a:blip r:embed="rId29"/>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t xml:space="preserve">Source: novapril site | Healthcare professional with patient monitoring</w:t>
      </w:r>
    </w:p>
    <w:bookmarkEnd w:id="119"/>
    <w:bookmarkStart w:id="122" w:name="card-dosing.jpeg"/>
    <w:p>
      <w:pPr>
        <w:pStyle w:val="Heading3"/>
      </w:pPr>
      <w:r>
        <w:t xml:space="preserve">card-dosing.jpeg</w:t>
      </w:r>
    </w:p>
    <w:p>
      <w:pPr>
        <w:pStyle w:val="FirstParagraph"/>
      </w:pPr>
      <w:r>
        <w:rPr>
          <w:b/>
          <w:bCs/>
        </w:rPr>
        <w:t xml:space="preserve">Image: card-dosing.jpeg</w:t>
      </w:r>
      <w:r>
        <w:t xml:space="preserve"> </w:t>
      </w:r>
      <w:r>
        <w:t xml:space="preserve">CDN URL: https://vitessa-images.pages.dev/card-dosing.jpeg</w:t>
      </w:r>
    </w:p>
    <w:p>
      <w:pPr>
        <w:pStyle w:val="BodyText"/>
      </w:pPr>
      <w:r>
        <w:drawing>
          <wp:inline>
            <wp:extent cx="3657600" cy="2731008"/>
            <wp:effectExtent b="0" l="0" r="0" t="0"/>
            <wp:docPr descr="" title="" id="120" name="Picture"/>
            <a:graphic>
              <a:graphicData uri="http://schemas.openxmlformats.org/drawingml/2006/picture">
                <pic:pic>
                  <pic:nvPicPr>
                    <pic:cNvPr descr="https://vitessa-images.pages.dev/card-dosing.jpeg" id="121" name="Picture"/>
                    <pic:cNvPicPr>
                      <a:picLocks noChangeArrowheads="1" noChangeAspect="1"/>
                    </pic:cNvPicPr>
                  </pic:nvPicPr>
                  <pic:blipFill>
                    <a:blip r:embed="rId33"/>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t xml:space="preserve">Source: vitessa site | Product photography, clean background</w:t>
      </w:r>
    </w:p>
    <w:bookmarkEnd w:id="122"/>
    <w:bookmarkStart w:id="125" w:name="moa-preview.jpeg"/>
    <w:p>
      <w:pPr>
        <w:pStyle w:val="Heading3"/>
      </w:pPr>
      <w:r>
        <w:t xml:space="preserve">moa-preview.jpeg</w:t>
      </w:r>
    </w:p>
    <w:p>
      <w:pPr>
        <w:pStyle w:val="FirstParagraph"/>
      </w:pPr>
      <w:r>
        <w:rPr>
          <w:b/>
          <w:bCs/>
        </w:rPr>
        <w:t xml:space="preserve">Image: moa-preview.jpeg</w:t>
      </w:r>
      <w:r>
        <w:t xml:space="preserve"> </w:t>
      </w:r>
      <w:r>
        <w:t xml:space="preserve">CDN URL: https://eluvion-images.pages.dev/moa-preview.jpeg</w:t>
      </w:r>
    </w:p>
    <w:p>
      <w:pPr>
        <w:pStyle w:val="BodyText"/>
      </w:pPr>
      <w:r>
        <w:drawing>
          <wp:inline>
            <wp:extent cx="3657600" cy="2731008"/>
            <wp:effectExtent b="0" l="0" r="0" t="0"/>
            <wp:docPr descr="" title="" id="123" name="Picture"/>
            <a:graphic>
              <a:graphicData uri="http://schemas.openxmlformats.org/drawingml/2006/picture">
                <pic:pic>
                  <pic:nvPicPr>
                    <pic:cNvPr descr="https://eluvion-images.pages.dev/moa-preview.jpeg" id="124" name="Picture"/>
                    <pic:cNvPicPr>
                      <a:picLocks noChangeArrowheads="1" noChangeAspect="1"/>
                    </pic:cNvPicPr>
                  </pic:nvPicPr>
                  <pic:blipFill>
                    <a:blip r:embed="rId38"/>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t xml:space="preserve">Source: eluvion site | Molecular pathway illustration</w:t>
      </w:r>
    </w:p>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jpg" /><Relationship Type="http://schemas.openxmlformats.org/officeDocument/2006/relationships/image" Id="rId75" Target="media/rId75.jpg" /><Relationship Type="http://schemas.openxmlformats.org/officeDocument/2006/relationships/image" Id="rId38" Target="media/rId38.jpg" /><Relationship Type="http://schemas.openxmlformats.org/officeDocument/2006/relationships/image" Id="rId84" Target="media/rId84.jpg" /><Relationship Type="http://schemas.openxmlformats.org/officeDocument/2006/relationships/image" Id="rId29" Target="media/rId29.jpg" /><Relationship Type="http://schemas.openxmlformats.org/officeDocument/2006/relationships/image" Id="rId55" Target="media/rId55.jpg" /><Relationship Type="http://schemas.openxmlformats.org/officeDocument/2006/relationships/image" Id="rId26" Target="media/rId26.jpg" /><Relationship Type="http://schemas.openxmlformats.org/officeDocument/2006/relationships/image" Id="rId20" Target="media/rId20.jpg" /><Relationship Type="http://schemas.openxmlformats.org/officeDocument/2006/relationships/image" Id="rId33" Target="media/rId33.jpg" /><Relationship Type="http://schemas.openxmlformats.org/officeDocument/2006/relationships/image" Id="rId65" Target="media/rId65.jpg" /><Relationship Type="http://schemas.openxmlformats.org/officeDocument/2006/relationships/hyperlink" Id="rId36" Target="/xevat/dosing" TargetMode="External" /><Relationship Type="http://schemas.openxmlformats.org/officeDocument/2006/relationships/hyperlink" Id="rId23" Target="/xevat/efficacy" TargetMode="External" /><Relationship Type="http://schemas.openxmlformats.org/officeDocument/2006/relationships/hyperlink" Id="rId41" Target="/xevat/mechanism-of-action" TargetMode="External" /><Relationship Type="http://schemas.openxmlformats.org/officeDocument/2006/relationships/hyperlink" Id="rId61" Target="/xevat/resources" TargetMode="External" /><Relationship Type="http://schemas.openxmlformats.org/officeDocument/2006/relationships/hyperlink" Id="rId32" Target="/xevat/safety" TargetMode="External" /></Relationships>
</file>

<file path=word/_rels/footnotes.xml.rels><?xml version="1.0" encoding="UTF-8"?><Relationships xmlns="http://schemas.openxmlformats.org/package/2006/relationships"><Relationship Type="http://schemas.openxmlformats.org/officeDocument/2006/relationships/hyperlink" Id="rId36" Target="/xevat/dosing" TargetMode="External" /><Relationship Type="http://schemas.openxmlformats.org/officeDocument/2006/relationships/hyperlink" Id="rId23" Target="/xevat/efficacy" TargetMode="External" /><Relationship Type="http://schemas.openxmlformats.org/officeDocument/2006/relationships/hyperlink" Id="rId41" Target="/xevat/mechanism-of-action" TargetMode="External" /><Relationship Type="http://schemas.openxmlformats.org/officeDocument/2006/relationships/hyperlink" Id="rId61" Target="/xevat/resources" TargetMode="External" /><Relationship Type="http://schemas.openxmlformats.org/officeDocument/2006/relationships/hyperlink" Id="rId32" Target="/xevat/safe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2026-04-14T05:47:49Z</dcterms:created>
  <dcterms:modified xsi:type="dcterms:W3CDTF">2026-04-14T05:47:49Z</dcterms:modified>
</cp:coreProperties>
</file>

<file path=docProps/custom.xml><?xml version="1.0" encoding="utf-8"?>
<Properties xmlns="http://schemas.openxmlformats.org/officeDocument/2006/custom-properties" xmlns:vt="http://schemas.openxmlformats.org/officeDocument/2006/docPropsVTypes"/>
</file>