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3.jpg" ContentType="image/jpeg"/>
  <Override PartName="/word/media/rId33.jpg" ContentType="image/jpeg"/>
  <Override PartName="/word/media/rId27.jpg" ContentType="image/jpeg"/>
  <Override PartName="/word/media/rId65.jpg" ContentType="image/jpeg"/>
  <Override PartName="/word/media/rId68.jpg" ContentType="image/jpeg"/>
  <Override PartName="/word/media/rId71.jpg" ContentType="image/jpeg"/>
  <Override PartName="/word/media/rId100.jpg" ContentType="image/jpeg"/>
  <Override PartName="/word/media/rId97.jpg" ContentType="image/jpeg"/>
  <Override PartName="/word/media/rId30.jpg" ContentType="image/jpeg"/>
  <Override PartName="/word/media/rId84.jpg" ContentType="image/jpeg"/>
  <Override PartName="/word/media/rId56.jpg" ContentType="image/jpeg"/>
  <Override PartName="/word/media/rId88.jpg" ContentType="image/jpeg"/>
  <Override PartName="/word/media/rId37.jpg" ContentType="image/jpeg"/>
  <Override PartName="/word/media/rId76.jpg" ContentType="image/jpeg"/>
  <Override PartName="/word/media/rId44.jpg" ContentType="image/jpeg"/>
  <Override PartName="/word/media/rId23.jpg" ContentType="image/jpeg"/>
  <Override PartName="/word/media/rId49.jpg" ContentType="image/jpeg"/>
  <Override PartName="/word/media/rId52.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3" w:name="zenturis-zenturigliptin-website-briefing"/>
    <w:p>
      <w:pPr>
        <w:pStyle w:val="Heading1"/>
      </w:pPr>
      <w:r>
        <w:t xml:space="preserve">Zenturis (zenturigliptin) — Website Briefing</w:t>
      </w:r>
    </w:p>
    <w:p>
      <w:pPr>
        <w:pStyle w:val="BlockText"/>
      </w:pPr>
      <w:r>
        <w:rPr>
          <w:b/>
          <w:bCs/>
        </w:rPr>
        <w:t xml:space="preserve">Document type</w:t>
      </w:r>
      <w:r>
        <w:t xml:space="preserve">: Final approved marketing brief for HCP website build</w:t>
      </w:r>
      <w:r>
        <w:t xml:space="preserve"> </w:t>
      </w:r>
      <w:r>
        <w:rPr>
          <w:b/>
          <w:bCs/>
        </w:rPr>
        <w:t xml:space="preserve">Prepared by</w:t>
      </w:r>
      <w:r>
        <w:t xml:space="preserve">: Marketing — UK Diabetes Franchise</w:t>
      </w:r>
      <w:r>
        <w:t xml:space="preserve"> </w:t>
      </w:r>
      <w:r>
        <w:rPr>
          <w:b/>
          <w:bCs/>
        </w:rPr>
        <w:t xml:space="preserve">Approval status</w:t>
      </w:r>
      <w:r>
        <w:t xml:space="preserve">: MLR-approved copy — do not modify</w:t>
      </w:r>
      <w:r>
        <w:t xml:space="preserve"> </w:t>
      </w:r>
      <w:r>
        <w:rPr>
          <w:b/>
          <w:bCs/>
        </w:rPr>
        <w:t xml:space="preserve">Date</w:t>
      </w:r>
      <w:r>
        <w:t xml:space="preserve">: March 2026</w:t>
      </w:r>
    </w:p>
    <w:p>
      <w:r>
        <w:pict>
          <v:rect style="width:0;height:1.5pt" o:hralign="center" o:hrstd="t" o:hr="t"/>
        </w:pict>
      </w:r>
    </w:p>
    <w:bookmarkStart w:id="9" w:name="drug-profile"/>
    <w:p>
      <w:pPr>
        <w:pStyle w:val="Heading2"/>
      </w:pPr>
      <w:r>
        <w:t xml:space="preserve">1. Drug Profile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Brand name</w:t>
            </w:r>
          </w:p>
        </w:tc>
        <w:tc>
          <w:tcPr/>
          <w:p>
            <w:pPr>
              <w:pStyle w:val="Compact"/>
            </w:pPr>
            <w:r>
              <w:t xml:space="preserve">Zenturis</w:t>
            </w:r>
          </w:p>
        </w:tc>
      </w:tr>
      <w:tr>
        <w:tc>
          <w:tcPr/>
          <w:p>
            <w:pPr>
              <w:pStyle w:val="Compact"/>
            </w:pPr>
            <w:r>
              <w:rPr>
                <w:b/>
                <w:bCs/>
              </w:rPr>
              <w:t xml:space="preserve">Generic name</w:t>
            </w:r>
          </w:p>
        </w:tc>
        <w:tc>
          <w:tcPr/>
          <w:p>
            <w:pPr>
              <w:pStyle w:val="Compact"/>
            </w:pPr>
            <w:r>
              <w:t xml:space="preserve">zenturigliptin</w:t>
            </w:r>
          </w:p>
        </w:tc>
      </w:tr>
      <w:tr>
        <w:tc>
          <w:tcPr/>
          <w:p>
            <w:pPr>
              <w:pStyle w:val="Compact"/>
            </w:pPr>
            <w:r>
              <w:rPr>
                <w:b/>
                <w:bCs/>
              </w:rPr>
              <w:t xml:space="preserve">Drug class</w:t>
            </w:r>
          </w:p>
        </w:tc>
        <w:tc>
          <w:tcPr/>
          <w:p>
            <w:pPr>
              <w:pStyle w:val="Compact"/>
            </w:pPr>
            <w:r>
              <w:t xml:space="preserve">Oral GLP-1 receptor agonist (non-peptide small molecule)</w:t>
            </w:r>
          </w:p>
        </w:tc>
      </w:tr>
      <w:tr>
        <w:tc>
          <w:tcPr/>
          <w:p>
            <w:pPr>
              <w:pStyle w:val="Compact"/>
            </w:pPr>
            <w:r>
              <w:rPr>
                <w:b/>
                <w:bCs/>
              </w:rPr>
              <w:t xml:space="preserve">Indication</w:t>
            </w:r>
          </w:p>
        </w:tc>
        <w:tc>
          <w:tcPr/>
          <w:p>
            <w:pPr>
              <w:pStyle w:val="Compact"/>
            </w:pPr>
            <w:r>
              <w:t xml:space="preserve">Treatment of adults with insufficiently controlled type 2 diabetes mellitus as an adjunct to diet and exercise, as monotherapy when metformin is not tolerated, or in combination with other medicinal products for the treatment of diabetes</w:t>
            </w:r>
          </w:p>
        </w:tc>
      </w:tr>
      <w:tr>
        <w:tc>
          <w:tcPr/>
          <w:p>
            <w:pPr>
              <w:pStyle w:val="Compact"/>
            </w:pPr>
            <w:r>
              <w:rPr>
                <w:b/>
                <w:bCs/>
              </w:rPr>
              <w:t xml:space="preserve">Extended indication</w:t>
            </w:r>
          </w:p>
        </w:tc>
        <w:tc>
          <w:tcPr/>
          <w:p>
            <w:pPr>
              <w:pStyle w:val="Compact"/>
            </w:pPr>
            <w:r>
              <w:t xml:space="preserve">Reduction of major adverse cardiovascular events (cardiovascular death, non-fatal myocardial infarction, non-fatal stroke) in adults with type 2 diabetes mellitus and established cardiovascular disease or multiple cardiovascular risk factors</w:t>
            </w:r>
          </w:p>
        </w:tc>
      </w:tr>
      <w:tr>
        <w:tc>
          <w:tcPr/>
          <w:p>
            <w:pPr>
              <w:pStyle w:val="Compact"/>
            </w:pPr>
            <w:r>
              <w:rPr>
                <w:b/>
                <w:bCs/>
              </w:rPr>
              <w:t xml:space="preserve">Formulation</w:t>
            </w:r>
          </w:p>
        </w:tc>
        <w:tc>
          <w:tcPr/>
          <w:p>
            <w:pPr>
              <w:pStyle w:val="Compact"/>
            </w:pPr>
            <w:r>
              <w:t xml:space="preserve">14 mg film-coated tablet</w:t>
            </w:r>
          </w:p>
        </w:tc>
      </w:tr>
      <w:tr>
        <w:tc>
          <w:tcPr/>
          <w:p>
            <w:pPr>
              <w:pStyle w:val="Compact"/>
            </w:pPr>
            <w:r>
              <w:rPr>
                <w:b/>
                <w:bCs/>
              </w:rPr>
              <w:t xml:space="preserve">Dosing</w:t>
            </w:r>
          </w:p>
        </w:tc>
        <w:tc>
          <w:tcPr/>
          <w:p>
            <w:pPr>
              <w:pStyle w:val="Compact"/>
            </w:pPr>
            <w:r>
              <w:t xml:space="preserve">One tablet once weekly, taken in the morning on an empty stomach with a sip of water</w:t>
            </w:r>
          </w:p>
        </w:tc>
      </w:tr>
      <w:tr>
        <w:tc>
          <w:tcPr/>
          <w:p>
            <w:pPr>
              <w:pStyle w:val="Compact"/>
            </w:pPr>
            <w:r>
              <w:rPr>
                <w:b/>
                <w:bCs/>
              </w:rPr>
              <w:t xml:space="preserve">Approval</w:t>
            </w:r>
          </w:p>
        </w:tc>
        <w:tc>
          <w:tcPr/>
          <w:p>
            <w:pPr>
              <w:pStyle w:val="Compact"/>
            </w:pPr>
            <w:r>
              <w:t xml:space="preserve">MHRA — January 2026</w:t>
            </w:r>
          </w:p>
        </w:tc>
      </w:tr>
      <w:tr>
        <w:tc>
          <w:tcPr/>
          <w:p>
            <w:pPr>
              <w:pStyle w:val="Compact"/>
            </w:pPr>
            <w:r>
              <w:rPr>
                <w:b/>
                <w:bCs/>
              </w:rPr>
              <w:t xml:space="preserve">Brand colour</w:t>
            </w:r>
          </w:p>
        </w:tc>
        <w:tc>
          <w:tcPr/>
          <w:p>
            <w:pPr>
              <w:pStyle w:val="Compact"/>
            </w:pPr>
            <w:r>
              <w:t xml:space="preserve">Mediterranean Blue #2E6BA4</w:t>
            </w:r>
          </w:p>
        </w:tc>
      </w:tr>
      <w:tr>
        <w:tc>
          <w:tcPr/>
          <w:p>
            <w:pPr>
              <w:pStyle w:val="Compact"/>
            </w:pPr>
            <w:r>
              <w:rPr>
                <w:b/>
                <w:bCs/>
              </w:rPr>
              <w:t xml:space="preserve">Approval code</w:t>
            </w:r>
          </w:p>
        </w:tc>
        <w:tc>
          <w:tcPr/>
          <w:p>
            <w:pPr>
              <w:pStyle w:val="Compact"/>
            </w:pPr>
            <w:r>
              <w:t xml:space="preserve">GB-82917</w:t>
            </w:r>
          </w:p>
        </w:tc>
      </w:tr>
    </w:tbl>
    <w:p>
      <w:r>
        <w:pict>
          <v:rect style="width:0;height:1.5pt" o:hralign="center" o:hrstd="t" o:hr="t"/>
        </w:pict>
      </w:r>
    </w:p>
    <w:bookmarkEnd w:id="9"/>
    <w:bookmarkStart w:id="10" w:name="mechanism-of-action"/>
    <w:p>
      <w:pPr>
        <w:pStyle w:val="Heading2"/>
      </w:pPr>
      <w:r>
        <w:t xml:space="preserve">2. Mechanism of Action</w:t>
      </w:r>
    </w:p>
    <w:p>
      <w:pPr>
        <w:pStyle w:val="FirstParagraph"/>
      </w:pPr>
      <w:r>
        <w:t xml:space="preserve">Zenturigliptin is a first-in-class oral, non-peptide GLP-1 receptor agonist. Unlike injectable GLP-1 receptor agonists that are peptide-based and require subcutaneous administration, zenturigliptin is a small molecule designed for oral bioavailability through a novel absorption-enhancing formulation.</w:t>
      </w:r>
    </w:p>
    <w:p>
      <w:pPr>
        <w:pStyle w:val="BodyText"/>
      </w:pPr>
      <w:r>
        <w:t xml:space="preserve">Zenturigliptin binds to and activates the GLP-1 receptor on pancreatic beta cells, stimulating glucose-dependent insulin secretion and suppressing inappropriately elevated glucagon secretion. It also slows gastric emptying and promotes satiety through central mechanisms, contributing to weight reduction.</w:t>
      </w:r>
    </w:p>
    <w:p>
      <w:pPr>
        <w:pStyle w:val="BodyText"/>
      </w:pPr>
      <w:r>
        <w:t xml:space="preserve">The glucose-dependent mechanism of insulin secretion means the risk of hypoglycaemia is inherently low when used as monotherapy or in combination with metformin.</w:t>
      </w:r>
    </w:p>
    <w:p>
      <w:r>
        <w:pict>
          <v:rect style="width:0;height:1.5pt" o:hralign="center" o:hrstd="t" o:hr="t"/>
        </w:pict>
      </w:r>
    </w:p>
    <w:bookmarkEnd w:id="10"/>
    <w:bookmarkStart w:id="14" w:name="clinical-programme"/>
    <w:p>
      <w:pPr>
        <w:pStyle w:val="Heading2"/>
      </w:pPr>
      <w:r>
        <w:t xml:space="preserve">3. Clinical Programme</w:t>
      </w:r>
    </w:p>
    <w:bookmarkStart w:id="11" w:name="X9409ff56b9a48c371d0102b102fbb092affd11d"/>
    <w:p>
      <w:pPr>
        <w:pStyle w:val="Heading3"/>
      </w:pPr>
      <w:r>
        <w:t xml:space="preserve">ZENITH-1: Glycaemic control vs placebo (add-on to metformin)</w:t>
      </w:r>
    </w:p>
    <w:p>
      <w:pPr>
        <w:pStyle w:val="Compact"/>
        <w:numPr>
          <w:ilvl w:val="0"/>
          <w:numId w:val="1001"/>
        </w:numPr>
      </w:pPr>
      <w:r>
        <w:rPr>
          <w:b/>
          <w:bCs/>
        </w:rPr>
        <w:t xml:space="preserve">Design</w:t>
      </w:r>
      <w:r>
        <w:t xml:space="preserve">: Phase III, randomised, double-blind, placebo-controlled, 52-week trial</w:t>
      </w:r>
    </w:p>
    <w:p>
      <w:pPr>
        <w:pStyle w:val="Compact"/>
        <w:numPr>
          <w:ilvl w:val="0"/>
          <w:numId w:val="1001"/>
        </w:numPr>
      </w:pPr>
      <w:r>
        <w:rPr>
          <w:b/>
          <w:bCs/>
        </w:rPr>
        <w:t xml:space="preserve">Population</w:t>
      </w:r>
      <w:r>
        <w:t xml:space="preserve">: 1,246 adults with T2DM inadequately controlled on metformin (HbA1c 7.0–10.5%)</w:t>
      </w:r>
    </w:p>
    <w:p>
      <w:pPr>
        <w:pStyle w:val="Compact"/>
        <w:numPr>
          <w:ilvl w:val="0"/>
          <w:numId w:val="1001"/>
        </w:numPr>
      </w:pPr>
      <w:r>
        <w:rPr>
          <w:b/>
          <w:bCs/>
        </w:rPr>
        <w:t xml:space="preserve">Primary endpoint</w:t>
      </w:r>
      <w:r>
        <w:t xml:space="preserve">: Change in HbA1c from baseline at Week 26</w:t>
      </w:r>
    </w:p>
    <w:p>
      <w:pPr>
        <w:pStyle w:val="Compact"/>
        <w:numPr>
          <w:ilvl w:val="0"/>
          <w:numId w:val="1001"/>
        </w:numPr>
      </w:pPr>
      <w:r>
        <w:rPr>
          <w:b/>
          <w:bCs/>
        </w:rPr>
        <w:t xml:space="preserve">Key results</w:t>
      </w:r>
      <w:r>
        <w:t xml:space="preserve">:</w:t>
      </w:r>
    </w:p>
    <w:p>
      <w:pPr>
        <w:pStyle w:val="Compact"/>
        <w:numPr>
          <w:ilvl w:val="1"/>
          <w:numId w:val="1002"/>
        </w:numPr>
      </w:pPr>
      <w:r>
        <w:t xml:space="preserve">HbA1c change from baseline:</w:t>
      </w:r>
      <w:r>
        <w:t xml:space="preserve"> </w:t>
      </w:r>
      <w:r>
        <w:rPr>
          <w:b/>
          <w:bCs/>
        </w:rPr>
        <w:t xml:space="preserve">−1.4%</w:t>
      </w:r>
      <w:r>
        <w:t xml:space="preserve"> </w:t>
      </w:r>
      <w:r>
        <w:t xml:space="preserve">(zenturigliptin) vs</w:t>
      </w:r>
      <w:r>
        <w:t xml:space="preserve"> </w:t>
      </w:r>
      <w:r>
        <w:rPr>
          <w:b/>
          <w:bCs/>
        </w:rPr>
        <w:t xml:space="preserve">−0.3%</w:t>
      </w:r>
      <w:r>
        <w:t xml:space="preserve"> </w:t>
      </w:r>
      <w:r>
        <w:t xml:space="preserve">(placebo); estimated treatment difference</w:t>
      </w:r>
      <w:r>
        <w:t xml:space="preserve"> </w:t>
      </w:r>
      <w:r>
        <w:rPr>
          <w:b/>
          <w:bCs/>
        </w:rPr>
        <w:t xml:space="preserve">−1.1%</w:t>
      </w:r>
      <w:r>
        <w:t xml:space="preserve"> </w:t>
      </w:r>
      <w:r>
        <w:t xml:space="preserve">(95% CI: −1.3 to −0.9; P&lt;0.001)</w:t>
      </w:r>
    </w:p>
    <w:p>
      <w:pPr>
        <w:pStyle w:val="Compact"/>
        <w:numPr>
          <w:ilvl w:val="1"/>
          <w:numId w:val="1002"/>
        </w:numPr>
      </w:pPr>
      <w:r>
        <w:t xml:space="preserve">Proportion achieving HbA1c &lt;7.0%:</w:t>
      </w:r>
      <w:r>
        <w:t xml:space="preserve"> </w:t>
      </w:r>
      <w:r>
        <w:rPr>
          <w:b/>
          <w:bCs/>
        </w:rPr>
        <w:t xml:space="preserve">72%</w:t>
      </w:r>
      <w:r>
        <w:t xml:space="preserve"> </w:t>
      </w:r>
      <w:r>
        <w:t xml:space="preserve">vs</w:t>
      </w:r>
      <w:r>
        <w:t xml:space="preserve"> </w:t>
      </w:r>
      <w:r>
        <w:rPr>
          <w:b/>
          <w:bCs/>
        </w:rPr>
        <w:t xml:space="preserve">28%</w:t>
      </w:r>
      <w:r>
        <w:t xml:space="preserve"> </w:t>
      </w:r>
      <w:r>
        <w:t xml:space="preserve">(P&lt;0.001)</w:t>
      </w:r>
    </w:p>
    <w:p>
      <w:pPr>
        <w:pStyle w:val="Compact"/>
        <w:numPr>
          <w:ilvl w:val="1"/>
          <w:numId w:val="1002"/>
        </w:numPr>
      </w:pPr>
      <w:r>
        <w:t xml:space="preserve">Body weight change:</w:t>
      </w:r>
      <w:r>
        <w:t xml:space="preserve"> </w:t>
      </w:r>
      <w:r>
        <w:rPr>
          <w:b/>
          <w:bCs/>
        </w:rPr>
        <w:t xml:space="preserve">−5.2 kg</w:t>
      </w:r>
      <w:r>
        <w:t xml:space="preserve"> </w:t>
      </w:r>
      <w:r>
        <w:t xml:space="preserve">vs</w:t>
      </w:r>
      <w:r>
        <w:t xml:space="preserve"> </w:t>
      </w:r>
      <w:r>
        <w:rPr>
          <w:b/>
          <w:bCs/>
        </w:rPr>
        <w:t xml:space="preserve">−1.1 kg</w:t>
      </w:r>
      <w:r>
        <w:t xml:space="preserve">; difference</w:t>
      </w:r>
      <w:r>
        <w:t xml:space="preserve"> </w:t>
      </w:r>
      <w:r>
        <w:rPr>
          <w:b/>
          <w:bCs/>
        </w:rPr>
        <w:t xml:space="preserve">−4.1 kg</w:t>
      </w:r>
      <w:r>
        <w:t xml:space="preserve"> </w:t>
      </w:r>
      <w:r>
        <w:t xml:space="preserve">(95% CI: −4.8 to −3.4; P&lt;0.001)</w:t>
      </w:r>
    </w:p>
    <w:p>
      <w:pPr>
        <w:pStyle w:val="Compact"/>
        <w:numPr>
          <w:ilvl w:val="1"/>
          <w:numId w:val="1002"/>
        </w:numPr>
      </w:pPr>
      <w:r>
        <w:t xml:space="preserve">Fasting plasma glucose change:</w:t>
      </w:r>
      <w:r>
        <w:t xml:space="preserve"> </w:t>
      </w:r>
      <w:r>
        <w:rPr>
          <w:b/>
          <w:bCs/>
        </w:rPr>
        <w:t xml:space="preserve">−2.1 mmol/L</w:t>
      </w:r>
      <w:r>
        <w:t xml:space="preserve"> </w:t>
      </w:r>
      <w:r>
        <w:t xml:space="preserve">vs</w:t>
      </w:r>
      <w:r>
        <w:t xml:space="preserve"> </w:t>
      </w:r>
      <w:r>
        <w:rPr>
          <w:b/>
          <w:bCs/>
        </w:rPr>
        <w:t xml:space="preserve">−0.4 mmol/L</w:t>
      </w:r>
      <w:r>
        <w:t xml:space="preserve"> </w:t>
      </w:r>
      <w:r>
        <w:t xml:space="preserve">(P&lt;0.001)</w:t>
      </w:r>
    </w:p>
    <w:p>
      <w:pPr>
        <w:pStyle w:val="Compact"/>
        <w:numPr>
          <w:ilvl w:val="0"/>
          <w:numId w:val="1001"/>
        </w:numPr>
      </w:pPr>
      <w:r>
        <w:rPr>
          <w:b/>
          <w:bCs/>
        </w:rPr>
        <w:t xml:space="preserve">Publication</w:t>
      </w:r>
      <w:r>
        <w:t xml:space="preserve">: Harrison et al. </w:t>
      </w:r>
      <w:r>
        <w:rPr>
          <w:i/>
          <w:iCs/>
        </w:rPr>
        <w:t xml:space="preserve">Lancet Diabetes Endocrinol</w:t>
      </w:r>
      <w:r>
        <w:t xml:space="preserve"> </w:t>
      </w:r>
      <w:r>
        <w:t xml:space="preserve">2025; 13(4): 312–325.</w:t>
      </w:r>
    </w:p>
    <w:bookmarkEnd w:id="11"/>
    <w:bookmarkStart w:id="12" w:name="X5d2f397bb2e4b2935215581539aae5ed64dbb97"/>
    <w:p>
      <w:pPr>
        <w:pStyle w:val="Heading3"/>
      </w:pPr>
      <w:r>
        <w:t xml:space="preserve">ZENITH-2: Non-inferiority vs injectable semaglutide 1 mg</w:t>
      </w:r>
    </w:p>
    <w:p>
      <w:pPr>
        <w:pStyle w:val="Compact"/>
        <w:numPr>
          <w:ilvl w:val="0"/>
          <w:numId w:val="1003"/>
        </w:numPr>
      </w:pPr>
      <w:r>
        <w:rPr>
          <w:b/>
          <w:bCs/>
        </w:rPr>
        <w:t xml:space="preserve">Design</w:t>
      </w:r>
      <w:r>
        <w:t xml:space="preserve">: Phase III, randomised, open-label, active-controlled, 52-week trial</w:t>
      </w:r>
    </w:p>
    <w:p>
      <w:pPr>
        <w:pStyle w:val="Compact"/>
        <w:numPr>
          <w:ilvl w:val="0"/>
          <w:numId w:val="1003"/>
        </w:numPr>
      </w:pPr>
      <w:r>
        <w:rPr>
          <w:b/>
          <w:bCs/>
        </w:rPr>
        <w:t xml:space="preserve">Population</w:t>
      </w:r>
      <w:r>
        <w:t xml:space="preserve">: 1,834 adults with T2DM inadequately controlled on metformin ± sulfonylurea (HbA1c 7.0–10.5%)</w:t>
      </w:r>
    </w:p>
    <w:p>
      <w:pPr>
        <w:pStyle w:val="Compact"/>
        <w:numPr>
          <w:ilvl w:val="0"/>
          <w:numId w:val="1003"/>
        </w:numPr>
      </w:pPr>
      <w:r>
        <w:rPr>
          <w:b/>
          <w:bCs/>
        </w:rPr>
        <w:t xml:space="preserve">Primary endpoint</w:t>
      </w:r>
      <w:r>
        <w:t xml:space="preserve">: Change in HbA1c from baseline at Week 52, non-inferiority margin 0.3%</w:t>
      </w:r>
    </w:p>
    <w:p>
      <w:pPr>
        <w:pStyle w:val="Compact"/>
        <w:numPr>
          <w:ilvl w:val="0"/>
          <w:numId w:val="1003"/>
        </w:numPr>
      </w:pPr>
      <w:r>
        <w:rPr>
          <w:b/>
          <w:bCs/>
        </w:rPr>
        <w:t xml:space="preserve">Key results</w:t>
      </w:r>
      <w:r>
        <w:t xml:space="preserve">:</w:t>
      </w:r>
    </w:p>
    <w:p>
      <w:pPr>
        <w:pStyle w:val="Compact"/>
        <w:numPr>
          <w:ilvl w:val="1"/>
          <w:numId w:val="1004"/>
        </w:numPr>
      </w:pPr>
      <w:r>
        <w:t xml:space="preserve">HbA1c change from baseline:</w:t>
      </w:r>
      <w:r>
        <w:t xml:space="preserve"> </w:t>
      </w:r>
      <w:r>
        <w:rPr>
          <w:b/>
          <w:bCs/>
        </w:rPr>
        <w:t xml:space="preserve">−1.3%</w:t>
      </w:r>
      <w:r>
        <w:t xml:space="preserve"> </w:t>
      </w:r>
      <w:r>
        <w:t xml:space="preserve">(zenturigliptin) vs</w:t>
      </w:r>
      <w:r>
        <w:t xml:space="preserve"> </w:t>
      </w:r>
      <w:r>
        <w:rPr>
          <w:b/>
          <w:bCs/>
        </w:rPr>
        <w:t xml:space="preserve">−1.4%</w:t>
      </w:r>
      <w:r>
        <w:t xml:space="preserve"> </w:t>
      </w:r>
      <w:r>
        <w:t xml:space="preserve">(semaglutide 1 mg); estimated treatment difference</w:t>
      </w:r>
      <w:r>
        <w:t xml:space="preserve"> </w:t>
      </w:r>
      <w:r>
        <w:rPr>
          <w:b/>
          <w:bCs/>
        </w:rPr>
        <w:t xml:space="preserve">0.1%</w:t>
      </w:r>
      <w:r>
        <w:t xml:space="preserve"> </w:t>
      </w:r>
      <w:r>
        <w:t xml:space="preserve">(95% CI: −0.1 to 0.2); non-inferiority confirmed (P&lt;0.001)</w:t>
      </w:r>
    </w:p>
    <w:p>
      <w:pPr>
        <w:pStyle w:val="Compact"/>
        <w:numPr>
          <w:ilvl w:val="1"/>
          <w:numId w:val="1004"/>
        </w:numPr>
      </w:pPr>
      <w:r>
        <w:t xml:space="preserve">Proportion achieving HbA1c &lt;7.0%:</w:t>
      </w:r>
      <w:r>
        <w:t xml:space="preserve"> </w:t>
      </w:r>
      <w:r>
        <w:rPr>
          <w:b/>
          <w:bCs/>
        </w:rPr>
        <w:t xml:space="preserve">68%</w:t>
      </w:r>
      <w:r>
        <w:t xml:space="preserve"> </w:t>
      </w:r>
      <w:r>
        <w:t xml:space="preserve">vs</w:t>
      </w:r>
      <w:r>
        <w:t xml:space="preserve"> </w:t>
      </w:r>
      <w:r>
        <w:rPr>
          <w:b/>
          <w:bCs/>
        </w:rPr>
        <w:t xml:space="preserve">71%</w:t>
      </w:r>
    </w:p>
    <w:p>
      <w:pPr>
        <w:pStyle w:val="Compact"/>
        <w:numPr>
          <w:ilvl w:val="1"/>
          <w:numId w:val="1004"/>
        </w:numPr>
      </w:pPr>
      <w:r>
        <w:t xml:space="preserve">Body weight change:</w:t>
      </w:r>
      <w:r>
        <w:t xml:space="preserve"> </w:t>
      </w:r>
      <w:r>
        <w:rPr>
          <w:b/>
          <w:bCs/>
        </w:rPr>
        <w:t xml:space="preserve">−4.8 kg</w:t>
      </w:r>
      <w:r>
        <w:t xml:space="preserve"> </w:t>
      </w:r>
      <w:r>
        <w:t xml:space="preserve">vs</w:t>
      </w:r>
      <w:r>
        <w:t xml:space="preserve"> </w:t>
      </w:r>
      <w:r>
        <w:rPr>
          <w:b/>
          <w:bCs/>
        </w:rPr>
        <w:t xml:space="preserve">−5.5 kg</w:t>
      </w:r>
    </w:p>
    <w:p>
      <w:pPr>
        <w:pStyle w:val="Compact"/>
        <w:numPr>
          <w:ilvl w:val="1"/>
          <w:numId w:val="1004"/>
        </w:numPr>
      </w:pPr>
      <w:r>
        <w:t xml:space="preserve">Patient preference (pre-specified exploratory):</w:t>
      </w:r>
      <w:r>
        <w:t xml:space="preserve"> </w:t>
      </w:r>
      <w:r>
        <w:rPr>
          <w:b/>
          <w:bCs/>
        </w:rPr>
        <w:t xml:space="preserve">81%</w:t>
      </w:r>
      <w:r>
        <w:t xml:space="preserve"> </w:t>
      </w:r>
      <w:r>
        <w:t xml:space="preserve">preferred oral administration</w:t>
      </w:r>
    </w:p>
    <w:p>
      <w:pPr>
        <w:pStyle w:val="Compact"/>
        <w:numPr>
          <w:ilvl w:val="1"/>
          <w:numId w:val="1004"/>
        </w:numPr>
      </w:pPr>
      <w:r>
        <w:t xml:space="preserve">Treatment satisfaction (DTSQ): significantly higher with zenturigliptin (P=0.003)</w:t>
      </w:r>
    </w:p>
    <w:p>
      <w:pPr>
        <w:pStyle w:val="Compact"/>
        <w:numPr>
          <w:ilvl w:val="0"/>
          <w:numId w:val="1003"/>
        </w:numPr>
      </w:pPr>
      <w:r>
        <w:rPr>
          <w:b/>
          <w:bCs/>
        </w:rPr>
        <w:t xml:space="preserve">Publication</w:t>
      </w:r>
      <w:r>
        <w:t xml:space="preserve">: Chen et al. </w:t>
      </w:r>
      <w:r>
        <w:rPr>
          <w:i/>
          <w:iCs/>
        </w:rPr>
        <w:t xml:space="preserve">N Engl J Med</w:t>
      </w:r>
      <w:r>
        <w:t xml:space="preserve"> </w:t>
      </w:r>
      <w:r>
        <w:t xml:space="preserve">2025; 392(18): 1697–1710.</w:t>
      </w:r>
    </w:p>
    <w:bookmarkEnd w:id="12"/>
    <w:bookmarkStart w:id="13" w:name="zenith-3-cardiovascular-outcomes-trial"/>
    <w:p>
      <w:pPr>
        <w:pStyle w:val="Heading3"/>
      </w:pPr>
      <w:r>
        <w:t xml:space="preserve">ZENITH-3: Cardiovascular outcomes trial</w:t>
      </w:r>
    </w:p>
    <w:p>
      <w:pPr>
        <w:pStyle w:val="Compact"/>
        <w:numPr>
          <w:ilvl w:val="0"/>
          <w:numId w:val="1005"/>
        </w:numPr>
      </w:pPr>
      <w:r>
        <w:rPr>
          <w:b/>
          <w:bCs/>
        </w:rPr>
        <w:t xml:space="preserve">Design</w:t>
      </w:r>
      <w:r>
        <w:t xml:space="preserve">: Phase III, randomised, double-blind, placebo-controlled, event-driven cardiovascular outcomes trial</w:t>
      </w:r>
    </w:p>
    <w:p>
      <w:pPr>
        <w:pStyle w:val="Compact"/>
        <w:numPr>
          <w:ilvl w:val="0"/>
          <w:numId w:val="1005"/>
        </w:numPr>
      </w:pPr>
      <w:r>
        <w:rPr>
          <w:b/>
          <w:bCs/>
        </w:rPr>
        <w:t xml:space="preserve">Population</w:t>
      </w:r>
      <w:r>
        <w:t xml:space="preserve">: 8,246 adults with T2DM and established cardiovascular disease or multiple cardiovascular risk factors</w:t>
      </w:r>
    </w:p>
    <w:p>
      <w:pPr>
        <w:pStyle w:val="Compact"/>
        <w:numPr>
          <w:ilvl w:val="0"/>
          <w:numId w:val="1005"/>
        </w:numPr>
      </w:pPr>
      <w:r>
        <w:rPr>
          <w:b/>
          <w:bCs/>
        </w:rPr>
        <w:t xml:space="preserve">Median follow-up</w:t>
      </w:r>
      <w:r>
        <w:t xml:space="preserve">: 3.2 years</w:t>
      </w:r>
    </w:p>
    <w:p>
      <w:pPr>
        <w:pStyle w:val="Compact"/>
        <w:numPr>
          <w:ilvl w:val="0"/>
          <w:numId w:val="1005"/>
        </w:numPr>
      </w:pPr>
      <w:r>
        <w:rPr>
          <w:b/>
          <w:bCs/>
        </w:rPr>
        <w:t xml:space="preserve">Primary endpoint</w:t>
      </w:r>
      <w:r>
        <w:t xml:space="preserve">: First occurrence of MACE (composite of cardiovascular death, non-fatal myocardial infarction, non-fatal stroke)</w:t>
      </w:r>
    </w:p>
    <w:p>
      <w:pPr>
        <w:pStyle w:val="Compact"/>
        <w:numPr>
          <w:ilvl w:val="0"/>
          <w:numId w:val="1005"/>
        </w:numPr>
      </w:pPr>
      <w:r>
        <w:rPr>
          <w:b/>
          <w:bCs/>
        </w:rPr>
        <w:t xml:space="preserve">Key results</w:t>
      </w:r>
      <w:r>
        <w:t xml:space="preserve">:</w:t>
      </w:r>
    </w:p>
    <w:p>
      <w:pPr>
        <w:pStyle w:val="Compact"/>
        <w:numPr>
          <w:ilvl w:val="1"/>
          <w:numId w:val="1006"/>
        </w:numPr>
      </w:pPr>
      <w:r>
        <w:t xml:space="preserve">MACE: HR</w:t>
      </w:r>
      <w:r>
        <w:t xml:space="preserve"> </w:t>
      </w:r>
      <w:r>
        <w:rPr>
          <w:b/>
          <w:bCs/>
        </w:rPr>
        <w:t xml:space="preserve">0.82</w:t>
      </w:r>
      <w:r>
        <w:t xml:space="preserve"> </w:t>
      </w:r>
      <w:r>
        <w:t xml:space="preserve">(95% CI: 0.70–0.96; P=0.013) — 18% relative risk reduction</w:t>
      </w:r>
    </w:p>
    <w:p>
      <w:pPr>
        <w:pStyle w:val="Compact"/>
        <w:numPr>
          <w:ilvl w:val="1"/>
          <w:numId w:val="1006"/>
        </w:numPr>
      </w:pPr>
      <w:r>
        <w:t xml:space="preserve">Cardiovascular death: HR</w:t>
      </w:r>
      <w:r>
        <w:t xml:space="preserve"> </w:t>
      </w:r>
      <w:r>
        <w:rPr>
          <w:b/>
          <w:bCs/>
        </w:rPr>
        <w:t xml:space="preserve">0.78</w:t>
      </w:r>
      <w:r>
        <w:t xml:space="preserve"> </w:t>
      </w:r>
      <w:r>
        <w:t xml:space="preserve">(95% CI: 0.62–0.98; P=0.031)</w:t>
      </w:r>
    </w:p>
    <w:p>
      <w:pPr>
        <w:pStyle w:val="Compact"/>
        <w:numPr>
          <w:ilvl w:val="1"/>
          <w:numId w:val="1006"/>
        </w:numPr>
      </w:pPr>
      <w:r>
        <w:t xml:space="preserve">Non-fatal MI: HR</w:t>
      </w:r>
      <w:r>
        <w:t xml:space="preserve"> </w:t>
      </w:r>
      <w:r>
        <w:rPr>
          <w:b/>
          <w:bCs/>
        </w:rPr>
        <w:t xml:space="preserve">0.86</w:t>
      </w:r>
      <w:r>
        <w:t xml:space="preserve"> </w:t>
      </w:r>
      <w:r>
        <w:t xml:space="preserve">(95% CI: 0.69–1.07; P=0.18)</w:t>
      </w:r>
    </w:p>
    <w:p>
      <w:pPr>
        <w:pStyle w:val="Compact"/>
        <w:numPr>
          <w:ilvl w:val="1"/>
          <w:numId w:val="1006"/>
        </w:numPr>
      </w:pPr>
      <w:r>
        <w:t xml:space="preserve">Non-fatal stroke: HR</w:t>
      </w:r>
      <w:r>
        <w:t xml:space="preserve"> </w:t>
      </w:r>
      <w:r>
        <w:rPr>
          <w:b/>
          <w:bCs/>
        </w:rPr>
        <w:t xml:space="preserve">0.81</w:t>
      </w:r>
      <w:r>
        <w:t xml:space="preserve"> </w:t>
      </w:r>
      <w:r>
        <w:t xml:space="preserve">(95% CI: 0.60–1.10; P=0.18)</w:t>
      </w:r>
    </w:p>
    <w:p>
      <w:pPr>
        <w:pStyle w:val="Compact"/>
        <w:numPr>
          <w:ilvl w:val="1"/>
          <w:numId w:val="1006"/>
        </w:numPr>
      </w:pPr>
      <w:r>
        <w:t xml:space="preserve">All-cause mortality: HR</w:t>
      </w:r>
      <w:r>
        <w:t xml:space="preserve"> </w:t>
      </w:r>
      <w:r>
        <w:rPr>
          <w:b/>
          <w:bCs/>
        </w:rPr>
        <w:t xml:space="preserve">0.85</w:t>
      </w:r>
      <w:r>
        <w:t xml:space="preserve"> </w:t>
      </w:r>
      <w:r>
        <w:t xml:space="preserve">(95% CI: 0.71–1.02; P=0.08)</w:t>
      </w:r>
    </w:p>
    <w:p>
      <w:pPr>
        <w:pStyle w:val="Compact"/>
        <w:numPr>
          <w:ilvl w:val="0"/>
          <w:numId w:val="1005"/>
        </w:numPr>
      </w:pPr>
      <w:r>
        <w:rPr>
          <w:b/>
          <w:bCs/>
        </w:rPr>
        <w:t xml:space="preserve">Publication</w:t>
      </w:r>
      <w:r>
        <w:t xml:space="preserve">: Mehta et al. </w:t>
      </w:r>
      <w:r>
        <w:rPr>
          <w:i/>
          <w:iCs/>
        </w:rPr>
        <w:t xml:space="preserve">N Engl J Med</w:t>
      </w:r>
      <w:r>
        <w:t xml:space="preserve"> </w:t>
      </w:r>
      <w:r>
        <w:t xml:space="preserve">2025; 393(2): 134–148.</w:t>
      </w:r>
    </w:p>
    <w:p>
      <w:r>
        <w:pict>
          <v:rect style="width:0;height:1.5pt" o:hralign="center" o:hrstd="t" o:hr="t"/>
        </w:pict>
      </w:r>
    </w:p>
    <w:bookmarkEnd w:id="13"/>
    <w:bookmarkEnd w:id="14"/>
    <w:bookmarkStart w:id="18" w:name="safety-profile"/>
    <w:p>
      <w:pPr>
        <w:pStyle w:val="Heading2"/>
      </w:pPr>
      <w:r>
        <w:t xml:space="preserve">4. Safety Profile</w:t>
      </w:r>
    </w:p>
    <w:bookmarkStart w:id="15" w:name="X0dfa8d8f9b42bf8ecc7caabf4e0ac8bf89c4640"/>
    <w:p>
      <w:pPr>
        <w:pStyle w:val="Heading3"/>
      </w:pPr>
      <w:r>
        <w:t xml:space="preserve">Pooled adverse events (ZENITH-1, -2, -3; N=5,663 zenturigliptin)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Adverse event</w:t>
            </w:r>
          </w:p>
        </w:tc>
        <w:tc>
          <w:tcPr/>
          <w:p>
            <w:pPr>
              <w:pStyle w:val="Compact"/>
            </w:pPr>
            <w:r>
              <w:t xml:space="preserve">Zenturigliptin (%)</w:t>
            </w:r>
          </w:p>
        </w:tc>
        <w:tc>
          <w:tcPr/>
          <w:p>
            <w:pPr>
              <w:pStyle w:val="Compact"/>
            </w:pPr>
            <w:r>
              <w:t xml:space="preserve">Comparator (%)</w:t>
            </w:r>
          </w:p>
        </w:tc>
      </w:tr>
      <w:tr>
        <w:tc>
          <w:tcPr/>
          <w:p>
            <w:pPr>
              <w:pStyle w:val="Compact"/>
            </w:pPr>
            <w:r>
              <w:t xml:space="preserve">Nausea</w:t>
            </w:r>
          </w:p>
        </w:tc>
        <w:tc>
          <w:tcPr/>
          <w:p>
            <w:pPr>
              <w:pStyle w:val="Compact"/>
            </w:pPr>
            <w:r>
              <w:t xml:space="preserve">16.2</w:t>
            </w:r>
          </w:p>
        </w:tc>
        <w:tc>
          <w:tcPr/>
          <w:p>
            <w:pPr>
              <w:pStyle w:val="Compact"/>
            </w:pPr>
            <w:r>
              <w:t xml:space="preserve">4.1</w:t>
            </w:r>
          </w:p>
        </w:tc>
      </w:tr>
      <w:tr>
        <w:tc>
          <w:tcPr/>
          <w:p>
            <w:pPr>
              <w:pStyle w:val="Compact"/>
            </w:pPr>
            <w:r>
              <w:t xml:space="preserve">Diarrhoea</w:t>
            </w:r>
          </w:p>
        </w:tc>
        <w:tc>
          <w:tcPr/>
          <w:p>
            <w:pPr>
              <w:pStyle w:val="Compact"/>
            </w:pPr>
            <w:r>
              <w:t xml:space="preserve">11.4</w:t>
            </w:r>
          </w:p>
        </w:tc>
        <w:tc>
          <w:tcPr/>
          <w:p>
            <w:pPr>
              <w:pStyle w:val="Compact"/>
            </w:pPr>
            <w:r>
              <w:t xml:space="preserve">5.3</w:t>
            </w:r>
          </w:p>
        </w:tc>
      </w:tr>
      <w:tr>
        <w:tc>
          <w:tcPr/>
          <w:p>
            <w:pPr>
              <w:pStyle w:val="Compact"/>
            </w:pPr>
            <w:r>
              <w:t xml:space="preserve">Decreased appetite</w:t>
            </w:r>
          </w:p>
        </w:tc>
        <w:tc>
          <w:tcPr/>
          <w:p>
            <w:pPr>
              <w:pStyle w:val="Compact"/>
            </w:pPr>
            <w:r>
              <w:t xml:space="preserve">8.1</w:t>
            </w:r>
          </w:p>
        </w:tc>
        <w:tc>
          <w:tcPr/>
          <w:p>
            <w:pPr>
              <w:pStyle w:val="Compact"/>
            </w:pPr>
            <w:r>
              <w:t xml:space="preserve">2.2</w:t>
            </w:r>
          </w:p>
        </w:tc>
      </w:tr>
      <w:tr>
        <w:tc>
          <w:tcPr/>
          <w:p>
            <w:pPr>
              <w:pStyle w:val="Compact"/>
            </w:pPr>
            <w:r>
              <w:t xml:space="preserve">Vomiting</w:t>
            </w:r>
          </w:p>
        </w:tc>
        <w:tc>
          <w:tcPr/>
          <w:p>
            <w:pPr>
              <w:pStyle w:val="Compact"/>
            </w:pPr>
            <w:r>
              <w:t xml:space="preserve">5.7</w:t>
            </w:r>
          </w:p>
        </w:tc>
        <w:tc>
          <w:tcPr/>
          <w:p>
            <w:pPr>
              <w:pStyle w:val="Compact"/>
            </w:pPr>
            <w:r>
              <w:t xml:space="preserve">1.8</w:t>
            </w:r>
          </w:p>
        </w:tc>
      </w:tr>
      <w:tr>
        <w:tc>
          <w:tcPr/>
          <w:p>
            <w:pPr>
              <w:pStyle w:val="Compact"/>
            </w:pPr>
            <w:r>
              <w:t xml:space="preserve">Constipation</w:t>
            </w:r>
          </w:p>
        </w:tc>
        <w:tc>
          <w:tcPr/>
          <w:p>
            <w:pPr>
              <w:pStyle w:val="Compact"/>
            </w:pPr>
            <w:r>
              <w:t xml:space="preserve">4.3</w:t>
            </w:r>
          </w:p>
        </w:tc>
        <w:tc>
          <w:tcPr/>
          <w:p>
            <w:pPr>
              <w:pStyle w:val="Compact"/>
            </w:pPr>
            <w:r>
              <w:t xml:space="preserve">2.9</w:t>
            </w:r>
          </w:p>
        </w:tc>
      </w:tr>
      <w:tr>
        <w:tc>
          <w:tcPr/>
          <w:p>
            <w:pPr>
              <w:pStyle w:val="Compact"/>
            </w:pPr>
            <w:r>
              <w:t xml:space="preserve">Abdominal pain</w:t>
            </w:r>
          </w:p>
        </w:tc>
        <w:tc>
          <w:tcPr/>
          <w:p>
            <w:pPr>
              <w:pStyle w:val="Compact"/>
            </w:pPr>
            <w:r>
              <w:t xml:space="preserve">3.8</w:t>
            </w:r>
          </w:p>
        </w:tc>
        <w:tc>
          <w:tcPr/>
          <w:p>
            <w:pPr>
              <w:pStyle w:val="Compact"/>
            </w:pPr>
            <w:r>
              <w:t xml:space="preserve">2.1</w:t>
            </w:r>
          </w:p>
        </w:tc>
      </w:tr>
      <w:tr>
        <w:tc>
          <w:tcPr/>
          <w:p>
            <w:pPr>
              <w:pStyle w:val="Compact"/>
            </w:pPr>
            <w:r>
              <w:t xml:space="preserve">ALT elevation (&gt;3× ULN)</w:t>
            </w:r>
          </w:p>
        </w:tc>
        <w:tc>
          <w:tcPr/>
          <w:p>
            <w:pPr>
              <w:pStyle w:val="Compact"/>
            </w:pPr>
            <w:r>
              <w:t xml:space="preserve">3.1</w:t>
            </w:r>
          </w:p>
        </w:tc>
        <w:tc>
          <w:tcPr/>
          <w:p>
            <w:pPr>
              <w:pStyle w:val="Compact"/>
            </w:pPr>
            <w:r>
              <w:t xml:space="preserve">1.4</w:t>
            </w:r>
          </w:p>
        </w:tc>
      </w:tr>
      <w:tr>
        <w:tc>
          <w:tcPr/>
          <w:p>
            <w:pPr>
              <w:pStyle w:val="Compact"/>
            </w:pPr>
            <w:r>
              <w:t xml:space="preserve">Headache</w:t>
            </w:r>
          </w:p>
        </w:tc>
        <w:tc>
          <w:tcPr/>
          <w:p>
            <w:pPr>
              <w:pStyle w:val="Compact"/>
            </w:pPr>
            <w:r>
              <w:t xml:space="preserve">2.9</w:t>
            </w:r>
          </w:p>
        </w:tc>
        <w:tc>
          <w:tcPr/>
          <w:p>
            <w:pPr>
              <w:pStyle w:val="Compact"/>
            </w:pPr>
            <w:r>
              <w:t xml:space="preserve">2.7</w:t>
            </w:r>
          </w:p>
        </w:tc>
      </w:tr>
      <w:tr>
        <w:tc>
          <w:tcPr/>
          <w:p>
            <w:pPr>
              <w:pStyle w:val="Compact"/>
            </w:pPr>
            <w:r>
              <w:t xml:space="preserve">Dizziness</w:t>
            </w:r>
          </w:p>
        </w:tc>
        <w:tc>
          <w:tcPr/>
          <w:p>
            <w:pPr>
              <w:pStyle w:val="Compact"/>
            </w:pPr>
            <w:r>
              <w:t xml:space="preserve">2.1</w:t>
            </w:r>
          </w:p>
        </w:tc>
        <w:tc>
          <w:tcPr/>
          <w:p>
            <w:pPr>
              <w:pStyle w:val="Compact"/>
            </w:pPr>
            <w:r>
              <w:t xml:space="preserve">1.6</w:t>
            </w:r>
          </w:p>
        </w:tc>
      </w:tr>
    </w:tbl>
    <w:bookmarkEnd w:id="15"/>
    <w:bookmarkStart w:id="16" w:name="key-safety-findings"/>
    <w:p>
      <w:pPr>
        <w:pStyle w:val="Heading3"/>
      </w:pPr>
      <w:r>
        <w:t xml:space="preserve">Key safety findings</w:t>
      </w:r>
    </w:p>
    <w:p>
      <w:pPr>
        <w:pStyle w:val="Compact"/>
        <w:numPr>
          <w:ilvl w:val="0"/>
          <w:numId w:val="1007"/>
        </w:numPr>
      </w:pPr>
      <w:r>
        <w:rPr>
          <w:b/>
          <w:bCs/>
        </w:rPr>
        <w:t xml:space="preserve">Gastrointestinal events</w:t>
      </w:r>
      <w:r>
        <w:t xml:space="preserve">: Most common class of AEs. Typically mild to moderate in severity, occurring within the first 4–8 weeks of treatment and declining with continued use. Discontinuation due to GI events: 4.2%.</w:t>
      </w:r>
    </w:p>
    <w:p>
      <w:pPr>
        <w:pStyle w:val="Compact"/>
        <w:numPr>
          <w:ilvl w:val="0"/>
          <w:numId w:val="1007"/>
        </w:numPr>
      </w:pPr>
      <w:r>
        <w:rPr>
          <w:b/>
          <w:bCs/>
        </w:rPr>
        <w:t xml:space="preserve">Hepatic effects</w:t>
      </w:r>
      <w:r>
        <w:t xml:space="preserve">: Transient ALT elevations &gt;3× ULN occurred in 3.1% of patients. Liver function tests should be performed prior to initiation and periodically thereafter. Discontinue if ALT &gt;3× ULN accompanied by symptoms or bilirubin elevation.</w:t>
      </w:r>
    </w:p>
    <w:p>
      <w:pPr>
        <w:pStyle w:val="Compact"/>
        <w:numPr>
          <w:ilvl w:val="0"/>
          <w:numId w:val="1007"/>
        </w:numPr>
      </w:pPr>
      <w:r>
        <w:rPr>
          <w:b/>
          <w:bCs/>
        </w:rPr>
        <w:t xml:space="preserve">Hypoglycaemia</w:t>
      </w:r>
      <w:r>
        <w:t xml:space="preserve">: Low risk as monotherapy or with metformin (documented hypoglycaemia: 1.2%). Risk increased when co-administered with sulfonylureas (7.8%) or insulin (12.4%). Dose reduction of concomitant sulfonylurea or insulin may be required.</w:t>
      </w:r>
    </w:p>
    <w:p>
      <w:pPr>
        <w:pStyle w:val="Compact"/>
        <w:numPr>
          <w:ilvl w:val="0"/>
          <w:numId w:val="1007"/>
        </w:numPr>
      </w:pPr>
      <w:r>
        <w:rPr>
          <w:b/>
          <w:bCs/>
        </w:rPr>
        <w:t xml:space="preserve">Pancreatitis</w:t>
      </w:r>
      <w:r>
        <w:t xml:space="preserve">: Acute pancreatitis reported in 0.1% of patients. Discontinue if pancreatitis is suspected; do not restart.</w:t>
      </w:r>
    </w:p>
    <w:bookmarkEnd w:id="16"/>
    <w:bookmarkStart w:id="17" w:name="special-populations"/>
    <w:p>
      <w:pPr>
        <w:pStyle w:val="Heading3"/>
      </w:pPr>
      <w:r>
        <w:t xml:space="preserve">Special populations</w:t>
      </w:r>
    </w:p>
    <w:p>
      <w:pPr>
        <w:pStyle w:val="Compact"/>
        <w:numPr>
          <w:ilvl w:val="0"/>
          <w:numId w:val="1008"/>
        </w:numPr>
      </w:pPr>
      <w:r>
        <w:rPr>
          <w:b/>
          <w:bCs/>
        </w:rPr>
        <w:t xml:space="preserve">Renal impairment</w:t>
      </w:r>
      <w:r>
        <w:t xml:space="preserve">: No dose adjustment required for mild or moderate renal impairment (eGFR 30–89 mL/min/1.73m²). Not recommended in severe renal impairment (eGFR &lt;30) or end-stage renal disease due to limited data.</w:t>
      </w:r>
    </w:p>
    <w:p>
      <w:pPr>
        <w:pStyle w:val="Compact"/>
        <w:numPr>
          <w:ilvl w:val="0"/>
          <w:numId w:val="1008"/>
        </w:numPr>
      </w:pPr>
      <w:r>
        <w:rPr>
          <w:b/>
          <w:bCs/>
        </w:rPr>
        <w:t xml:space="preserve">Hepatic impairment</w:t>
      </w:r>
      <w:r>
        <w:t xml:space="preserve">: No dose adjustment in mild hepatic impairment (Child-Pugh A). Caution in moderate impairment (Child-Pugh B). Not recommended in severe impairment (Child-Pugh C).</w:t>
      </w:r>
    </w:p>
    <w:p>
      <w:pPr>
        <w:pStyle w:val="Compact"/>
        <w:numPr>
          <w:ilvl w:val="0"/>
          <w:numId w:val="1008"/>
        </w:numPr>
      </w:pPr>
      <w:r>
        <w:rPr>
          <w:b/>
          <w:bCs/>
        </w:rPr>
        <w:t xml:space="preserve">Elderly (≥65 years)</w:t>
      </w:r>
      <w:r>
        <w:t xml:space="preserve">: No dose adjustment required. Clinical experience in patients ≥75 years is limited.</w:t>
      </w:r>
    </w:p>
    <w:p>
      <w:r>
        <w:pict>
          <v:rect style="width:0;height:1.5pt" o:hralign="center" o:hrstd="t" o:hr="t"/>
        </w:pict>
      </w:r>
    </w:p>
    <w:bookmarkEnd w:id="17"/>
    <w:bookmarkEnd w:id="18"/>
    <w:bookmarkStart w:id="19" w:name="Xd14b50f527a3f5cea4807ff82db350d939de73c"/>
    <w:p>
      <w:pPr>
        <w:pStyle w:val="Heading2"/>
      </w:pPr>
      <w:r>
        <w:t xml:space="preserve">5. Prescribing Information (abbreviated — for every page footer)</w:t>
      </w:r>
    </w:p>
    <w:p>
      <w:pPr>
        <w:pStyle w:val="FirstParagraph"/>
      </w:pPr>
      <w:r>
        <w:t xml:space="preserve">ZENTURIS (zenturigliptin) 14 mg film-coated tablets. Please refer to the Summary of Product Characteristics (SmPC) before prescribing.</w:t>
      </w:r>
      <w:r>
        <w:t xml:space="preserve"> </w:t>
      </w:r>
      <w:r>
        <w:rPr>
          <w:b/>
          <w:bCs/>
        </w:rPr>
        <w:t xml:space="preserve">Indication:</w:t>
      </w:r>
      <w:r>
        <w:t xml:space="preserve"> </w:t>
      </w:r>
      <w:r>
        <w:t xml:space="preserve">Treatment of adults with insufficiently controlled type 2 diabetes mellitus as an adjunct to diet and exercise.</w:t>
      </w:r>
      <w:r>
        <w:t xml:space="preserve"> </w:t>
      </w:r>
      <w:r>
        <w:rPr>
          <w:b/>
          <w:bCs/>
        </w:rPr>
        <w:t xml:space="preserve">Dosage and administration:</w:t>
      </w:r>
      <w:r>
        <w:t xml:space="preserve"> </w:t>
      </w:r>
      <w:r>
        <w:t xml:space="preserve">14 mg once weekly, taken in the morning on an empty stomach with a sip of plain water. The tablet must be swallowed whole and not crushed, chewed, or split. No food, drink, or other oral medicinal products should be taken for at least 30 minutes after administration.</w:t>
      </w:r>
      <w:r>
        <w:t xml:space="preserve"> </w:t>
      </w:r>
      <w:r>
        <w:rPr>
          <w:b/>
          <w:bCs/>
        </w:rPr>
        <w:t xml:space="preserve">Contraindications:</w:t>
      </w:r>
      <w:r>
        <w:t xml:space="preserve"> </w:t>
      </w:r>
      <w:r>
        <w:t xml:space="preserve">Hypersensitivity to zenturigliptin or any excipient. Personal or family history of medullary thyroid carcinoma or Multiple Endocrine Neoplasia syndrome type 2.</w:t>
      </w:r>
      <w:r>
        <w:t xml:space="preserve"> </w:t>
      </w:r>
      <w:r>
        <w:rPr>
          <w:b/>
          <w:bCs/>
        </w:rPr>
        <w:t xml:space="preserve">Warnings and precautions:</w:t>
      </w:r>
      <w:r>
        <w:t xml:space="preserve"> </w:t>
      </w:r>
      <w:r>
        <w:t xml:space="preserve">Not recommended in patients with severe renal impairment (eGFR &lt;30 mL/min/1.73m²). Monitor liver function tests prior to initiation and periodically thereafter. Not a substitute for insulin. Pancreatitis: discontinue if suspected.</w:t>
      </w:r>
      <w:r>
        <w:t xml:space="preserve"> </w:t>
      </w:r>
      <w:r>
        <w:rPr>
          <w:b/>
          <w:bCs/>
        </w:rPr>
        <w:t xml:space="preserve">Pregnancy and lactation:</w:t>
      </w:r>
      <w:r>
        <w:t xml:space="preserve"> </w:t>
      </w:r>
      <w:r>
        <w:t xml:space="preserve">Not recommended.</w:t>
      </w:r>
      <w:r>
        <w:t xml:space="preserve"> </w:t>
      </w:r>
      <w:r>
        <w:rPr>
          <w:b/>
          <w:bCs/>
        </w:rPr>
        <w:t xml:space="preserve">Side effects:</w:t>
      </w:r>
      <w:r>
        <w:t xml:space="preserve"> </w:t>
      </w:r>
      <w:r>
        <w:t xml:space="preserve">Very common (≥1/10): nausea, diarrhoea. Common (≥1/100 to &lt;1/10): vomiting, decreased appetite, constipation, abdominal pain, ALT increase, headache.</w:t>
      </w:r>
      <w:r>
        <w:t xml:space="preserve"> </w:t>
      </w:r>
      <w:r>
        <w:rPr>
          <w:b/>
          <w:bCs/>
        </w:rPr>
        <w:t xml:space="preserve">Legal category:</w:t>
      </w:r>
      <w:r>
        <w:t xml:space="preserve"> </w:t>
      </w:r>
      <w:r>
        <w:t xml:space="preserve">POM.</w:t>
      </w:r>
      <w:r>
        <w:t xml:space="preserve"> </w:t>
      </w:r>
      <w:r>
        <w:rPr>
          <w:b/>
          <w:bCs/>
        </w:rPr>
        <w:t xml:space="preserve">Pack and price:</w:t>
      </w:r>
      <w:r>
        <w:t xml:space="preserve"> </w:t>
      </w:r>
      <w:r>
        <w:t xml:space="preserve">4 tablets (28-day supply): £185.64.</w:t>
      </w:r>
      <w:r>
        <w:t xml:space="preserve"> </w:t>
      </w:r>
      <w:r>
        <w:rPr>
          <w:b/>
          <w:bCs/>
        </w:rPr>
        <w:t xml:space="preserve">Marketing authorisation holder:</w:t>
      </w:r>
      <w:r>
        <w:t xml:space="preserve"> </w:t>
      </w:r>
      <w:r>
        <w:t xml:space="preserve">AstraZeneca UK Ltd. </w:t>
      </w:r>
      <w:r>
        <w:rPr>
          <w:b/>
          <w:bCs/>
        </w:rPr>
        <w:t xml:space="preserve">MA number:</w:t>
      </w:r>
      <w:r>
        <w:t xml:space="preserve"> </w:t>
      </w:r>
      <w:r>
        <w:t xml:space="preserve">PLGB 17901/0486. Full prescribing information available from: AstraZeneca UK Ltd, 2 Pancras Square, London N1C 4AG. GB-82917 | DOP: March 2026.</w:t>
      </w:r>
    </w:p>
    <w:p>
      <w:r>
        <w:pict>
          <v:rect style="width:0;height:1.5pt" o:hralign="center" o:hrstd="t" o:hr="t"/>
        </w:pict>
      </w:r>
    </w:p>
    <w:bookmarkEnd w:id="19"/>
    <w:bookmarkStart w:id="20" w:name="X2836b4d753126026c6bbbd5e9e13a90b3b11471"/>
    <w:p>
      <w:pPr>
        <w:pStyle w:val="Heading2"/>
      </w:pPr>
      <w:r>
        <w:t xml:space="preserve">6. Adverse Event Reporting (for every page footer)</w:t>
      </w:r>
    </w:p>
    <w:p>
      <w:pPr>
        <w:pStyle w:val="FirstParagraph"/>
      </w:pPr>
      <w:r>
        <w:t xml:space="preserve">Adverse events should be reported. Reporting forms and information can be found at www.mhra.gov.uk/yellowcard or search for MHRA Yellow Card in the Google Play or Apple App Store. Adverse events should also be reported to AstraZeneca by visiting contactazmedical.astrazeneca.com or by calling 0800 783 0033.</w:t>
      </w:r>
    </w:p>
    <w:p>
      <w:r>
        <w:pict>
          <v:rect style="width:0;height:1.5pt" o:hralign="center" o:hrstd="t" o:hr="t"/>
        </w:pict>
      </w:r>
    </w:p>
    <w:bookmarkEnd w:id="20"/>
    <w:bookmarkStart w:id="21" w:name="references-for-every-page-footer"/>
    <w:p>
      <w:pPr>
        <w:pStyle w:val="Heading2"/>
      </w:pPr>
      <w:r>
        <w:t xml:space="preserve">7. References (for every page footer)</w:t>
      </w:r>
    </w:p>
    <w:p>
      <w:pPr>
        <w:pStyle w:val="Compact"/>
        <w:numPr>
          <w:ilvl w:val="0"/>
          <w:numId w:val="1009"/>
        </w:numPr>
      </w:pPr>
      <w:r>
        <w:t xml:space="preserve">Harrison et al. </w:t>
      </w:r>
      <w:r>
        <w:rPr>
          <w:i/>
          <w:iCs/>
        </w:rPr>
        <w:t xml:space="preserve">Lancet Diabetes Endocrinol</w:t>
      </w:r>
      <w:r>
        <w:t xml:space="preserve"> </w:t>
      </w:r>
      <w:r>
        <w:t xml:space="preserve">2025; 13(4): 312–325.</w:t>
      </w:r>
    </w:p>
    <w:p>
      <w:pPr>
        <w:pStyle w:val="Compact"/>
        <w:numPr>
          <w:ilvl w:val="0"/>
          <w:numId w:val="1009"/>
        </w:numPr>
      </w:pPr>
      <w:r>
        <w:t xml:space="preserve">Chen et al. </w:t>
      </w:r>
      <w:r>
        <w:rPr>
          <w:i/>
          <w:iCs/>
        </w:rPr>
        <w:t xml:space="preserve">N Engl J Med</w:t>
      </w:r>
      <w:r>
        <w:t xml:space="preserve"> </w:t>
      </w:r>
      <w:r>
        <w:t xml:space="preserve">2025; 392(18): 1697–1710.</w:t>
      </w:r>
    </w:p>
    <w:p>
      <w:pPr>
        <w:pStyle w:val="Compact"/>
        <w:numPr>
          <w:ilvl w:val="0"/>
          <w:numId w:val="1009"/>
        </w:numPr>
      </w:pPr>
      <w:r>
        <w:t xml:space="preserve">Mehta et al. </w:t>
      </w:r>
      <w:r>
        <w:rPr>
          <w:i/>
          <w:iCs/>
        </w:rPr>
        <w:t xml:space="preserve">N Engl J Med</w:t>
      </w:r>
      <w:r>
        <w:t xml:space="preserve"> </w:t>
      </w:r>
      <w:r>
        <w:t xml:space="preserve">2025; 393(2): 134–148.</w:t>
      </w:r>
    </w:p>
    <w:p>
      <w:pPr>
        <w:pStyle w:val="Compact"/>
        <w:numPr>
          <w:ilvl w:val="0"/>
          <w:numId w:val="1009"/>
        </w:numPr>
      </w:pPr>
      <w:r>
        <w:t xml:space="preserve">Zenturis (zenturigliptin) Summary of Product Characteristics. AstraZeneca UK Ltd. January 2026.</w:t>
      </w:r>
    </w:p>
    <w:p>
      <w:r>
        <w:pict>
          <v:rect style="width:0;height:1.5pt" o:hralign="center" o:hrstd="t" o:hr="t"/>
        </w:pict>
      </w:r>
    </w:p>
    <w:bookmarkEnd w:id="21"/>
    <w:bookmarkStart w:id="22" w:name="site-navigation"/>
    <w:p>
      <w:pPr>
        <w:pStyle w:val="Heading2"/>
      </w:pPr>
      <w:r>
        <w:t xml:space="preserve">8. Site Navigation</w:t>
      </w:r>
    </w:p>
    <w:p>
      <w:pPr>
        <w:pStyle w:val="FirstParagraph"/>
      </w:pPr>
      <w:r>
        <w:rPr>
          <w:b/>
          <w:bCs/>
        </w:rPr>
        <w:t xml:space="preserve">Top bar links:</w:t>
      </w:r>
      <w:r>
        <w:t xml:space="preserve"> </w:t>
      </w:r>
      <w:r>
        <w:t xml:space="preserve">Contact Us (https://www.astrazeneca.co.uk/contact-us.html) | AZ Employee Login (https://login.astrazeneca.com)</w:t>
      </w:r>
    </w:p>
    <w:p>
      <w:pPr>
        <w:pStyle w:val="BodyText"/>
      </w:pPr>
      <w:r>
        <w:rPr>
          <w:b/>
          <w:bCs/>
        </w:rPr>
        <w:t xml:space="preserve">Main navigation pages:</w:t>
      </w:r>
      <w:r>
        <w:t xml:space="preserve"> </w:t>
      </w:r>
      <w:r>
        <w:t xml:space="preserve">Efficacy | Safety | Dosing | Resources</w:t>
      </w:r>
    </w:p>
    <w:p>
      <w:pPr>
        <w:pStyle w:val="BodyText"/>
      </w:pPr>
      <w:r>
        <w:rPr>
          <w:b/>
          <w:bCs/>
        </w:rPr>
        <w:t xml:space="preserve">Utility:</w:t>
      </w:r>
      <w:r>
        <w:t xml:space="preserve"> </w:t>
      </w:r>
      <w:r>
        <w:t xml:space="preserve">Search | Login</w:t>
      </w:r>
    </w:p>
    <w:p>
      <w:r>
        <w:pict>
          <v:rect style="width:0;height:1.5pt" o:hralign="center" o:hrstd="t" o:hr="t"/>
        </w:pict>
      </w:r>
    </w:p>
    <w:bookmarkEnd w:id="22"/>
    <w:bookmarkStart w:id="110" w:name="page-content"/>
    <w:p>
      <w:pPr>
        <w:pStyle w:val="Heading2"/>
      </w:pPr>
      <w:r>
        <w:t xml:space="preserve">9. Page Content</w:t>
      </w:r>
    </w:p>
    <w:p>
      <w:pPr>
        <w:pStyle w:val="BlockText"/>
      </w:pPr>
      <w:r>
        <w:rPr>
          <w:b/>
          <w:bCs/>
        </w:rPr>
        <w:t xml:space="preserve">IMPORTANT</w:t>
      </w:r>
      <w:r>
        <w:t xml:space="preserve">: All copy below is final and MLR-approved. It must be used exactly as written — do not modify, rephrase, or abbreviate any text. All superscript reference numbers, statistical values, and regulatory language must be reproduced verbatim.</w:t>
      </w:r>
    </w:p>
    <w:p>
      <w:pPr>
        <w:pStyle w:val="BlockText"/>
      </w:pPr>
      <w:r>
        <w:t xml:space="preserve">Each page must end with expandable sections for Prescribing Information, Adverse Event Reporting, and References (see sections 5, 6, and 7 above).</w:t>
      </w:r>
    </w:p>
    <w:p>
      <w:r>
        <w:pict>
          <v:rect style="width:0;height:1.5pt" o:hralign="center" o:hrstd="t" o:hr="t"/>
        </w:pict>
      </w:r>
    </w:p>
    <w:bookmarkStart w:id="43" w:name="page-1-home"/>
    <w:p>
      <w:pPr>
        <w:pStyle w:val="Heading3"/>
      </w:pPr>
      <w:r>
        <w:t xml:space="preserve">PAGE 1: Home</w:t>
      </w:r>
    </w:p>
    <w:p>
      <w:pPr>
        <w:pStyle w:val="FirstParagraph"/>
      </w:pPr>
      <w:r>
        <w:rPr>
          <w:b/>
          <w:bCs/>
        </w:rPr>
        <w:t xml:space="preserve">URL path:</w:t>
      </w:r>
      <w:r>
        <w:t xml:space="preserve"> </w:t>
      </w:r>
      <w:r>
        <w:t xml:space="preserve">/zenturis/</w:t>
      </w:r>
    </w:p>
    <w:p>
      <w:r>
        <w:pict>
          <v:rect style="width:0;height:1.5pt" o:hralign="center" o:hrstd="t" o:hr="t"/>
        </w:pict>
      </w:r>
    </w:p>
    <w:bookmarkStart w:id="26" w:name="Xe760abe7700d5d7df6ba6b1016803f9fee9d20b"/>
    <w:p>
      <w:pPr>
        <w:pStyle w:val="Heading4"/>
      </w:pPr>
      <w:r>
        <w:t xml:space="preserve">Section 1 — Hero (full-width image with text overlay)</w:t>
      </w:r>
    </w:p>
    <w:p>
      <w:pPr>
        <w:pStyle w:val="FirstParagraph"/>
      </w:pPr>
      <w:r>
        <w:rPr>
          <w:b/>
          <w:bCs/>
        </w:rPr>
        <w:t xml:space="preserve">Image:</w:t>
      </w:r>
    </w:p>
    <w:p>
      <w:pPr>
        <w:pStyle w:val="BodyText"/>
      </w:pPr>
      <w:r>
        <w:drawing>
          <wp:inline>
            <wp:extent cx="4194048" cy="2340864"/>
            <wp:effectExtent b="0" l="0" r="0" t="0"/>
            <wp:docPr descr="Hero — Home" title="" id="24" name="Picture"/>
            <a:graphic>
              <a:graphicData uri="http://schemas.openxmlformats.org/drawingml/2006/picture">
                <pic:pic>
                  <pic:nvPicPr>
                    <pic:cNvPr descr="https://zenturis-images.pages.dev/hero-home.jpeg" id="25" name="Picture"/>
                    <pic:cNvPicPr>
                      <a:picLocks noChangeArrowheads="1" noChangeAspect="1"/>
                    </pic:cNvPicPr>
                  </pic:nvPicPr>
                  <pic:blipFill>
                    <a:blip r:embed="rId23"/>
                    <a:stretch>
                      <a:fillRect/>
                    </a:stretch>
                  </pic:blipFill>
                  <pic:spPr bwMode="auto">
                    <a:xfrm>
                      <a:off x="0" y="0"/>
                      <a:ext cx="4194048" cy="2340864"/>
                    </a:xfrm>
                    <a:prstGeom prst="rect">
                      <a:avLst/>
                    </a:prstGeom>
                    <a:noFill/>
                    <a:ln w="9525">
                      <a:noFill/>
                      <a:headEnd/>
                      <a:tailEnd/>
                    </a:ln>
                  </pic:spPr>
                </pic:pic>
              </a:graphicData>
            </a:graphic>
          </wp:inline>
        </w:drawing>
      </w:r>
      <w:r>
        <w:t xml:space="preserve"> </w:t>
      </w:r>
      <w:r>
        <w:rPr>
          <w:rStyle w:val="VerbatimChar"/>
        </w:rPr>
        <w:t xml:space="preserve">https://zenturis-images.pages.dev/hero-home.jpeg</w:t>
      </w:r>
    </w:p>
    <w:p>
      <w:pPr>
        <w:pStyle w:val="BodyText"/>
      </w:pPr>
      <w:r>
        <w:rPr>
          <w:b/>
          <w:bCs/>
        </w:rPr>
        <w:t xml:space="preserve">Heading:</w:t>
      </w:r>
      <w:r>
        <w:t xml:space="preserve"> </w:t>
      </w:r>
      <w:r>
        <w:t xml:space="preserve">Zenturis (zenturigliptin): the first oral weekly GLP-1 receptor agonist</w:t>
      </w:r>
    </w:p>
    <w:p>
      <w:pPr>
        <w:pStyle w:val="BodyText"/>
      </w:pPr>
      <w:r>
        <w:rPr>
          <w:b/>
          <w:bCs/>
        </w:rPr>
        <w:t xml:space="preserve">Body text:</w:t>
      </w:r>
      <w:r>
        <w:t xml:space="preserve"> </w:t>
      </w:r>
      <w:r>
        <w:t xml:space="preserve">A new era in type 2 diabetes management — the proven efficacy of GLP-1 receptor agonism, now in a convenient once-weekly oral tablet.¹</w:t>
      </w:r>
    </w:p>
    <w:p>
      <w:pPr>
        <w:pStyle w:val="BodyText"/>
      </w:pPr>
      <w:r>
        <w:rPr>
          <w:b/>
          <w:bCs/>
        </w:rPr>
        <w:t xml:space="preserve">Call to action:</w:t>
      </w:r>
      <w:r>
        <w:t xml:space="preserve"> </w:t>
      </w:r>
      <w:r>
        <w:t xml:space="preserve">Explore the clinical evidence → /zenturis/efficacy</w:t>
      </w:r>
    </w:p>
    <w:p>
      <w:r>
        <w:pict>
          <v:rect style="width:0;height:1.5pt" o:hralign="center" o:hrstd="t" o:hr="t"/>
        </w:pict>
      </w:r>
    </w:p>
    <w:bookmarkEnd w:id="26"/>
    <w:bookmarkStart w:id="36" w:name="X1325abd6bca107d9d71da7510f4dcdb3228f244"/>
    <w:p>
      <w:pPr>
        <w:pStyle w:val="Heading4"/>
      </w:pPr>
      <w:r>
        <w:t xml:space="preserve">Section 2 — Three key benefit cards (equal columns)</w:t>
      </w:r>
    </w:p>
    <w:p>
      <w:pPr>
        <w:pStyle w:val="FirstParagraph"/>
      </w:pPr>
      <w:r>
        <w:rPr>
          <w:b/>
          <w:bCs/>
        </w:rPr>
        <w:t xml:space="preserve">Card 1:</w:t>
      </w:r>
    </w:p>
    <w:p>
      <w:pPr>
        <w:pStyle w:val="BodyText"/>
      </w:pPr>
      <w:r>
        <w:drawing>
          <wp:inline>
            <wp:extent cx="3657600" cy="2731008"/>
            <wp:effectExtent b="0" l="0" r="0" t="0"/>
            <wp:docPr descr="Card — Efficacy" title="" id="28" name="Picture"/>
            <a:graphic>
              <a:graphicData uri="http://schemas.openxmlformats.org/drawingml/2006/picture">
                <pic:pic>
                  <pic:nvPicPr>
                    <pic:cNvPr descr="https://zenturis-images.pages.dev/card-efficacy.jpeg" id="29" name="Picture"/>
                    <pic:cNvPicPr>
                      <a:picLocks noChangeArrowheads="1" noChangeAspect="1"/>
                    </pic:cNvPicPr>
                  </pic:nvPicPr>
                  <pic:blipFill>
                    <a:blip r:embed="rId27"/>
                    <a:stretch>
                      <a:fillRect/>
                    </a:stretch>
                  </pic:blipFill>
                  <pic:spPr bwMode="auto">
                    <a:xfrm>
                      <a:off x="0" y="0"/>
                      <a:ext cx="3657600" cy="2731008"/>
                    </a:xfrm>
                    <a:prstGeom prst="rect">
                      <a:avLst/>
                    </a:prstGeom>
                    <a:noFill/>
                    <a:ln w="9525">
                      <a:noFill/>
                      <a:headEnd/>
                      <a:tailEnd/>
                    </a:ln>
                  </pic:spPr>
                </pic:pic>
              </a:graphicData>
            </a:graphic>
          </wp:inline>
        </w:drawing>
      </w:r>
      <w:r>
        <w:t xml:space="preserve"> </w:t>
      </w:r>
      <w:r>
        <w:rPr>
          <w:rStyle w:val="VerbatimChar"/>
        </w:rPr>
        <w:t xml:space="preserve">https://zenturis-images.pages.dev/card-efficacy.jpeg</w:t>
      </w:r>
    </w:p>
    <w:p>
      <w:pPr>
        <w:pStyle w:val="BodyText"/>
      </w:pPr>
      <w:r>
        <w:rPr>
          <w:b/>
          <w:bCs/>
        </w:rPr>
        <w:t xml:space="preserve">Card heading:</w:t>
      </w:r>
      <w:r>
        <w:t xml:space="preserve"> </w:t>
      </w:r>
      <w:r>
        <w:t xml:space="preserve">Proven glycaemic control</w:t>
      </w:r>
    </w:p>
    <w:p>
      <w:pPr>
        <w:pStyle w:val="BodyText"/>
      </w:pPr>
      <w:r>
        <w:rPr>
          <w:b/>
          <w:bCs/>
        </w:rPr>
        <w:t xml:space="preserve">Card body:</w:t>
      </w:r>
      <w:r>
        <w:t xml:space="preserve"> </w:t>
      </w:r>
      <w:r>
        <w:t xml:space="preserve">1.4% HbA1c reduction from baseline at 26 weeks vs placebo, with 72% of patients achieving HbA1c &lt;7.0%.¹</w:t>
      </w:r>
    </w:p>
    <w:p>
      <w:pPr>
        <w:pStyle w:val="BodyText"/>
      </w:pPr>
      <w:r>
        <w:rPr>
          <w:b/>
          <w:bCs/>
        </w:rPr>
        <w:t xml:space="preserve">Card link:</w:t>
      </w:r>
      <w:r>
        <w:t xml:space="preserve"> </w:t>
      </w:r>
      <w:r>
        <w:t xml:space="preserve">View efficacy data → /zenturis/efficacy</w:t>
      </w:r>
    </w:p>
    <w:p>
      <w:r>
        <w:pict>
          <v:rect style="width:0;height:1.5pt" o:hralign="center" o:hrstd="t" o:hr="t"/>
        </w:pict>
      </w:r>
    </w:p>
    <w:p>
      <w:pPr>
        <w:pStyle w:val="FirstParagraph"/>
      </w:pPr>
      <w:r>
        <w:rPr>
          <w:b/>
          <w:bCs/>
        </w:rPr>
        <w:t xml:space="preserve">Card 2:</w:t>
      </w:r>
    </w:p>
    <w:p>
      <w:pPr>
        <w:pStyle w:val="BodyText"/>
      </w:pPr>
      <w:r>
        <w:drawing>
          <wp:inline>
            <wp:extent cx="3657600" cy="2731008"/>
            <wp:effectExtent b="0" l="0" r="0" t="0"/>
            <wp:docPr descr="Card — Safety" title="" id="31" name="Picture"/>
            <a:graphic>
              <a:graphicData uri="http://schemas.openxmlformats.org/drawingml/2006/picture">
                <pic:pic>
                  <pic:nvPicPr>
                    <pic:cNvPr descr="https://zenturis-images.pages.dev/card-safety.jpeg" id="32" name="Picture"/>
                    <pic:cNvPicPr>
                      <a:picLocks noChangeArrowheads="1" noChangeAspect="1"/>
                    </pic:cNvPicPr>
                  </pic:nvPicPr>
                  <pic:blipFill>
                    <a:blip r:embed="rId30"/>
                    <a:stretch>
                      <a:fillRect/>
                    </a:stretch>
                  </pic:blipFill>
                  <pic:spPr bwMode="auto">
                    <a:xfrm>
                      <a:off x="0" y="0"/>
                      <a:ext cx="3657600" cy="2731008"/>
                    </a:xfrm>
                    <a:prstGeom prst="rect">
                      <a:avLst/>
                    </a:prstGeom>
                    <a:noFill/>
                    <a:ln w="9525">
                      <a:noFill/>
                      <a:headEnd/>
                      <a:tailEnd/>
                    </a:ln>
                  </pic:spPr>
                </pic:pic>
              </a:graphicData>
            </a:graphic>
          </wp:inline>
        </w:drawing>
      </w:r>
      <w:r>
        <w:t xml:space="preserve"> </w:t>
      </w:r>
      <w:r>
        <w:rPr>
          <w:rStyle w:val="VerbatimChar"/>
        </w:rPr>
        <w:t xml:space="preserve">https://zenturis-images.pages.dev/card-safety.jpeg</w:t>
      </w:r>
    </w:p>
    <w:p>
      <w:pPr>
        <w:pStyle w:val="BodyText"/>
      </w:pPr>
      <w:r>
        <w:rPr>
          <w:b/>
          <w:bCs/>
        </w:rPr>
        <w:t xml:space="preserve">Card heading:</w:t>
      </w:r>
      <w:r>
        <w:t xml:space="preserve"> </w:t>
      </w:r>
      <w:r>
        <w:t xml:space="preserve">Well-characterised safety profile</w:t>
      </w:r>
    </w:p>
    <w:p>
      <w:pPr>
        <w:pStyle w:val="BodyText"/>
      </w:pPr>
      <w:r>
        <w:rPr>
          <w:b/>
          <w:bCs/>
        </w:rPr>
        <w:t xml:space="preserve">Card body:</w:t>
      </w:r>
      <w:r>
        <w:t xml:space="preserve"> </w:t>
      </w:r>
      <w:r>
        <w:t xml:space="preserve">Consistent safety across three Phase III trials with over 5,600 patients, with a low risk of hypoglycaemia when used with metformin.¹⁻³</w:t>
      </w:r>
    </w:p>
    <w:p>
      <w:pPr>
        <w:pStyle w:val="BodyText"/>
      </w:pPr>
      <w:r>
        <w:rPr>
          <w:b/>
          <w:bCs/>
        </w:rPr>
        <w:t xml:space="preserve">Card link:</w:t>
      </w:r>
      <w:r>
        <w:t xml:space="preserve"> </w:t>
      </w:r>
      <w:r>
        <w:t xml:space="preserve">Review safety data → /zenturis/safety</w:t>
      </w:r>
    </w:p>
    <w:p>
      <w:r>
        <w:pict>
          <v:rect style="width:0;height:1.5pt" o:hralign="center" o:hrstd="t" o:hr="t"/>
        </w:pict>
      </w:r>
    </w:p>
    <w:p>
      <w:pPr>
        <w:pStyle w:val="FirstParagraph"/>
      </w:pPr>
      <w:r>
        <w:rPr>
          <w:b/>
          <w:bCs/>
        </w:rPr>
        <w:t xml:space="preserve">Card 3:</w:t>
      </w:r>
    </w:p>
    <w:p>
      <w:pPr>
        <w:pStyle w:val="BodyText"/>
      </w:pPr>
      <w:r>
        <w:drawing>
          <wp:inline>
            <wp:extent cx="3657600" cy="2731008"/>
            <wp:effectExtent b="0" l="0" r="0" t="0"/>
            <wp:docPr descr="Card — Dosing" title="" id="34" name="Picture"/>
            <a:graphic>
              <a:graphicData uri="http://schemas.openxmlformats.org/drawingml/2006/picture">
                <pic:pic>
                  <pic:nvPicPr>
                    <pic:cNvPr descr="https://zenturis-images.pages.dev/card-dosing.jpeg" id="35" name="Picture"/>
                    <pic:cNvPicPr>
                      <a:picLocks noChangeArrowheads="1" noChangeAspect="1"/>
                    </pic:cNvPicPr>
                  </pic:nvPicPr>
                  <pic:blipFill>
                    <a:blip r:embed="rId33"/>
                    <a:stretch>
                      <a:fillRect/>
                    </a:stretch>
                  </pic:blipFill>
                  <pic:spPr bwMode="auto">
                    <a:xfrm>
                      <a:off x="0" y="0"/>
                      <a:ext cx="3657600" cy="2731008"/>
                    </a:xfrm>
                    <a:prstGeom prst="rect">
                      <a:avLst/>
                    </a:prstGeom>
                    <a:noFill/>
                    <a:ln w="9525">
                      <a:noFill/>
                      <a:headEnd/>
                      <a:tailEnd/>
                    </a:ln>
                  </pic:spPr>
                </pic:pic>
              </a:graphicData>
            </a:graphic>
          </wp:inline>
        </w:drawing>
      </w:r>
      <w:r>
        <w:t xml:space="preserve"> </w:t>
      </w:r>
      <w:r>
        <w:rPr>
          <w:rStyle w:val="VerbatimChar"/>
        </w:rPr>
        <w:t xml:space="preserve">https://zenturis-images.pages.dev/card-dosing.jpeg</w:t>
      </w:r>
    </w:p>
    <w:p>
      <w:pPr>
        <w:pStyle w:val="BodyText"/>
      </w:pPr>
      <w:r>
        <w:rPr>
          <w:b/>
          <w:bCs/>
        </w:rPr>
        <w:t xml:space="preserve">Card heading:</w:t>
      </w:r>
      <w:r>
        <w:t xml:space="preserve"> </w:t>
      </w:r>
      <w:r>
        <w:t xml:space="preserve">Once-weekly oral convenience</w:t>
      </w:r>
    </w:p>
    <w:p>
      <w:pPr>
        <w:pStyle w:val="BodyText"/>
      </w:pPr>
      <w:r>
        <w:rPr>
          <w:b/>
          <w:bCs/>
        </w:rPr>
        <w:t xml:space="preserve">Card body:</w:t>
      </w:r>
      <w:r>
        <w:t xml:space="preserve"> </w:t>
      </w:r>
      <w:r>
        <w:t xml:space="preserve">A single 14 mg tablet taken once weekly — offering GLP-1 receptor agonist efficacy without the need for injections.¹</w:t>
      </w:r>
    </w:p>
    <w:p>
      <w:pPr>
        <w:pStyle w:val="BodyText"/>
      </w:pPr>
      <w:r>
        <w:rPr>
          <w:b/>
          <w:bCs/>
        </w:rPr>
        <w:t xml:space="preserve">Card link:</w:t>
      </w:r>
      <w:r>
        <w:t xml:space="preserve"> </w:t>
      </w:r>
      <w:r>
        <w:t xml:space="preserve">View dosing information → /zenturis/dosing</w:t>
      </w:r>
    </w:p>
    <w:p>
      <w:r>
        <w:pict>
          <v:rect style="width:0;height:1.5pt" o:hralign="center" o:hrstd="t" o:hr="t"/>
        </w:pict>
      </w:r>
    </w:p>
    <w:bookmarkEnd w:id="36"/>
    <w:bookmarkStart w:id="40" w:name="X882a8f3423a0e6de64ed2919c6aa3601b697927"/>
    <w:p>
      <w:pPr>
        <w:pStyle w:val="Heading4"/>
      </w:pPr>
      <w:r>
        <w:t xml:space="preserve">Section 3 — Mechanism of action teaser (two-column: image left, text right) | highlighted background</w:t>
      </w:r>
    </w:p>
    <w:p>
      <w:pPr>
        <w:pStyle w:val="FirstParagraph"/>
      </w:pPr>
      <w:r>
        <w:rPr>
          <w:b/>
          <w:bCs/>
        </w:rPr>
        <w:t xml:space="preserve">Image:</w:t>
      </w:r>
    </w:p>
    <w:p>
      <w:pPr>
        <w:pStyle w:val="BodyText"/>
      </w:pPr>
      <w:r>
        <w:drawing>
          <wp:inline>
            <wp:extent cx="3657600" cy="2731008"/>
            <wp:effectExtent b="0" l="0" r="0" t="0"/>
            <wp:docPr descr="Mechanism of action" title="" id="38" name="Picture"/>
            <a:graphic>
              <a:graphicData uri="http://schemas.openxmlformats.org/drawingml/2006/picture">
                <pic:pic>
                  <pic:nvPicPr>
                    <pic:cNvPr descr="https://zenturis-images.pages.dev/columns-moa.jpeg" id="39" name="Picture"/>
                    <pic:cNvPicPr>
                      <a:picLocks noChangeArrowheads="1" noChangeAspect="1"/>
                    </pic:cNvPicPr>
                  </pic:nvPicPr>
                  <pic:blipFill>
                    <a:blip r:embed="rId37"/>
                    <a:stretch>
                      <a:fillRect/>
                    </a:stretch>
                  </pic:blipFill>
                  <pic:spPr bwMode="auto">
                    <a:xfrm>
                      <a:off x="0" y="0"/>
                      <a:ext cx="3657600" cy="2731008"/>
                    </a:xfrm>
                    <a:prstGeom prst="rect">
                      <a:avLst/>
                    </a:prstGeom>
                    <a:noFill/>
                    <a:ln w="9525">
                      <a:noFill/>
                      <a:headEnd/>
                      <a:tailEnd/>
                    </a:ln>
                  </pic:spPr>
                </pic:pic>
              </a:graphicData>
            </a:graphic>
          </wp:inline>
        </w:drawing>
      </w:r>
      <w:r>
        <w:t xml:space="preserve"> </w:t>
      </w:r>
      <w:r>
        <w:rPr>
          <w:rStyle w:val="VerbatimChar"/>
        </w:rPr>
        <w:t xml:space="preserve">https://zenturis-images.pages.dev/columns-moa.jpeg</w:t>
      </w:r>
    </w:p>
    <w:p>
      <w:pPr>
        <w:pStyle w:val="BodyText"/>
      </w:pPr>
      <w:r>
        <w:rPr>
          <w:b/>
          <w:bCs/>
        </w:rPr>
        <w:t xml:space="preserve">Heading:</w:t>
      </w:r>
      <w:r>
        <w:t xml:space="preserve"> </w:t>
      </w:r>
      <w:r>
        <w:t xml:space="preserve">A novel approach to GLP-1 receptor agonism</w:t>
      </w:r>
    </w:p>
    <w:p>
      <w:pPr>
        <w:pStyle w:val="BodyText"/>
      </w:pPr>
      <w:r>
        <w:rPr>
          <w:b/>
          <w:bCs/>
        </w:rPr>
        <w:t xml:space="preserve">Body text:</w:t>
      </w:r>
      <w:r>
        <w:t xml:space="preserve"> </w:t>
      </w:r>
      <w:r>
        <w:t xml:space="preserve">Zenturigliptin is a first-in-class oral, non-peptide GLP-1 receptor agonist. It activates the GLP-1 receptor to stimulate glucose-dependent insulin secretion, suppress glucagon, slow gastric emptying, and promote satiety — through a convenient once-weekly oral tablet.¹</w:t>
      </w:r>
    </w:p>
    <w:p>
      <w:pPr>
        <w:pStyle w:val="BodyText"/>
      </w:pPr>
      <w:r>
        <w:rPr>
          <w:b/>
          <w:bCs/>
        </w:rPr>
        <w:t xml:space="preserve">Call to action:</w:t>
      </w:r>
      <w:r>
        <w:t xml:space="preserve"> </w:t>
      </w:r>
      <w:r>
        <w:t xml:space="preserve">Explore the mechanism of action → /zenturis/efficacy</w:t>
      </w:r>
    </w:p>
    <w:p>
      <w:r>
        <w:pict>
          <v:rect style="width:0;height:1.5pt" o:hralign="center" o:hrstd="t" o:hr="t"/>
        </w:pict>
      </w:r>
    </w:p>
    <w:bookmarkEnd w:id="40"/>
    <w:bookmarkStart w:id="41" w:name="section-4-prescribing-information-footer"/>
    <w:p>
      <w:pPr>
        <w:pStyle w:val="Heading4"/>
      </w:pPr>
      <w:r>
        <w:t xml:space="preserve">Section 4 — Prescribing information footer</w:t>
      </w:r>
    </w:p>
    <w:p>
      <w:pPr>
        <w:pStyle w:val="FirstParagraph"/>
      </w:pPr>
      <w:r>
        <w:t xml:space="preserve">Expandable sections for: Prescribing Information | Adverse Event Reporting | References</w:t>
      </w:r>
      <w:r>
        <w:t xml:space="preserve"> </w:t>
      </w:r>
      <w:r>
        <w:rPr>
          <w:i/>
          <w:iCs/>
        </w:rPr>
        <w:t xml:space="preserve">(Use approved text from sections 5, 6, and 7 above)</w:t>
      </w:r>
    </w:p>
    <w:p>
      <w:r>
        <w:pict>
          <v:rect style="width:0;height:1.5pt" o:hralign="center" o:hrstd="t" o:hr="t"/>
        </w:pict>
      </w:r>
    </w:p>
    <w:bookmarkEnd w:id="41"/>
    <w:bookmarkStart w:id="42" w:name="page-metadata"/>
    <w:p>
      <w:pPr>
        <w:pStyle w:val="Heading4"/>
      </w:pPr>
      <w:r>
        <w:t xml:space="preserve">Page metadata</w:t>
      </w:r>
    </w:p>
    <w:p>
      <w:pPr>
        <w:pStyle w:val="Compact"/>
        <w:numPr>
          <w:ilvl w:val="0"/>
          <w:numId w:val="1010"/>
        </w:numPr>
      </w:pPr>
      <w:r>
        <w:rPr>
          <w:b/>
          <w:bCs/>
        </w:rPr>
        <w:t xml:space="preserve">Title:</w:t>
      </w:r>
      <w:r>
        <w:t xml:space="preserve"> </w:t>
      </w:r>
      <w:r>
        <w:t xml:space="preserve">Zenturis (zenturigliptin) | Oral GLP-1 RA for Type 2 Diabetes | AstraZeneca UK</w:t>
      </w:r>
    </w:p>
    <w:p>
      <w:pPr>
        <w:pStyle w:val="Compact"/>
        <w:numPr>
          <w:ilvl w:val="0"/>
          <w:numId w:val="1010"/>
        </w:numPr>
      </w:pPr>
      <w:r>
        <w:rPr>
          <w:b/>
          <w:bCs/>
        </w:rPr>
        <w:t xml:space="preserve">Description:</w:t>
      </w:r>
      <w:r>
        <w:t xml:space="preserve"> </w:t>
      </w:r>
      <w:r>
        <w:t xml:space="preserve">Zenturis (zenturigliptin) is a first-in-class oral, once-weekly GLP-1 receptor agonist for adults with type 2 diabetes. Explore efficacy, safety, and dosing information for UK healthcare professionals.</w:t>
      </w:r>
    </w:p>
    <w:p>
      <w:r>
        <w:pict>
          <v:rect style="width:0;height:1.5pt" o:hralign="center" o:hrstd="t" o:hr="t"/>
        </w:pict>
      </w:r>
    </w:p>
    <w:bookmarkEnd w:id="42"/>
    <w:bookmarkEnd w:id="43"/>
    <w:bookmarkStart w:id="62" w:name="page-2-efficacy"/>
    <w:p>
      <w:pPr>
        <w:pStyle w:val="Heading3"/>
      </w:pPr>
      <w:r>
        <w:t xml:space="preserve">PAGE 2: Efficacy</w:t>
      </w:r>
    </w:p>
    <w:p>
      <w:pPr>
        <w:pStyle w:val="FirstParagraph"/>
      </w:pPr>
      <w:r>
        <w:rPr>
          <w:b/>
          <w:bCs/>
        </w:rPr>
        <w:t xml:space="preserve">URL path:</w:t>
      </w:r>
      <w:r>
        <w:t xml:space="preserve"> </w:t>
      </w:r>
      <w:r>
        <w:t xml:space="preserve">/zenturis/efficacy</w:t>
      </w:r>
    </w:p>
    <w:p>
      <w:r>
        <w:pict>
          <v:rect style="width:0;height:1.5pt" o:hralign="center" o:hrstd="t" o:hr="t"/>
        </w:pict>
      </w:r>
    </w:p>
    <w:bookmarkStart w:id="47" w:name="X8af4e214ec13782f0042564d580d18f8edca9b9"/>
    <w:p>
      <w:pPr>
        <w:pStyle w:val="Heading4"/>
      </w:pPr>
      <w:r>
        <w:t xml:space="preserve">Section 1 — Hero (full-width image with text overlay)</w:t>
      </w:r>
    </w:p>
    <w:p>
      <w:pPr>
        <w:pStyle w:val="FirstParagraph"/>
      </w:pPr>
      <w:r>
        <w:rPr>
          <w:b/>
          <w:bCs/>
        </w:rPr>
        <w:t xml:space="preserve">Image:</w:t>
      </w:r>
    </w:p>
    <w:p>
      <w:pPr>
        <w:pStyle w:val="BodyText"/>
      </w:pPr>
      <w:r>
        <w:drawing>
          <wp:inline>
            <wp:extent cx="4194048" cy="2340864"/>
            <wp:effectExtent b="0" l="0" r="0" t="0"/>
            <wp:docPr descr="Hero — Efficacy" title="" id="45" name="Picture"/>
            <a:graphic>
              <a:graphicData uri="http://schemas.openxmlformats.org/drawingml/2006/picture">
                <pic:pic>
                  <pic:nvPicPr>
                    <pic:cNvPr descr="https://zenturis-images.pages.dev/hero-efficacy.jpeg" id="46" name="Picture"/>
                    <pic:cNvPicPr>
                      <a:picLocks noChangeArrowheads="1" noChangeAspect="1"/>
                    </pic:cNvPicPr>
                  </pic:nvPicPr>
                  <pic:blipFill>
                    <a:blip r:embed="rId44"/>
                    <a:stretch>
                      <a:fillRect/>
                    </a:stretch>
                  </pic:blipFill>
                  <pic:spPr bwMode="auto">
                    <a:xfrm>
                      <a:off x="0" y="0"/>
                      <a:ext cx="4194048" cy="2340864"/>
                    </a:xfrm>
                    <a:prstGeom prst="rect">
                      <a:avLst/>
                    </a:prstGeom>
                    <a:noFill/>
                    <a:ln w="9525">
                      <a:noFill/>
                      <a:headEnd/>
                      <a:tailEnd/>
                    </a:ln>
                  </pic:spPr>
                </pic:pic>
              </a:graphicData>
            </a:graphic>
          </wp:inline>
        </w:drawing>
      </w:r>
      <w:r>
        <w:t xml:space="preserve"> </w:t>
      </w:r>
      <w:r>
        <w:rPr>
          <w:rStyle w:val="VerbatimChar"/>
        </w:rPr>
        <w:t xml:space="preserve">https://zenturis-images.pages.dev/hero-efficacy.jpeg</w:t>
      </w:r>
    </w:p>
    <w:p>
      <w:pPr>
        <w:pStyle w:val="BodyText"/>
      </w:pPr>
      <w:r>
        <w:rPr>
          <w:b/>
          <w:bCs/>
        </w:rPr>
        <w:t xml:space="preserve">Heading:</w:t>
      </w:r>
      <w:r>
        <w:t xml:space="preserve"> </w:t>
      </w:r>
      <w:r>
        <w:t xml:space="preserve">Clinical evidence for Zenturis</w:t>
      </w:r>
    </w:p>
    <w:p>
      <w:pPr>
        <w:pStyle w:val="BodyText"/>
      </w:pPr>
      <w:r>
        <w:rPr>
          <w:b/>
          <w:bCs/>
        </w:rPr>
        <w:t xml:space="preserve">Body text:</w:t>
      </w:r>
      <w:r>
        <w:t xml:space="preserve"> </w:t>
      </w:r>
      <w:r>
        <w:t xml:space="preserve">The ZENITH clinical programme evaluated zenturigliptin across three pivotal Phase III trials in over 11,300 adults with type 2 diabetes.¹⁻³</w:t>
      </w:r>
    </w:p>
    <w:p>
      <w:r>
        <w:pict>
          <v:rect style="width:0;height:1.5pt" o:hralign="center" o:hrstd="t" o:hr="t"/>
        </w:pict>
      </w:r>
    </w:p>
    <w:bookmarkEnd w:id="47"/>
    <w:bookmarkStart w:id="48" w:name="X3acc5d51713bc8028dc09f904866d40499221dd"/>
    <w:p>
      <w:pPr>
        <w:pStyle w:val="Heading4"/>
      </w:pPr>
      <w:r>
        <w:t xml:space="preserve">Section 2 — Programme overview (centred text) | light background</w:t>
      </w:r>
    </w:p>
    <w:p>
      <w:pPr>
        <w:pStyle w:val="FirstParagraph"/>
      </w:pPr>
      <w:r>
        <w:rPr>
          <w:b/>
          <w:bCs/>
        </w:rPr>
        <w:t xml:space="preserve">Heading:</w:t>
      </w:r>
      <w:r>
        <w:t xml:space="preserve"> </w:t>
      </w:r>
      <w:r>
        <w:t xml:space="preserve">The ZENITH clinical programme</w:t>
      </w:r>
    </w:p>
    <w:p>
      <w:pPr>
        <w:pStyle w:val="BodyText"/>
      </w:pPr>
      <w:r>
        <w:rPr>
          <w:b/>
          <w:bCs/>
        </w:rPr>
        <w:t xml:space="preserve">Body text:</w:t>
      </w:r>
      <w:r>
        <w:t xml:space="preserve"> </w:t>
      </w:r>
      <w:r>
        <w:t xml:space="preserve">Zenturigliptin was evaluated in three randomised Phase III trials: ZENITH-1 assessed glycaemic control and weight reduction versus placebo; ZENITH-2 demonstrated non-inferiority to injectable semaglutide 1 mg; and ZENITH-3 established cardiovascular benefit in a dedicated outcomes trial.¹⁻³</w:t>
      </w:r>
    </w:p>
    <w:p>
      <w:r>
        <w:pict>
          <v:rect style="width:0;height:1.5pt" o:hralign="center" o:hrstd="t" o:hr="t"/>
        </w:pict>
      </w:r>
    </w:p>
    <w:bookmarkEnd w:id="48"/>
    <w:bookmarkStart w:id="55" w:name="section-3-clinical-data-two-tabs"/>
    <w:p>
      <w:pPr>
        <w:pStyle w:val="Heading4"/>
      </w:pPr>
      <w:r>
        <w:t xml:space="preserve">Section 3 — Clinical data (two tabs)</w:t>
      </w:r>
    </w:p>
    <w:p>
      <w:pPr>
        <w:pStyle w:val="FirstParagraph"/>
      </w:pPr>
      <w:r>
        <w:rPr>
          <w:b/>
          <w:bCs/>
        </w:rPr>
        <w:t xml:space="preserve">Tab 1:</w:t>
      </w:r>
      <w:r>
        <w:rPr>
          <w:b/>
          <w:bCs/>
        </w:rPr>
        <w:t xml:space="preserve"> </w:t>
      </w:r>
      <w:r>
        <w:rPr>
          <w:b/>
          <w:bCs/>
        </w:rPr>
        <w:t xml:space="preserve">“ZENITH-1: Glycaemic control”</w:t>
      </w:r>
    </w:p>
    <w:p>
      <w:pPr>
        <w:pStyle w:val="BodyText"/>
      </w:pPr>
      <w:r>
        <w:rPr>
          <w:b/>
          <w:bCs/>
        </w:rPr>
        <w:t xml:space="preserve">Image:</w:t>
      </w:r>
    </w:p>
    <w:p>
      <w:pPr>
        <w:pStyle w:val="BodyText"/>
      </w:pPr>
      <w:r>
        <w:drawing>
          <wp:inline>
            <wp:extent cx="3657600" cy="2731008"/>
            <wp:effectExtent b="0" l="0" r="0" t="0"/>
            <wp:docPr descr="ZENITH-1 results" title="" id="50" name="Picture"/>
            <a:graphic>
              <a:graphicData uri="http://schemas.openxmlformats.org/drawingml/2006/picture">
                <pic:pic>
                  <pic:nvPicPr>
                    <pic:cNvPr descr="https://zenturis-images.pages.dev/tab-zenith1.jpeg" id="51" name="Picture"/>
                    <pic:cNvPicPr>
                      <a:picLocks noChangeArrowheads="1" noChangeAspect="1"/>
                    </pic:cNvPicPr>
                  </pic:nvPicPr>
                  <pic:blipFill>
                    <a:blip r:embed="rId49"/>
                    <a:stretch>
                      <a:fillRect/>
                    </a:stretch>
                  </pic:blipFill>
                  <pic:spPr bwMode="auto">
                    <a:xfrm>
                      <a:off x="0" y="0"/>
                      <a:ext cx="3657600" cy="2731008"/>
                    </a:xfrm>
                    <a:prstGeom prst="rect">
                      <a:avLst/>
                    </a:prstGeom>
                    <a:noFill/>
                    <a:ln w="9525">
                      <a:noFill/>
                      <a:headEnd/>
                      <a:tailEnd/>
                    </a:ln>
                  </pic:spPr>
                </pic:pic>
              </a:graphicData>
            </a:graphic>
          </wp:inline>
        </w:drawing>
      </w:r>
      <w:r>
        <w:t xml:space="preserve"> </w:t>
      </w:r>
      <w:r>
        <w:rPr>
          <w:rStyle w:val="VerbatimChar"/>
        </w:rPr>
        <w:t xml:space="preserve">https://zenturis-images.pages.dev/tab-zenith1.jpeg</w:t>
      </w:r>
    </w:p>
    <w:p>
      <w:pPr>
        <w:pStyle w:val="BodyText"/>
      </w:pPr>
      <w:r>
        <w:rPr>
          <w:b/>
          <w:bCs/>
        </w:rPr>
        <w:t xml:space="preserve">Heading:</w:t>
      </w:r>
      <w:r>
        <w:t xml:space="preserve"> </w:t>
      </w:r>
      <w:r>
        <w:t xml:space="preserve">Superior HbA1c reduction versus placebo</w:t>
      </w:r>
    </w:p>
    <w:p>
      <w:pPr>
        <w:pStyle w:val="BodyText"/>
      </w:pPr>
      <w:r>
        <w:rPr>
          <w:b/>
          <w:bCs/>
        </w:rPr>
        <w:t xml:space="preserve">Body text:</w:t>
      </w:r>
      <w:r>
        <w:t xml:space="preserve"> </w:t>
      </w:r>
      <w:r>
        <w:t xml:space="preserve">In ZENITH-1, a 52-week randomised, double-blind, placebo-controlled trial in 1,246 adults with T2DM inadequately controlled on metformin, zenturigliptin 14 mg demonstrated significantly greater reductions in HbA1c from baseline versus placebo at Week 26.¹</w:t>
      </w:r>
    </w:p>
    <w:p>
      <w:pPr>
        <w:pStyle w:val="BodyText"/>
      </w:pPr>
      <w:r>
        <w:rPr>
          <w:b/>
          <w:bCs/>
        </w:rPr>
        <w:t xml:space="preserve">Data table: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Endpoint</w:t>
            </w:r>
          </w:p>
        </w:tc>
        <w:tc>
          <w:tcPr/>
          <w:p>
            <w:pPr>
              <w:pStyle w:val="Compact"/>
            </w:pPr>
            <w:r>
              <w:t xml:space="preserve">Zenturigliptin 14 mg (n=623)</w:t>
            </w:r>
          </w:p>
        </w:tc>
        <w:tc>
          <w:tcPr/>
          <w:p>
            <w:pPr>
              <w:pStyle w:val="Compact"/>
            </w:pPr>
            <w:r>
              <w:t xml:space="preserve">Placebo (n=623)</w:t>
            </w:r>
          </w:p>
        </w:tc>
        <w:tc>
          <w:tcPr/>
          <w:p>
            <w:pPr>
              <w:pStyle w:val="Compact"/>
            </w:pPr>
            <w:r>
              <w:t xml:space="preserve">Difference (95% CI)</w:t>
            </w:r>
          </w:p>
        </w:tc>
      </w:tr>
      <w:tr>
        <w:tc>
          <w:tcPr/>
          <w:p>
            <w:pPr>
              <w:pStyle w:val="Compact"/>
            </w:pPr>
            <w:r>
              <w:t xml:space="preserve">HbA1c change from baseline (%, primary)</w:t>
            </w:r>
          </w:p>
        </w:tc>
        <w:tc>
          <w:tcPr/>
          <w:p>
            <w:pPr>
              <w:pStyle w:val="Compact"/>
            </w:pPr>
            <w:r>
              <w:t xml:space="preserve">−1.4</w:t>
            </w:r>
          </w:p>
        </w:tc>
        <w:tc>
          <w:tcPr/>
          <w:p>
            <w:pPr>
              <w:pStyle w:val="Compact"/>
            </w:pPr>
            <w:r>
              <w:t xml:space="preserve">−0.3</w:t>
            </w:r>
          </w:p>
        </w:tc>
        <w:tc>
          <w:tcPr/>
          <w:p>
            <w:pPr>
              <w:pStyle w:val="Compact"/>
            </w:pPr>
            <w:r>
              <w:t xml:space="preserve">−1.1 (−1.3 to −0.9); P&lt;0.001</w:t>
            </w:r>
          </w:p>
        </w:tc>
      </w:tr>
      <w:tr>
        <w:tc>
          <w:tcPr/>
          <w:p>
            <w:pPr>
              <w:pStyle w:val="Compact"/>
            </w:pPr>
            <w:r>
              <w:t xml:space="preserve">Proportion achieving HbA1c &lt;7.0%</w:t>
            </w:r>
          </w:p>
        </w:tc>
        <w:tc>
          <w:tcPr/>
          <w:p>
            <w:pPr>
              <w:pStyle w:val="Compact"/>
            </w:pPr>
            <w:r>
              <w:t xml:space="preserve">72%</w:t>
            </w:r>
          </w:p>
        </w:tc>
        <w:tc>
          <w:tcPr/>
          <w:p>
            <w:pPr>
              <w:pStyle w:val="Compact"/>
            </w:pPr>
            <w:r>
              <w:t xml:space="preserve">28%</w:t>
            </w:r>
          </w:p>
        </w:tc>
        <w:tc>
          <w:tcPr/>
          <w:p>
            <w:pPr>
              <w:pStyle w:val="Compact"/>
            </w:pPr>
            <w:r>
              <w:t xml:space="preserve">P&lt;0.001</w:t>
            </w:r>
          </w:p>
        </w:tc>
      </w:tr>
      <w:tr>
        <w:tc>
          <w:tcPr/>
          <w:p>
            <w:pPr>
              <w:pStyle w:val="Compact"/>
            </w:pPr>
            <w:r>
              <w:t xml:space="preserve">Body weight change (kg)</w:t>
            </w:r>
          </w:p>
        </w:tc>
        <w:tc>
          <w:tcPr/>
          <w:p>
            <w:pPr>
              <w:pStyle w:val="Compact"/>
            </w:pPr>
            <w:r>
              <w:t xml:space="preserve">−5.2</w:t>
            </w:r>
          </w:p>
        </w:tc>
        <w:tc>
          <w:tcPr/>
          <w:p>
            <w:pPr>
              <w:pStyle w:val="Compact"/>
            </w:pPr>
            <w:r>
              <w:t xml:space="preserve">−1.1</w:t>
            </w:r>
          </w:p>
        </w:tc>
        <w:tc>
          <w:tcPr/>
          <w:p>
            <w:pPr>
              <w:pStyle w:val="Compact"/>
            </w:pPr>
            <w:r>
              <w:t xml:space="preserve">−4.1 (−4.8 to −3.4); P&lt;0.001</w:t>
            </w:r>
          </w:p>
        </w:tc>
      </w:tr>
      <w:tr>
        <w:tc>
          <w:tcPr/>
          <w:p>
            <w:pPr>
              <w:pStyle w:val="Compact"/>
            </w:pPr>
            <w:r>
              <w:t xml:space="preserve">Fasting plasma glucose change (mmol/L)</w:t>
            </w:r>
          </w:p>
        </w:tc>
        <w:tc>
          <w:tcPr/>
          <w:p>
            <w:pPr>
              <w:pStyle w:val="Compact"/>
            </w:pPr>
            <w:r>
              <w:t xml:space="preserve">−2.1</w:t>
            </w:r>
          </w:p>
        </w:tc>
        <w:tc>
          <w:tcPr/>
          <w:p>
            <w:pPr>
              <w:pStyle w:val="Compact"/>
            </w:pPr>
            <w:r>
              <w:t xml:space="preserve">−0.4</w:t>
            </w:r>
          </w:p>
        </w:tc>
        <w:tc>
          <w:tcPr/>
          <w:p>
            <w:pPr>
              <w:pStyle w:val="Compact"/>
            </w:pPr>
            <w:r>
              <w:t xml:space="preserve">P&lt;0.001</w:t>
            </w:r>
          </w:p>
        </w:tc>
      </w:tr>
    </w:tbl>
    <w:p>
      <w:pPr>
        <w:pStyle w:val="BodyText"/>
      </w:pPr>
      <w:r>
        <w:rPr>
          <w:b/>
          <w:bCs/>
        </w:rPr>
        <w:t xml:space="preserve">Footnote text:</w:t>
      </w:r>
      <w:r>
        <w:t xml:space="preserve"> </w:t>
      </w:r>
      <w:r>
        <w:t xml:space="preserve">The primary endpoint was met with statistical significance. Clinically meaningful weight reduction was observed as a key secondary endpoint.¹</w:t>
      </w:r>
    </w:p>
    <w:p>
      <w:r>
        <w:pict>
          <v:rect style="width:0;height:1.5pt" o:hralign="center" o:hrstd="t" o:hr="t"/>
        </w:pict>
      </w:r>
    </w:p>
    <w:p>
      <w:pPr>
        <w:pStyle w:val="FirstParagraph"/>
      </w:pPr>
      <w:r>
        <w:rPr>
          <w:b/>
          <w:bCs/>
        </w:rPr>
        <w:t xml:space="preserve">Tab 2:</w:t>
      </w:r>
      <w:r>
        <w:rPr>
          <w:b/>
          <w:bCs/>
        </w:rPr>
        <w:t xml:space="preserve"> </w:t>
      </w:r>
      <w:r>
        <w:rPr>
          <w:b/>
          <w:bCs/>
        </w:rPr>
        <w:t xml:space="preserve">“ZENITH-2: Non-inferiority vs semaglutide”</w:t>
      </w:r>
    </w:p>
    <w:p>
      <w:pPr>
        <w:pStyle w:val="BodyText"/>
      </w:pPr>
      <w:r>
        <w:rPr>
          <w:b/>
          <w:bCs/>
        </w:rPr>
        <w:t xml:space="preserve">Image:</w:t>
      </w:r>
    </w:p>
    <w:p>
      <w:pPr>
        <w:pStyle w:val="BodyText"/>
      </w:pPr>
      <w:r>
        <w:drawing>
          <wp:inline>
            <wp:extent cx="3657600" cy="2731008"/>
            <wp:effectExtent b="0" l="0" r="0" t="0"/>
            <wp:docPr descr="ZENITH-2 results" title="" id="53" name="Picture"/>
            <a:graphic>
              <a:graphicData uri="http://schemas.openxmlformats.org/drawingml/2006/picture">
                <pic:pic>
                  <pic:nvPicPr>
                    <pic:cNvPr descr="https://zenturis-images.pages.dev/tab-zenith2.jpeg" id="54" name="Picture"/>
                    <pic:cNvPicPr>
                      <a:picLocks noChangeArrowheads="1" noChangeAspect="1"/>
                    </pic:cNvPicPr>
                  </pic:nvPicPr>
                  <pic:blipFill>
                    <a:blip r:embed="rId52"/>
                    <a:stretch>
                      <a:fillRect/>
                    </a:stretch>
                  </pic:blipFill>
                  <pic:spPr bwMode="auto">
                    <a:xfrm>
                      <a:off x="0" y="0"/>
                      <a:ext cx="3657600" cy="2731008"/>
                    </a:xfrm>
                    <a:prstGeom prst="rect">
                      <a:avLst/>
                    </a:prstGeom>
                    <a:noFill/>
                    <a:ln w="9525">
                      <a:noFill/>
                      <a:headEnd/>
                      <a:tailEnd/>
                    </a:ln>
                  </pic:spPr>
                </pic:pic>
              </a:graphicData>
            </a:graphic>
          </wp:inline>
        </w:drawing>
      </w:r>
      <w:r>
        <w:t xml:space="preserve"> </w:t>
      </w:r>
      <w:r>
        <w:rPr>
          <w:rStyle w:val="VerbatimChar"/>
        </w:rPr>
        <w:t xml:space="preserve">https://zenturis-images.pages.dev/tab-zenith2.jpeg</w:t>
      </w:r>
    </w:p>
    <w:p>
      <w:pPr>
        <w:pStyle w:val="BodyText"/>
      </w:pPr>
      <w:r>
        <w:rPr>
          <w:b/>
          <w:bCs/>
        </w:rPr>
        <w:t xml:space="preserve">Heading:</w:t>
      </w:r>
      <w:r>
        <w:t xml:space="preserve"> </w:t>
      </w:r>
      <w:r>
        <w:t xml:space="preserve">Non-inferior to injectable semaglutide 1 mg</w:t>
      </w:r>
    </w:p>
    <w:p>
      <w:pPr>
        <w:pStyle w:val="BodyText"/>
      </w:pPr>
      <w:r>
        <w:rPr>
          <w:b/>
          <w:bCs/>
        </w:rPr>
        <w:t xml:space="preserve">Body text:</w:t>
      </w:r>
      <w:r>
        <w:t xml:space="preserve"> </w:t>
      </w:r>
      <w:r>
        <w:t xml:space="preserve">In ZENITH-2, a 52-week randomised, open-label, active-controlled trial in 1,834 adults with T2DM inadequately controlled on metformin ± sulfonylurea, zenturigliptin 14 mg demonstrated non-inferior HbA1c reduction compared with injectable semaglutide 1 mg.²</w:t>
      </w:r>
    </w:p>
    <w:p>
      <w:pPr>
        <w:pStyle w:val="BodyText"/>
      </w:pPr>
      <w:r>
        <w:rPr>
          <w:b/>
          <w:bCs/>
        </w:rPr>
        <w:t xml:space="preserve">Data table: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Endpoint</w:t>
            </w:r>
          </w:p>
        </w:tc>
        <w:tc>
          <w:tcPr/>
          <w:p>
            <w:pPr>
              <w:pStyle w:val="Compact"/>
            </w:pPr>
            <w:r>
              <w:t xml:space="preserve">Zenturigliptin 14 mg (n=917)</w:t>
            </w:r>
          </w:p>
        </w:tc>
        <w:tc>
          <w:tcPr/>
          <w:p>
            <w:pPr>
              <w:pStyle w:val="Compact"/>
            </w:pPr>
            <w:r>
              <w:t xml:space="preserve">Semaglutide 1 mg SC (n=917)</w:t>
            </w:r>
          </w:p>
        </w:tc>
        <w:tc>
          <w:tcPr/>
          <w:p>
            <w:pPr>
              <w:pStyle w:val="Compact"/>
            </w:pPr>
            <w:r>
              <w:t xml:space="preserve">Difference (95% CI)</w:t>
            </w:r>
          </w:p>
        </w:tc>
      </w:tr>
      <w:tr>
        <w:tc>
          <w:tcPr/>
          <w:p>
            <w:pPr>
              <w:pStyle w:val="Compact"/>
            </w:pPr>
            <w:r>
              <w:t xml:space="preserve">HbA1c change from baseline (%, primary)</w:t>
            </w:r>
          </w:p>
        </w:tc>
        <w:tc>
          <w:tcPr/>
          <w:p>
            <w:pPr>
              <w:pStyle w:val="Compact"/>
            </w:pPr>
            <w:r>
              <w:t xml:space="preserve">−1.3</w:t>
            </w:r>
          </w:p>
        </w:tc>
        <w:tc>
          <w:tcPr/>
          <w:p>
            <w:pPr>
              <w:pStyle w:val="Compact"/>
            </w:pPr>
            <w:r>
              <w:t xml:space="preserve">−1.4</w:t>
            </w:r>
          </w:p>
        </w:tc>
        <w:tc>
          <w:tcPr/>
          <w:p>
            <w:pPr>
              <w:pStyle w:val="Compact"/>
            </w:pPr>
            <w:r>
              <w:t xml:space="preserve">0.1 (−0.1 to 0.2); non-inferiority confirmed</w:t>
            </w:r>
          </w:p>
        </w:tc>
      </w:tr>
      <w:tr>
        <w:tc>
          <w:tcPr/>
          <w:p>
            <w:pPr>
              <w:pStyle w:val="Compact"/>
            </w:pPr>
            <w:r>
              <w:t xml:space="preserve">Proportion achieving HbA1c &lt;7.0%</w:t>
            </w:r>
          </w:p>
        </w:tc>
        <w:tc>
          <w:tcPr/>
          <w:p>
            <w:pPr>
              <w:pStyle w:val="Compact"/>
            </w:pPr>
            <w:r>
              <w:t xml:space="preserve">68%</w:t>
            </w:r>
          </w:p>
        </w:tc>
        <w:tc>
          <w:tcPr/>
          <w:p>
            <w:pPr>
              <w:pStyle w:val="Compact"/>
            </w:pPr>
            <w:r>
              <w:t xml:space="preserve">71%</w:t>
            </w:r>
          </w:p>
        </w:tc>
        <w:tc>
          <w:tcPr/>
          <w:p>
            <w:pPr>
              <w:pStyle w:val="Compact"/>
            </w:pPr>
            <w:r>
              <w:t xml:space="preserve">—</w:t>
            </w:r>
          </w:p>
        </w:tc>
      </w:tr>
      <w:tr>
        <w:tc>
          <w:tcPr/>
          <w:p>
            <w:pPr>
              <w:pStyle w:val="Compact"/>
            </w:pPr>
            <w:r>
              <w:t xml:space="preserve">Body weight change (kg)</w:t>
            </w:r>
          </w:p>
        </w:tc>
        <w:tc>
          <w:tcPr/>
          <w:p>
            <w:pPr>
              <w:pStyle w:val="Compact"/>
            </w:pPr>
            <w:r>
              <w:t xml:space="preserve">−4.8</w:t>
            </w:r>
          </w:p>
        </w:tc>
        <w:tc>
          <w:tcPr/>
          <w:p>
            <w:pPr>
              <w:pStyle w:val="Compact"/>
            </w:pPr>
            <w:r>
              <w:t xml:space="preserve">−5.5</w:t>
            </w:r>
          </w:p>
        </w:tc>
        <w:tc>
          <w:tcPr/>
          <w:p>
            <w:pPr>
              <w:pStyle w:val="Compact"/>
            </w:pPr>
            <w:r>
              <w:t xml:space="preserve">—</w:t>
            </w:r>
          </w:p>
        </w:tc>
      </w:tr>
      <w:tr>
        <w:tc>
          <w:tcPr/>
          <w:p>
            <w:pPr>
              <w:pStyle w:val="Compact"/>
            </w:pPr>
            <w:r>
              <w:t xml:space="preserve">Patient preference for oral route</w:t>
            </w:r>
          </w:p>
        </w:tc>
        <w:tc>
          <w:tcPr/>
          <w:p>
            <w:pPr>
              <w:pStyle w:val="Compact"/>
            </w:pPr>
            <w:r>
              <w:t xml:space="preserve">81% of patients expressed preference for oral administration (P&lt;0.001)</w:t>
            </w:r>
          </w:p>
        </w:tc>
        <w:tc>
          <w:tcPr/>
          <w:p>
            <w:pPr>
              <w:pStyle w:val="Compact"/>
            </w:pPr>
          </w:p>
        </w:tc>
        <w:tc>
          <w:tcPr/>
          <w:p>
            <w:pPr>
              <w:pStyle w:val="Compact"/>
            </w:pPr>
          </w:p>
        </w:tc>
      </w:tr>
    </w:tbl>
    <w:p>
      <w:pPr>
        <w:pStyle w:val="BodyText"/>
      </w:pPr>
      <w:r>
        <w:rPr>
          <w:b/>
          <w:bCs/>
        </w:rPr>
        <w:t xml:space="preserve">Footnote text:</w:t>
      </w:r>
      <w:r>
        <w:t xml:space="preserve"> </w:t>
      </w:r>
      <w:r>
        <w:t xml:space="preserve">Zenturigliptin achieved non-inferior glycaemic control to injectable semaglutide 1 mg, with significantly higher patient satisfaction and preference for the oral route of administration.²</w:t>
      </w:r>
    </w:p>
    <w:p>
      <w:r>
        <w:pict>
          <v:rect style="width:0;height:1.5pt" o:hralign="center" o:hrstd="t" o:hr="t"/>
        </w:pict>
      </w:r>
    </w:p>
    <w:bookmarkEnd w:id="55"/>
    <w:bookmarkStart w:id="59" w:name="X33a07cc4faaaae488ddc4c2effe24d5b66659e1"/>
    <w:p>
      <w:pPr>
        <w:pStyle w:val="Heading4"/>
      </w:pPr>
      <w:r>
        <w:t xml:space="preserve">Section 4 — Cardiovascular outcomes (two-column: image left, text right) | highlighted background</w:t>
      </w:r>
    </w:p>
    <w:p>
      <w:pPr>
        <w:pStyle w:val="FirstParagraph"/>
      </w:pPr>
      <w:r>
        <w:rPr>
          <w:b/>
          <w:bCs/>
        </w:rPr>
        <w:t xml:space="preserve">Image:</w:t>
      </w:r>
    </w:p>
    <w:p>
      <w:pPr>
        <w:pStyle w:val="BodyText"/>
      </w:pPr>
      <w:r>
        <w:drawing>
          <wp:inline>
            <wp:extent cx="3657600" cy="2731008"/>
            <wp:effectExtent b="0" l="0" r="0" t="0"/>
            <wp:docPr descr="Cardiovascular outcomes" title="" id="57" name="Picture"/>
            <a:graphic>
              <a:graphicData uri="http://schemas.openxmlformats.org/drawingml/2006/picture">
                <pic:pic>
                  <pic:nvPicPr>
                    <pic:cNvPr descr="https://zenturis-images.pages.dev/columns-cv.jpeg" id="58" name="Picture"/>
                    <pic:cNvPicPr>
                      <a:picLocks noChangeArrowheads="1" noChangeAspect="1"/>
                    </pic:cNvPicPr>
                  </pic:nvPicPr>
                  <pic:blipFill>
                    <a:blip r:embed="rId56"/>
                    <a:stretch>
                      <a:fillRect/>
                    </a:stretch>
                  </pic:blipFill>
                  <pic:spPr bwMode="auto">
                    <a:xfrm>
                      <a:off x="0" y="0"/>
                      <a:ext cx="3657600" cy="2731008"/>
                    </a:xfrm>
                    <a:prstGeom prst="rect">
                      <a:avLst/>
                    </a:prstGeom>
                    <a:noFill/>
                    <a:ln w="9525">
                      <a:noFill/>
                      <a:headEnd/>
                      <a:tailEnd/>
                    </a:ln>
                  </pic:spPr>
                </pic:pic>
              </a:graphicData>
            </a:graphic>
          </wp:inline>
        </w:drawing>
      </w:r>
      <w:r>
        <w:t xml:space="preserve"> </w:t>
      </w:r>
      <w:r>
        <w:rPr>
          <w:rStyle w:val="VerbatimChar"/>
        </w:rPr>
        <w:t xml:space="preserve">https://zenturis-images.pages.dev/columns-cv.jpeg</w:t>
      </w:r>
    </w:p>
    <w:p>
      <w:pPr>
        <w:pStyle w:val="BodyText"/>
      </w:pPr>
      <w:r>
        <w:rPr>
          <w:b/>
          <w:bCs/>
        </w:rPr>
        <w:t xml:space="preserve">Heading:</w:t>
      </w:r>
      <w:r>
        <w:t xml:space="preserve"> </w:t>
      </w:r>
      <w:r>
        <w:t xml:space="preserve">Cardiovascular risk reduction demonstrated in ZENITH-3</w:t>
      </w:r>
    </w:p>
    <w:p>
      <w:pPr>
        <w:pStyle w:val="BodyText"/>
      </w:pPr>
      <w:r>
        <w:rPr>
          <w:b/>
          <w:bCs/>
        </w:rPr>
        <w:t xml:space="preserve">Body text:</w:t>
      </w:r>
      <w:r>
        <w:t xml:space="preserve"> </w:t>
      </w:r>
      <w:r>
        <w:t xml:space="preserve">In the dedicated cardiovascular outcomes trial (ZENITH-3), zenturigliptin demonstrated an</w:t>
      </w:r>
      <w:r>
        <w:t xml:space="preserve"> </w:t>
      </w:r>
      <w:r>
        <w:rPr>
          <w:b/>
          <w:bCs/>
        </w:rPr>
        <w:t xml:space="preserve">18% relative risk reduction</w:t>
      </w:r>
      <w:r>
        <w:t xml:space="preserve"> </w:t>
      </w:r>
      <w:r>
        <w:t xml:space="preserve">in the composite of cardiovascular death, non-fatal myocardial infarction, and non-fatal stroke versus placebo (HR 0.82; 95% CI: 0.70–0.96; P=0.013) in 8,246 adults with T2DM and established cardiovascular disease or multiple cardiovascular risk factors over a median follow-up of 3.2 years.³</w:t>
      </w:r>
    </w:p>
    <w:p>
      <w:pPr>
        <w:pStyle w:val="BodyText"/>
      </w:pPr>
      <w:r>
        <w:t xml:space="preserve">Cardiovascular death was reduced by 22% (HR 0.78; 95% CI: 0.62–0.98; P=0.031).³</w:t>
      </w:r>
    </w:p>
    <w:p>
      <w:pPr>
        <w:pStyle w:val="BodyText"/>
      </w:pPr>
      <w:r>
        <w:rPr>
          <w:b/>
          <w:bCs/>
        </w:rPr>
        <w:t xml:space="preserve">Call to action:</w:t>
      </w:r>
      <w:r>
        <w:t xml:space="preserve"> </w:t>
      </w:r>
      <w:r>
        <w:t xml:space="preserve">Review the full safety profile → /zenturis/safety</w:t>
      </w:r>
    </w:p>
    <w:p>
      <w:r>
        <w:pict>
          <v:rect style="width:0;height:1.5pt" o:hralign="center" o:hrstd="t" o:hr="t"/>
        </w:pict>
      </w:r>
    </w:p>
    <w:bookmarkEnd w:id="59"/>
    <w:bookmarkStart w:id="60" w:name="section-5-prescribing-information-footer"/>
    <w:p>
      <w:pPr>
        <w:pStyle w:val="Heading4"/>
      </w:pPr>
      <w:r>
        <w:t xml:space="preserve">Section 5 — Prescribing information footer</w:t>
      </w:r>
    </w:p>
    <w:p>
      <w:pPr>
        <w:pStyle w:val="FirstParagraph"/>
      </w:pPr>
      <w:r>
        <w:t xml:space="preserve">Expandable sections for: Prescribing Information | Adverse Event Reporting | References</w:t>
      </w:r>
      <w:r>
        <w:t xml:space="preserve"> </w:t>
      </w:r>
      <w:r>
        <w:rPr>
          <w:i/>
          <w:iCs/>
        </w:rPr>
        <w:t xml:space="preserve">(Use approved text from sections 5, 6, and 7 above)</w:t>
      </w:r>
    </w:p>
    <w:p>
      <w:r>
        <w:pict>
          <v:rect style="width:0;height:1.5pt" o:hralign="center" o:hrstd="t" o:hr="t"/>
        </w:pict>
      </w:r>
    </w:p>
    <w:bookmarkEnd w:id="60"/>
    <w:bookmarkStart w:id="61" w:name="page-metadata-1"/>
    <w:p>
      <w:pPr>
        <w:pStyle w:val="Heading4"/>
      </w:pPr>
      <w:r>
        <w:t xml:space="preserve">Page metadata</w:t>
      </w:r>
    </w:p>
    <w:p>
      <w:pPr>
        <w:pStyle w:val="Compact"/>
        <w:numPr>
          <w:ilvl w:val="0"/>
          <w:numId w:val="1011"/>
        </w:numPr>
      </w:pPr>
      <w:r>
        <w:rPr>
          <w:b/>
          <w:bCs/>
        </w:rPr>
        <w:t xml:space="preserve">Title:</w:t>
      </w:r>
      <w:r>
        <w:t xml:space="preserve"> </w:t>
      </w:r>
      <w:r>
        <w:t xml:space="preserve">Efficacy | Zenturis (zenturigliptin) | ZENITH Clinical Data | AstraZeneca UK</w:t>
      </w:r>
    </w:p>
    <w:p>
      <w:pPr>
        <w:pStyle w:val="Compact"/>
        <w:numPr>
          <w:ilvl w:val="0"/>
          <w:numId w:val="1011"/>
        </w:numPr>
      </w:pPr>
      <w:r>
        <w:rPr>
          <w:b/>
          <w:bCs/>
        </w:rPr>
        <w:t xml:space="preserve">Description:</w:t>
      </w:r>
      <w:r>
        <w:t xml:space="preserve"> </w:t>
      </w:r>
      <w:r>
        <w:t xml:space="preserve">Explore the ZENITH clinical programme for Zenturis (zenturigliptin) — Phase III data on HbA1c reduction, weight loss, non-inferiority vs semaglutide, and cardiovascular outcomes in type 2 diabetes.</w:t>
      </w:r>
    </w:p>
    <w:p>
      <w:r>
        <w:pict>
          <v:rect style="width:0;height:1.5pt" o:hralign="center" o:hrstd="t" o:hr="t"/>
        </w:pict>
      </w:r>
    </w:p>
    <w:bookmarkEnd w:id="61"/>
    <w:bookmarkEnd w:id="62"/>
    <w:bookmarkStart w:id="82" w:name="page-3-safety"/>
    <w:p>
      <w:pPr>
        <w:pStyle w:val="Heading3"/>
      </w:pPr>
      <w:r>
        <w:t xml:space="preserve">PAGE 3: Safety</w:t>
      </w:r>
    </w:p>
    <w:p>
      <w:pPr>
        <w:pStyle w:val="FirstParagraph"/>
      </w:pPr>
      <w:r>
        <w:rPr>
          <w:b/>
          <w:bCs/>
        </w:rPr>
        <w:t xml:space="preserve">URL path:</w:t>
      </w:r>
      <w:r>
        <w:t xml:space="preserve"> </w:t>
      </w:r>
      <w:r>
        <w:t xml:space="preserve">/zenturis/safety</w:t>
      </w:r>
    </w:p>
    <w:p>
      <w:r>
        <w:pict>
          <v:rect style="width:0;height:1.5pt" o:hralign="center" o:hrstd="t" o:hr="t"/>
        </w:pict>
      </w:r>
    </w:p>
    <w:bookmarkStart w:id="63" w:name="section-1-page-header-text-only-no-image"/>
    <w:p>
      <w:pPr>
        <w:pStyle w:val="Heading4"/>
      </w:pPr>
      <w:r>
        <w:t xml:space="preserve">Section 1 — Page header (text only, no image)</w:t>
      </w:r>
    </w:p>
    <w:p>
      <w:pPr>
        <w:pStyle w:val="FirstParagraph"/>
      </w:pPr>
      <w:r>
        <w:rPr>
          <w:b/>
          <w:bCs/>
        </w:rPr>
        <w:t xml:space="preserve">Heading:</w:t>
      </w:r>
      <w:r>
        <w:t xml:space="preserve"> </w:t>
      </w:r>
      <w:r>
        <w:t xml:space="preserve">Safety profile</w:t>
      </w:r>
    </w:p>
    <w:p>
      <w:pPr>
        <w:pStyle w:val="BodyText"/>
      </w:pPr>
      <w:r>
        <w:rPr>
          <w:b/>
          <w:bCs/>
        </w:rPr>
        <w:t xml:space="preserve">Body text:</w:t>
      </w:r>
      <w:r>
        <w:t xml:space="preserve"> </w:t>
      </w:r>
      <w:r>
        <w:t xml:space="preserve">Zenturigliptin has been evaluated for safety in over 5,600 patients across the ZENITH Phase III clinical programme.¹⁻³</w:t>
      </w:r>
    </w:p>
    <w:p>
      <w:r>
        <w:pict>
          <v:rect style="width:0;height:1.5pt" o:hralign="center" o:hrstd="t" o:hr="t"/>
        </w:pict>
      </w:r>
    </w:p>
    <w:bookmarkEnd w:id="63"/>
    <w:bookmarkStart w:id="64" w:name="X8ca4440d57839cafc55fa2c0619e1f9d74ca9fb"/>
    <w:p>
      <w:pPr>
        <w:pStyle w:val="Heading4"/>
      </w:pPr>
      <w:r>
        <w:t xml:space="preserve">Section 2 — Safety overview (centred text) | light background</w:t>
      </w:r>
    </w:p>
    <w:p>
      <w:pPr>
        <w:pStyle w:val="FirstParagraph"/>
      </w:pPr>
      <w:r>
        <w:rPr>
          <w:b/>
          <w:bCs/>
        </w:rPr>
        <w:t xml:space="preserve">Heading:</w:t>
      </w:r>
      <w:r>
        <w:t xml:space="preserve"> </w:t>
      </w:r>
      <w:r>
        <w:t xml:space="preserve">A well-characterised safety profile across three pivotal trials</w:t>
      </w:r>
    </w:p>
    <w:p>
      <w:pPr>
        <w:pStyle w:val="BodyText"/>
      </w:pPr>
      <w:r>
        <w:rPr>
          <w:b/>
          <w:bCs/>
        </w:rPr>
        <w:t xml:space="preserve">Body text:</w:t>
      </w:r>
      <w:r>
        <w:t xml:space="preserve"> </w:t>
      </w:r>
      <w:r>
        <w:t xml:space="preserve">The most commonly reported adverse events with zenturigliptin were gastrointestinal in nature. These were typically mild to moderate, occurred early in treatment, and declined with continued use. The overall discontinuation rate due to adverse events was 6.8%.¹⁻³</w:t>
      </w:r>
    </w:p>
    <w:p>
      <w:r>
        <w:pict>
          <v:rect style="width:0;height:1.5pt" o:hralign="center" o:hrstd="t" o:hr="t"/>
        </w:pict>
      </w:r>
    </w:p>
    <w:bookmarkEnd w:id="64"/>
    <w:bookmarkStart w:id="74" w:name="X3428829fce81b55733877c92a0623259ab02fde"/>
    <w:p>
      <w:pPr>
        <w:pStyle w:val="Heading4"/>
      </w:pPr>
      <w:r>
        <w:t xml:space="preserve">Section 3 — Three key safety consideration cards (equal columns)</w:t>
      </w:r>
    </w:p>
    <w:p>
      <w:pPr>
        <w:pStyle w:val="FirstParagraph"/>
      </w:pPr>
      <w:r>
        <w:rPr>
          <w:b/>
          <w:bCs/>
        </w:rPr>
        <w:t xml:space="preserve">Card 1:</w:t>
      </w:r>
    </w:p>
    <w:p>
      <w:pPr>
        <w:pStyle w:val="BodyText"/>
      </w:pPr>
      <w:r>
        <w:drawing>
          <wp:inline>
            <wp:extent cx="3657600" cy="2731008"/>
            <wp:effectExtent b="0" l="0" r="0" t="0"/>
            <wp:docPr descr="GI tolerability" title="" id="66" name="Picture"/>
            <a:graphic>
              <a:graphicData uri="http://schemas.openxmlformats.org/drawingml/2006/picture">
                <pic:pic>
                  <pic:nvPicPr>
                    <pic:cNvPr descr="https://zenturis-images.pages.dev/card-gi.jpeg" id="67" name="Picture"/>
                    <pic:cNvPicPr>
                      <a:picLocks noChangeArrowheads="1" noChangeAspect="1"/>
                    </pic:cNvPicPr>
                  </pic:nvPicPr>
                  <pic:blipFill>
                    <a:blip r:embed="rId65"/>
                    <a:stretch>
                      <a:fillRect/>
                    </a:stretch>
                  </pic:blipFill>
                  <pic:spPr bwMode="auto">
                    <a:xfrm>
                      <a:off x="0" y="0"/>
                      <a:ext cx="3657600" cy="2731008"/>
                    </a:xfrm>
                    <a:prstGeom prst="rect">
                      <a:avLst/>
                    </a:prstGeom>
                    <a:noFill/>
                    <a:ln w="9525">
                      <a:noFill/>
                      <a:headEnd/>
                      <a:tailEnd/>
                    </a:ln>
                  </pic:spPr>
                </pic:pic>
              </a:graphicData>
            </a:graphic>
          </wp:inline>
        </w:drawing>
      </w:r>
      <w:r>
        <w:t xml:space="preserve"> </w:t>
      </w:r>
      <w:r>
        <w:rPr>
          <w:rStyle w:val="VerbatimChar"/>
        </w:rPr>
        <w:t xml:space="preserve">https://zenturis-images.pages.dev/card-gi.jpeg</w:t>
      </w:r>
    </w:p>
    <w:p>
      <w:pPr>
        <w:pStyle w:val="BodyText"/>
      </w:pPr>
      <w:r>
        <w:rPr>
          <w:b/>
          <w:bCs/>
        </w:rPr>
        <w:t xml:space="preserve">Card heading:</w:t>
      </w:r>
      <w:r>
        <w:t xml:space="preserve"> </w:t>
      </w:r>
      <w:r>
        <w:t xml:space="preserve">Gastrointestinal tolerability</w:t>
      </w:r>
    </w:p>
    <w:p>
      <w:pPr>
        <w:pStyle w:val="BodyText"/>
      </w:pPr>
      <w:r>
        <w:rPr>
          <w:b/>
          <w:bCs/>
        </w:rPr>
        <w:t xml:space="preserve">Card body:</w:t>
      </w:r>
      <w:r>
        <w:t xml:space="preserve"> </w:t>
      </w:r>
      <w:r>
        <w:t xml:space="preserve">Nausea (16.2%) and diarrhoea (11.4%) were the most common adverse events. GI events were typically mild to moderate, occurring within the first 4–8 weeks and declining with continued treatment. Discontinuation due to GI events occurred in 4.2% of patients.¹⁻³</w:t>
      </w:r>
    </w:p>
    <w:p>
      <w:r>
        <w:pict>
          <v:rect style="width:0;height:1.5pt" o:hralign="center" o:hrstd="t" o:hr="t"/>
        </w:pict>
      </w:r>
    </w:p>
    <w:p>
      <w:pPr>
        <w:pStyle w:val="FirstParagraph"/>
      </w:pPr>
      <w:r>
        <w:rPr>
          <w:b/>
          <w:bCs/>
        </w:rPr>
        <w:t xml:space="preserve">Card 2:</w:t>
      </w:r>
    </w:p>
    <w:p>
      <w:pPr>
        <w:pStyle w:val="BodyText"/>
      </w:pPr>
      <w:r>
        <w:drawing>
          <wp:inline>
            <wp:extent cx="3657600" cy="2731008"/>
            <wp:effectExtent b="0" l="0" r="0" t="0"/>
            <wp:docPr descr="Hepatic monitoring" title="" id="69" name="Picture"/>
            <a:graphic>
              <a:graphicData uri="http://schemas.openxmlformats.org/drawingml/2006/picture">
                <pic:pic>
                  <pic:nvPicPr>
                    <pic:cNvPr descr="https://zenturis-images.pages.dev/card-hepatic.jpeg" id="70" name="Picture"/>
                    <pic:cNvPicPr>
                      <a:picLocks noChangeArrowheads="1" noChangeAspect="1"/>
                    </pic:cNvPicPr>
                  </pic:nvPicPr>
                  <pic:blipFill>
                    <a:blip r:embed="rId68"/>
                    <a:stretch>
                      <a:fillRect/>
                    </a:stretch>
                  </pic:blipFill>
                  <pic:spPr bwMode="auto">
                    <a:xfrm>
                      <a:off x="0" y="0"/>
                      <a:ext cx="3657600" cy="2731008"/>
                    </a:xfrm>
                    <a:prstGeom prst="rect">
                      <a:avLst/>
                    </a:prstGeom>
                    <a:noFill/>
                    <a:ln w="9525">
                      <a:noFill/>
                      <a:headEnd/>
                      <a:tailEnd/>
                    </a:ln>
                  </pic:spPr>
                </pic:pic>
              </a:graphicData>
            </a:graphic>
          </wp:inline>
        </w:drawing>
      </w:r>
      <w:r>
        <w:t xml:space="preserve"> </w:t>
      </w:r>
      <w:r>
        <w:rPr>
          <w:rStyle w:val="VerbatimChar"/>
        </w:rPr>
        <w:t xml:space="preserve">https://zenturis-images.pages.dev/card-hepatic.jpeg</w:t>
      </w:r>
    </w:p>
    <w:p>
      <w:pPr>
        <w:pStyle w:val="BodyText"/>
      </w:pPr>
      <w:r>
        <w:rPr>
          <w:b/>
          <w:bCs/>
        </w:rPr>
        <w:t xml:space="preserve">Card heading:</w:t>
      </w:r>
      <w:r>
        <w:t xml:space="preserve"> </w:t>
      </w:r>
      <w:r>
        <w:t xml:space="preserve">Hepatic monitoring</w:t>
      </w:r>
    </w:p>
    <w:p>
      <w:pPr>
        <w:pStyle w:val="BodyText"/>
      </w:pPr>
      <w:r>
        <w:rPr>
          <w:b/>
          <w:bCs/>
        </w:rPr>
        <w:t xml:space="preserve">Card body:</w:t>
      </w:r>
      <w:r>
        <w:t xml:space="preserve"> </w:t>
      </w:r>
      <w:r>
        <w:t xml:space="preserve">Transient ALT elevations &gt;3× ULN were observed in 3.1% of patients. Liver function tests should be performed prior to initiation and periodically thereafter. Discontinue zenturigliptin if ALT &gt;3× ULN is accompanied by symptoms or bilirubin elevation.⁴</w:t>
      </w:r>
    </w:p>
    <w:p>
      <w:r>
        <w:pict>
          <v:rect style="width:0;height:1.5pt" o:hralign="center" o:hrstd="t" o:hr="t"/>
        </w:pict>
      </w:r>
    </w:p>
    <w:p>
      <w:pPr>
        <w:pStyle w:val="FirstParagraph"/>
      </w:pPr>
      <w:r>
        <w:rPr>
          <w:b/>
          <w:bCs/>
        </w:rPr>
        <w:t xml:space="preserve">Card 3:</w:t>
      </w:r>
    </w:p>
    <w:p>
      <w:pPr>
        <w:pStyle w:val="BodyText"/>
      </w:pPr>
      <w:r>
        <w:drawing>
          <wp:inline>
            <wp:extent cx="3657600" cy="2731008"/>
            <wp:effectExtent b="0" l="0" r="0" t="0"/>
            <wp:docPr descr="Hypoglycaemia risk" title="" id="72" name="Picture"/>
            <a:graphic>
              <a:graphicData uri="http://schemas.openxmlformats.org/drawingml/2006/picture">
                <pic:pic>
                  <pic:nvPicPr>
                    <pic:cNvPr descr="https://zenturis-images.pages.dev/card-hypo.jpeg" id="73" name="Picture"/>
                    <pic:cNvPicPr>
                      <a:picLocks noChangeArrowheads="1" noChangeAspect="1"/>
                    </pic:cNvPicPr>
                  </pic:nvPicPr>
                  <pic:blipFill>
                    <a:blip r:embed="rId71"/>
                    <a:stretch>
                      <a:fillRect/>
                    </a:stretch>
                  </pic:blipFill>
                  <pic:spPr bwMode="auto">
                    <a:xfrm>
                      <a:off x="0" y="0"/>
                      <a:ext cx="3657600" cy="2731008"/>
                    </a:xfrm>
                    <a:prstGeom prst="rect">
                      <a:avLst/>
                    </a:prstGeom>
                    <a:noFill/>
                    <a:ln w="9525">
                      <a:noFill/>
                      <a:headEnd/>
                      <a:tailEnd/>
                    </a:ln>
                  </pic:spPr>
                </pic:pic>
              </a:graphicData>
            </a:graphic>
          </wp:inline>
        </w:drawing>
      </w:r>
      <w:r>
        <w:t xml:space="preserve"> </w:t>
      </w:r>
      <w:r>
        <w:rPr>
          <w:rStyle w:val="VerbatimChar"/>
        </w:rPr>
        <w:t xml:space="preserve">https://zenturis-images.pages.dev/card-hypo.jpeg</w:t>
      </w:r>
    </w:p>
    <w:p>
      <w:pPr>
        <w:pStyle w:val="BodyText"/>
      </w:pPr>
      <w:r>
        <w:rPr>
          <w:b/>
          <w:bCs/>
        </w:rPr>
        <w:t xml:space="preserve">Card heading:</w:t>
      </w:r>
      <w:r>
        <w:t xml:space="preserve"> </w:t>
      </w:r>
      <w:r>
        <w:t xml:space="preserve">Low hypoglycaemia risk</w:t>
      </w:r>
    </w:p>
    <w:p>
      <w:pPr>
        <w:pStyle w:val="BodyText"/>
      </w:pPr>
      <w:r>
        <w:rPr>
          <w:b/>
          <w:bCs/>
        </w:rPr>
        <w:t xml:space="preserve">Card body:</w:t>
      </w:r>
      <w:r>
        <w:t xml:space="preserve"> </w:t>
      </w:r>
      <w:r>
        <w:t xml:space="preserve">Documented hypoglycaemia occurred in only 1.2% of patients receiving zenturigliptin with metformin. Risk is increased with concomitant sulfonylureas (7.8%) or insulin (12.4%). Dose reduction of sulfonylurea or insulin may be required.¹⁻³</w:t>
      </w:r>
    </w:p>
    <w:p>
      <w:r>
        <w:pict>
          <v:rect style="width:0;height:1.5pt" o:hralign="center" o:hrstd="t" o:hr="t"/>
        </w:pict>
      </w:r>
    </w:p>
    <w:bookmarkEnd w:id="74"/>
    <w:bookmarkStart w:id="75" w:name="X3113371f58e306d7e6a5a84618b8a5320839dca"/>
    <w:p>
      <w:pPr>
        <w:pStyle w:val="Heading4"/>
      </w:pPr>
      <w:r>
        <w:t xml:space="preserve">Section 4 — Adverse event summary table | light background</w:t>
      </w:r>
    </w:p>
    <w:p>
      <w:pPr>
        <w:pStyle w:val="FirstParagraph"/>
      </w:pPr>
      <w:r>
        <w:rPr>
          <w:b/>
          <w:bCs/>
        </w:rPr>
        <w:t xml:space="preserve">Heading:</w:t>
      </w:r>
      <w:r>
        <w:t xml:space="preserve"> </w:t>
      </w:r>
      <w:r>
        <w:t xml:space="preserve">Pooled adverse event data from the ZENITH programme¹⁻³</w:t>
      </w:r>
    </w:p>
    <w:p>
      <w:pPr>
        <w:pStyle w:val="BodyText"/>
      </w:pPr>
      <w:r>
        <w:rPr>
          <w:b/>
          <w:bCs/>
        </w:rPr>
        <w:t xml:space="preserve">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Adverse event</w:t>
            </w:r>
          </w:p>
        </w:tc>
        <w:tc>
          <w:tcPr/>
          <w:p>
            <w:pPr>
              <w:pStyle w:val="Compact"/>
            </w:pPr>
            <w:r>
              <w:t xml:space="preserve">Zenturigliptin 14 mg (%)</w:t>
            </w:r>
          </w:p>
        </w:tc>
        <w:tc>
          <w:tcPr/>
          <w:p>
            <w:pPr>
              <w:pStyle w:val="Compact"/>
            </w:pPr>
            <w:r>
              <w:t xml:space="preserve">Comparator (%)</w:t>
            </w:r>
          </w:p>
        </w:tc>
      </w:tr>
      <w:tr>
        <w:tc>
          <w:tcPr/>
          <w:p>
            <w:pPr>
              <w:pStyle w:val="Compact"/>
            </w:pPr>
            <w:r>
              <w:t xml:space="preserve">Nausea</w:t>
            </w:r>
          </w:p>
        </w:tc>
        <w:tc>
          <w:tcPr/>
          <w:p>
            <w:pPr>
              <w:pStyle w:val="Compact"/>
            </w:pPr>
            <w:r>
              <w:t xml:space="preserve">16.2</w:t>
            </w:r>
          </w:p>
        </w:tc>
        <w:tc>
          <w:tcPr/>
          <w:p>
            <w:pPr>
              <w:pStyle w:val="Compact"/>
            </w:pPr>
            <w:r>
              <w:t xml:space="preserve">4.1</w:t>
            </w:r>
          </w:p>
        </w:tc>
      </w:tr>
      <w:tr>
        <w:tc>
          <w:tcPr/>
          <w:p>
            <w:pPr>
              <w:pStyle w:val="Compact"/>
            </w:pPr>
            <w:r>
              <w:t xml:space="preserve">Diarrhoea</w:t>
            </w:r>
          </w:p>
        </w:tc>
        <w:tc>
          <w:tcPr/>
          <w:p>
            <w:pPr>
              <w:pStyle w:val="Compact"/>
            </w:pPr>
            <w:r>
              <w:t xml:space="preserve">11.4</w:t>
            </w:r>
          </w:p>
        </w:tc>
        <w:tc>
          <w:tcPr/>
          <w:p>
            <w:pPr>
              <w:pStyle w:val="Compact"/>
            </w:pPr>
            <w:r>
              <w:t xml:space="preserve">5.3</w:t>
            </w:r>
          </w:p>
        </w:tc>
      </w:tr>
      <w:tr>
        <w:tc>
          <w:tcPr/>
          <w:p>
            <w:pPr>
              <w:pStyle w:val="Compact"/>
            </w:pPr>
            <w:r>
              <w:t xml:space="preserve">Decreased appetite</w:t>
            </w:r>
          </w:p>
        </w:tc>
        <w:tc>
          <w:tcPr/>
          <w:p>
            <w:pPr>
              <w:pStyle w:val="Compact"/>
            </w:pPr>
            <w:r>
              <w:t xml:space="preserve">8.1</w:t>
            </w:r>
          </w:p>
        </w:tc>
        <w:tc>
          <w:tcPr/>
          <w:p>
            <w:pPr>
              <w:pStyle w:val="Compact"/>
            </w:pPr>
            <w:r>
              <w:t xml:space="preserve">2.2</w:t>
            </w:r>
          </w:p>
        </w:tc>
      </w:tr>
      <w:tr>
        <w:tc>
          <w:tcPr/>
          <w:p>
            <w:pPr>
              <w:pStyle w:val="Compact"/>
            </w:pPr>
            <w:r>
              <w:t xml:space="preserve">Vomiting</w:t>
            </w:r>
          </w:p>
        </w:tc>
        <w:tc>
          <w:tcPr/>
          <w:p>
            <w:pPr>
              <w:pStyle w:val="Compact"/>
            </w:pPr>
            <w:r>
              <w:t xml:space="preserve">5.7</w:t>
            </w:r>
          </w:p>
        </w:tc>
        <w:tc>
          <w:tcPr/>
          <w:p>
            <w:pPr>
              <w:pStyle w:val="Compact"/>
            </w:pPr>
            <w:r>
              <w:t xml:space="preserve">1.8</w:t>
            </w:r>
          </w:p>
        </w:tc>
      </w:tr>
      <w:tr>
        <w:tc>
          <w:tcPr/>
          <w:p>
            <w:pPr>
              <w:pStyle w:val="Compact"/>
            </w:pPr>
            <w:r>
              <w:t xml:space="preserve">Constipation</w:t>
            </w:r>
          </w:p>
        </w:tc>
        <w:tc>
          <w:tcPr/>
          <w:p>
            <w:pPr>
              <w:pStyle w:val="Compact"/>
            </w:pPr>
            <w:r>
              <w:t xml:space="preserve">4.3</w:t>
            </w:r>
          </w:p>
        </w:tc>
        <w:tc>
          <w:tcPr/>
          <w:p>
            <w:pPr>
              <w:pStyle w:val="Compact"/>
            </w:pPr>
            <w:r>
              <w:t xml:space="preserve">2.9</w:t>
            </w:r>
          </w:p>
        </w:tc>
      </w:tr>
      <w:tr>
        <w:tc>
          <w:tcPr/>
          <w:p>
            <w:pPr>
              <w:pStyle w:val="Compact"/>
            </w:pPr>
            <w:r>
              <w:t xml:space="preserve">Abdominal pain</w:t>
            </w:r>
          </w:p>
        </w:tc>
        <w:tc>
          <w:tcPr/>
          <w:p>
            <w:pPr>
              <w:pStyle w:val="Compact"/>
            </w:pPr>
            <w:r>
              <w:t xml:space="preserve">3.8</w:t>
            </w:r>
          </w:p>
        </w:tc>
        <w:tc>
          <w:tcPr/>
          <w:p>
            <w:pPr>
              <w:pStyle w:val="Compact"/>
            </w:pPr>
            <w:r>
              <w:t xml:space="preserve">2.1</w:t>
            </w:r>
          </w:p>
        </w:tc>
      </w:tr>
      <w:tr>
        <w:tc>
          <w:tcPr/>
          <w:p>
            <w:pPr>
              <w:pStyle w:val="Compact"/>
            </w:pPr>
            <w:r>
              <w:t xml:space="preserve">ALT elevation (&gt;3× ULN)</w:t>
            </w:r>
          </w:p>
        </w:tc>
        <w:tc>
          <w:tcPr/>
          <w:p>
            <w:pPr>
              <w:pStyle w:val="Compact"/>
            </w:pPr>
            <w:r>
              <w:t xml:space="preserve">3.1</w:t>
            </w:r>
          </w:p>
        </w:tc>
        <w:tc>
          <w:tcPr/>
          <w:p>
            <w:pPr>
              <w:pStyle w:val="Compact"/>
            </w:pPr>
            <w:r>
              <w:t xml:space="preserve">1.4</w:t>
            </w:r>
          </w:p>
        </w:tc>
      </w:tr>
      <w:tr>
        <w:tc>
          <w:tcPr/>
          <w:p>
            <w:pPr>
              <w:pStyle w:val="Compact"/>
            </w:pPr>
            <w:r>
              <w:t xml:space="preserve">Headache</w:t>
            </w:r>
          </w:p>
        </w:tc>
        <w:tc>
          <w:tcPr/>
          <w:p>
            <w:pPr>
              <w:pStyle w:val="Compact"/>
            </w:pPr>
            <w:r>
              <w:t xml:space="preserve">2.9</w:t>
            </w:r>
          </w:p>
        </w:tc>
        <w:tc>
          <w:tcPr/>
          <w:p>
            <w:pPr>
              <w:pStyle w:val="Compact"/>
            </w:pPr>
            <w:r>
              <w:t xml:space="preserve">2.7</w:t>
            </w:r>
          </w:p>
        </w:tc>
      </w:tr>
      <w:tr>
        <w:tc>
          <w:tcPr/>
          <w:p>
            <w:pPr>
              <w:pStyle w:val="Compact"/>
            </w:pPr>
            <w:r>
              <w:t xml:space="preserve">Dizziness</w:t>
            </w:r>
          </w:p>
        </w:tc>
        <w:tc>
          <w:tcPr/>
          <w:p>
            <w:pPr>
              <w:pStyle w:val="Compact"/>
            </w:pPr>
            <w:r>
              <w:t xml:space="preserve">2.1</w:t>
            </w:r>
          </w:p>
        </w:tc>
        <w:tc>
          <w:tcPr/>
          <w:p>
            <w:pPr>
              <w:pStyle w:val="Compact"/>
            </w:pPr>
            <w:r>
              <w:t xml:space="preserve">1.6</w:t>
            </w:r>
          </w:p>
        </w:tc>
      </w:tr>
    </w:tbl>
    <w:p>
      <w:r>
        <w:pict>
          <v:rect style="width:0;height:1.5pt" o:hralign="center" o:hrstd="t" o:hr="t"/>
        </w:pict>
      </w:r>
    </w:p>
    <w:bookmarkEnd w:id="75"/>
    <w:bookmarkStart w:id="79" w:name="X54edbbcce34541d3f931ba9fc4b28496f3cc848"/>
    <w:p>
      <w:pPr>
        <w:pStyle w:val="Heading4"/>
      </w:pPr>
      <w:r>
        <w:t xml:space="preserve">Section 5 — Special populations (two-column: image left, text right) | highlighted background</w:t>
      </w:r>
    </w:p>
    <w:p>
      <w:pPr>
        <w:pStyle w:val="FirstParagraph"/>
      </w:pPr>
      <w:r>
        <w:rPr>
          <w:b/>
          <w:bCs/>
        </w:rPr>
        <w:t xml:space="preserve">Image:</w:t>
      </w:r>
    </w:p>
    <w:p>
      <w:pPr>
        <w:pStyle w:val="BodyText"/>
      </w:pPr>
      <w:r>
        <w:drawing>
          <wp:inline>
            <wp:extent cx="3657600" cy="2731008"/>
            <wp:effectExtent b="0" l="0" r="0" t="0"/>
            <wp:docPr descr="Special populations" title="" id="77" name="Picture"/>
            <a:graphic>
              <a:graphicData uri="http://schemas.openxmlformats.org/drawingml/2006/picture">
                <pic:pic>
                  <pic:nvPicPr>
                    <pic:cNvPr descr="https://zenturis-images.pages.dev/columns-special-pops.jpeg" id="78" name="Picture"/>
                    <pic:cNvPicPr>
                      <a:picLocks noChangeArrowheads="1" noChangeAspect="1"/>
                    </pic:cNvPicPr>
                  </pic:nvPicPr>
                  <pic:blipFill>
                    <a:blip r:embed="rId76"/>
                    <a:stretch>
                      <a:fillRect/>
                    </a:stretch>
                  </pic:blipFill>
                  <pic:spPr bwMode="auto">
                    <a:xfrm>
                      <a:off x="0" y="0"/>
                      <a:ext cx="3657600" cy="2731008"/>
                    </a:xfrm>
                    <a:prstGeom prst="rect">
                      <a:avLst/>
                    </a:prstGeom>
                    <a:noFill/>
                    <a:ln w="9525">
                      <a:noFill/>
                      <a:headEnd/>
                      <a:tailEnd/>
                    </a:ln>
                  </pic:spPr>
                </pic:pic>
              </a:graphicData>
            </a:graphic>
          </wp:inline>
        </w:drawing>
      </w:r>
      <w:r>
        <w:t xml:space="preserve"> </w:t>
      </w:r>
      <w:r>
        <w:rPr>
          <w:rStyle w:val="VerbatimChar"/>
        </w:rPr>
        <w:t xml:space="preserve">https://zenturis-images.pages.dev/columns-special-pops.jpeg</w:t>
      </w:r>
    </w:p>
    <w:p>
      <w:pPr>
        <w:pStyle w:val="BodyText"/>
      </w:pPr>
      <w:r>
        <w:rPr>
          <w:b/>
          <w:bCs/>
        </w:rPr>
        <w:t xml:space="preserve">Heading:</w:t>
      </w:r>
      <w:r>
        <w:t xml:space="preserve"> </w:t>
      </w:r>
      <w:r>
        <w:t xml:space="preserve">Special populations</w:t>
      </w:r>
    </w:p>
    <w:p>
      <w:pPr>
        <w:pStyle w:val="BodyText"/>
      </w:pPr>
      <w:r>
        <w:rPr>
          <w:b/>
          <w:bCs/>
        </w:rPr>
        <w:t xml:space="preserve">Body text:</w:t>
      </w:r>
      <w:r>
        <w:t xml:space="preserve"> </w:t>
      </w:r>
      <w:r>
        <w:rPr>
          <w:b/>
          <w:bCs/>
        </w:rPr>
        <w:t xml:space="preserve">Renal impairment:</w:t>
      </w:r>
      <w:r>
        <w:t xml:space="preserve"> </w:t>
      </w:r>
      <w:r>
        <w:t xml:space="preserve">No dose adjustment is required for patients with mild or moderate renal impairment (eGFR 30–89 mL/min/1.73m²). Zenturigliptin is not recommended in patients with severe renal impairment (eGFR &lt;30 mL/min/1.73m²) or end-stage renal disease due to limited clinical data.⁴</w:t>
      </w:r>
    </w:p>
    <w:p>
      <w:pPr>
        <w:pStyle w:val="BodyText"/>
      </w:pPr>
      <w:r>
        <w:rPr>
          <w:b/>
          <w:bCs/>
        </w:rPr>
        <w:t xml:space="preserve">Hepatic impairment:</w:t>
      </w:r>
      <w:r>
        <w:t xml:space="preserve"> </w:t>
      </w:r>
      <w:r>
        <w:t xml:space="preserve">No dose adjustment is required in mild hepatic impairment (Child-Pugh A). Caution is advised in moderate hepatic impairment (Child-Pugh B). Zenturigliptin is not recommended in severe hepatic impairment (Child-Pugh C).⁴</w:t>
      </w:r>
    </w:p>
    <w:p>
      <w:pPr>
        <w:pStyle w:val="BodyText"/>
      </w:pPr>
      <w:r>
        <w:rPr>
          <w:b/>
          <w:bCs/>
        </w:rPr>
        <w:t xml:space="preserve">Elderly (≥65 years):</w:t>
      </w:r>
      <w:r>
        <w:t xml:space="preserve"> </w:t>
      </w:r>
      <w:r>
        <w:t xml:space="preserve">No dose adjustment is required. Clinical experience in patients aged ≥75 years is limited; use with caution in this population.⁴</w:t>
      </w:r>
    </w:p>
    <w:p>
      <w:r>
        <w:pict>
          <v:rect style="width:0;height:1.5pt" o:hralign="center" o:hrstd="t" o:hr="t"/>
        </w:pict>
      </w:r>
    </w:p>
    <w:bookmarkEnd w:id="79"/>
    <w:bookmarkStart w:id="80" w:name="section-6-prescribing-information-footer"/>
    <w:p>
      <w:pPr>
        <w:pStyle w:val="Heading4"/>
      </w:pPr>
      <w:r>
        <w:t xml:space="preserve">Section 6 — Prescribing information footer</w:t>
      </w:r>
    </w:p>
    <w:p>
      <w:pPr>
        <w:pStyle w:val="FirstParagraph"/>
      </w:pPr>
      <w:r>
        <w:t xml:space="preserve">Expandable sections for: Prescribing Information | Adverse Event Reporting | References</w:t>
      </w:r>
      <w:r>
        <w:t xml:space="preserve"> </w:t>
      </w:r>
      <w:r>
        <w:rPr>
          <w:i/>
          <w:iCs/>
        </w:rPr>
        <w:t xml:space="preserve">(Use approved text from sections 5, 6, and 7 above)</w:t>
      </w:r>
    </w:p>
    <w:p>
      <w:r>
        <w:pict>
          <v:rect style="width:0;height:1.5pt" o:hralign="center" o:hrstd="t" o:hr="t"/>
        </w:pict>
      </w:r>
    </w:p>
    <w:bookmarkEnd w:id="80"/>
    <w:bookmarkStart w:id="81" w:name="page-metadata-2"/>
    <w:p>
      <w:pPr>
        <w:pStyle w:val="Heading4"/>
      </w:pPr>
      <w:r>
        <w:t xml:space="preserve">Page metadata</w:t>
      </w:r>
    </w:p>
    <w:p>
      <w:pPr>
        <w:pStyle w:val="Compact"/>
        <w:numPr>
          <w:ilvl w:val="0"/>
          <w:numId w:val="1012"/>
        </w:numPr>
      </w:pPr>
      <w:r>
        <w:rPr>
          <w:b/>
          <w:bCs/>
        </w:rPr>
        <w:t xml:space="preserve">Title:</w:t>
      </w:r>
      <w:r>
        <w:t xml:space="preserve"> </w:t>
      </w:r>
      <w:r>
        <w:t xml:space="preserve">Safety | Zenturis (zenturigliptin) | Adverse Events &amp; Monitoring | AstraZeneca UK</w:t>
      </w:r>
    </w:p>
    <w:p>
      <w:pPr>
        <w:pStyle w:val="Compact"/>
        <w:numPr>
          <w:ilvl w:val="0"/>
          <w:numId w:val="1012"/>
        </w:numPr>
      </w:pPr>
      <w:r>
        <w:rPr>
          <w:b/>
          <w:bCs/>
        </w:rPr>
        <w:t xml:space="preserve">Description:</w:t>
      </w:r>
      <w:r>
        <w:t xml:space="preserve"> </w:t>
      </w:r>
      <w:r>
        <w:t xml:space="preserve">Review the safety profile of Zenturis (zenturigliptin) including pooled adverse event data, GI tolerability, hepatic monitoring guidance, and special population recommendations.</w:t>
      </w:r>
    </w:p>
    <w:p>
      <w:r>
        <w:pict>
          <v:rect style="width:0;height:1.5pt" o:hralign="center" o:hrstd="t" o:hr="t"/>
        </w:pict>
      </w:r>
    </w:p>
    <w:bookmarkEnd w:id="81"/>
    <w:bookmarkEnd w:id="82"/>
    <w:bookmarkStart w:id="95" w:name="page-4-dosing"/>
    <w:p>
      <w:pPr>
        <w:pStyle w:val="Heading3"/>
      </w:pPr>
      <w:r>
        <w:t xml:space="preserve">PAGE 4: Dosing</w:t>
      </w:r>
    </w:p>
    <w:p>
      <w:pPr>
        <w:pStyle w:val="FirstParagraph"/>
      </w:pPr>
      <w:r>
        <w:rPr>
          <w:b/>
          <w:bCs/>
        </w:rPr>
        <w:t xml:space="preserve">URL path:</w:t>
      </w:r>
      <w:r>
        <w:t xml:space="preserve"> </w:t>
      </w:r>
      <w:r>
        <w:t xml:space="preserve">/zenturis/dosing</w:t>
      </w:r>
    </w:p>
    <w:p>
      <w:r>
        <w:pict>
          <v:rect style="width:0;height:1.5pt" o:hralign="center" o:hrstd="t" o:hr="t"/>
        </w:pict>
      </w:r>
    </w:p>
    <w:bookmarkStart w:id="83" w:name="Xeb90088ef3bc030969e356ba64457a125599739"/>
    <w:p>
      <w:pPr>
        <w:pStyle w:val="Heading4"/>
      </w:pPr>
      <w:r>
        <w:t xml:space="preserve">Section 1 — Page header (text only, no image)</w:t>
      </w:r>
    </w:p>
    <w:p>
      <w:pPr>
        <w:pStyle w:val="FirstParagraph"/>
      </w:pPr>
      <w:r>
        <w:rPr>
          <w:b/>
          <w:bCs/>
        </w:rPr>
        <w:t xml:space="preserve">Heading:</w:t>
      </w:r>
      <w:r>
        <w:t xml:space="preserve"> </w:t>
      </w:r>
      <w:r>
        <w:t xml:space="preserve">Dosing and administration</w:t>
      </w:r>
    </w:p>
    <w:p>
      <w:pPr>
        <w:pStyle w:val="BodyText"/>
      </w:pPr>
      <w:r>
        <w:rPr>
          <w:b/>
          <w:bCs/>
        </w:rPr>
        <w:t xml:space="preserve">Body text:</w:t>
      </w:r>
      <w:r>
        <w:t xml:space="preserve"> </w:t>
      </w:r>
      <w:r>
        <w:t xml:space="preserve">Zenturigliptin is taken as a single 14 mg tablet once weekly — the first oral GLP-1 receptor agonist that does not require injection.⁴</w:t>
      </w:r>
    </w:p>
    <w:p>
      <w:r>
        <w:pict>
          <v:rect style="width:0;height:1.5pt" o:hralign="center" o:hrstd="t" o:hr="t"/>
        </w:pict>
      </w:r>
    </w:p>
    <w:bookmarkEnd w:id="83"/>
    <w:bookmarkStart w:id="87" w:name="X7ea2f8df45cbf7026760c96eadc9560eb2c1a5d"/>
    <w:p>
      <w:pPr>
        <w:pStyle w:val="Heading4"/>
      </w:pPr>
      <w:r>
        <w:t xml:space="preserve">Section 2 — How to take Zenturis (two-column: image left, text right) | light background</w:t>
      </w:r>
    </w:p>
    <w:p>
      <w:pPr>
        <w:pStyle w:val="FirstParagraph"/>
      </w:pPr>
      <w:r>
        <w:rPr>
          <w:b/>
          <w:bCs/>
        </w:rPr>
        <w:t xml:space="preserve">Image:</w:t>
      </w:r>
    </w:p>
    <w:p>
      <w:pPr>
        <w:pStyle w:val="BodyText"/>
      </w:pPr>
      <w:r>
        <w:drawing>
          <wp:inline>
            <wp:extent cx="3657600" cy="2731008"/>
            <wp:effectExtent b="0" l="0" r="0" t="0"/>
            <wp:docPr descr="Administration" title="" id="85" name="Picture"/>
            <a:graphic>
              <a:graphicData uri="http://schemas.openxmlformats.org/drawingml/2006/picture">
                <pic:pic>
                  <pic:nvPicPr>
                    <pic:cNvPr descr="https://zenturis-images.pages.dev/columns-admin.jpeg" id="86" name="Picture"/>
                    <pic:cNvPicPr>
                      <a:picLocks noChangeArrowheads="1" noChangeAspect="1"/>
                    </pic:cNvPicPr>
                  </pic:nvPicPr>
                  <pic:blipFill>
                    <a:blip r:embed="rId84"/>
                    <a:stretch>
                      <a:fillRect/>
                    </a:stretch>
                  </pic:blipFill>
                  <pic:spPr bwMode="auto">
                    <a:xfrm>
                      <a:off x="0" y="0"/>
                      <a:ext cx="3657600" cy="2731008"/>
                    </a:xfrm>
                    <a:prstGeom prst="rect">
                      <a:avLst/>
                    </a:prstGeom>
                    <a:noFill/>
                    <a:ln w="9525">
                      <a:noFill/>
                      <a:headEnd/>
                      <a:tailEnd/>
                    </a:ln>
                  </pic:spPr>
                </pic:pic>
              </a:graphicData>
            </a:graphic>
          </wp:inline>
        </w:drawing>
      </w:r>
      <w:r>
        <w:t xml:space="preserve"> </w:t>
      </w:r>
      <w:r>
        <w:rPr>
          <w:rStyle w:val="VerbatimChar"/>
        </w:rPr>
        <w:t xml:space="preserve">https://zenturis-images.pages.dev/columns-admin.jpeg</w:t>
      </w:r>
    </w:p>
    <w:p>
      <w:pPr>
        <w:pStyle w:val="BodyText"/>
      </w:pPr>
      <w:r>
        <w:rPr>
          <w:b/>
          <w:bCs/>
        </w:rPr>
        <w:t xml:space="preserve">Heading:</w:t>
      </w:r>
      <w:r>
        <w:t xml:space="preserve"> </w:t>
      </w:r>
      <w:r>
        <w:t xml:space="preserve">How to take Zenturis</w:t>
      </w:r>
    </w:p>
    <w:p>
      <w:pPr>
        <w:pStyle w:val="BodyText"/>
      </w:pPr>
      <w:r>
        <w:rPr>
          <w:b/>
          <w:bCs/>
        </w:rPr>
        <w:t xml:space="preserve">Body text:</w:t>
      </w:r>
      <w:r>
        <w:t xml:space="preserve"> </w:t>
      </w:r>
      <w:r>
        <w:t xml:space="preserve">Zenturigliptin 14 mg should be taken</w:t>
      </w:r>
      <w:r>
        <w:t xml:space="preserve"> </w:t>
      </w:r>
      <w:r>
        <w:rPr>
          <w:b/>
          <w:bCs/>
        </w:rPr>
        <w:t xml:space="preserve">once weekly</w:t>
      </w:r>
      <w:r>
        <w:t xml:space="preserve">, on the same day each week, in the morning on an empty stomach.⁴</w:t>
      </w:r>
    </w:p>
    <w:p>
      <w:pPr>
        <w:pStyle w:val="BodyText"/>
      </w:pPr>
      <w:r>
        <w:t xml:space="preserve">The tablet should be swallowed whole with a sip of plain water (up to 120 mL). Patients should not eat, drink, or take other oral medicinal products for at least 30 minutes after taking zenturigliptin.⁴</w:t>
      </w:r>
    </w:p>
    <w:p>
      <w:pPr>
        <w:pStyle w:val="BodyText"/>
      </w:pPr>
      <w:r>
        <w:t xml:space="preserve">The tablet must not be crushed, chewed, or split, as this may affect absorption.⁴</w:t>
      </w:r>
    </w:p>
    <w:p>
      <w:r>
        <w:pict>
          <v:rect style="width:0;height:1.5pt" o:hralign="center" o:hrstd="t" o:hr="t"/>
        </w:pict>
      </w:r>
    </w:p>
    <w:bookmarkEnd w:id="87"/>
    <w:bookmarkStart w:id="91" w:name="Xe477b33189f417669f392c221dbf8fef0fc022b"/>
    <w:p>
      <w:pPr>
        <w:pStyle w:val="Heading4"/>
      </w:pPr>
      <w:r>
        <w:t xml:space="preserve">Section 3 — Dosing schedule and missed doses (two-column: image left, text right)</w:t>
      </w:r>
    </w:p>
    <w:p>
      <w:pPr>
        <w:pStyle w:val="FirstParagraph"/>
      </w:pPr>
      <w:r>
        <w:rPr>
          <w:b/>
          <w:bCs/>
        </w:rPr>
        <w:t xml:space="preserve">Image:</w:t>
      </w:r>
    </w:p>
    <w:p>
      <w:pPr>
        <w:pStyle w:val="BodyText"/>
      </w:pPr>
      <w:r>
        <w:drawing>
          <wp:inline>
            <wp:extent cx="3657600" cy="2731008"/>
            <wp:effectExtent b="0" l="0" r="0" t="0"/>
            <wp:docPr descr="Dosing schedule" title="" id="89" name="Picture"/>
            <a:graphic>
              <a:graphicData uri="http://schemas.openxmlformats.org/drawingml/2006/picture">
                <pic:pic>
                  <pic:nvPicPr>
                    <pic:cNvPr descr="https://zenturis-images.pages.dev/columns-dose-adjust.jpeg" id="90" name="Picture"/>
                    <pic:cNvPicPr>
                      <a:picLocks noChangeArrowheads="1" noChangeAspect="1"/>
                    </pic:cNvPicPr>
                  </pic:nvPicPr>
                  <pic:blipFill>
                    <a:blip r:embed="rId88"/>
                    <a:stretch>
                      <a:fillRect/>
                    </a:stretch>
                  </pic:blipFill>
                  <pic:spPr bwMode="auto">
                    <a:xfrm>
                      <a:off x="0" y="0"/>
                      <a:ext cx="3657600" cy="2731008"/>
                    </a:xfrm>
                    <a:prstGeom prst="rect">
                      <a:avLst/>
                    </a:prstGeom>
                    <a:noFill/>
                    <a:ln w="9525">
                      <a:noFill/>
                      <a:headEnd/>
                      <a:tailEnd/>
                    </a:ln>
                  </pic:spPr>
                </pic:pic>
              </a:graphicData>
            </a:graphic>
          </wp:inline>
        </w:drawing>
      </w:r>
      <w:r>
        <w:t xml:space="preserve"> </w:t>
      </w:r>
      <w:r>
        <w:rPr>
          <w:rStyle w:val="VerbatimChar"/>
        </w:rPr>
        <w:t xml:space="preserve">https://zenturis-images.pages.dev/columns-dose-adjust.jpeg</w:t>
      </w:r>
    </w:p>
    <w:p>
      <w:pPr>
        <w:pStyle w:val="BodyText"/>
      </w:pPr>
      <w:r>
        <w:rPr>
          <w:b/>
          <w:bCs/>
        </w:rPr>
        <w:t xml:space="preserve">Heading:</w:t>
      </w:r>
      <w:r>
        <w:t xml:space="preserve"> </w:t>
      </w:r>
      <w:r>
        <w:t xml:space="preserve">Dosing schedule and missed doses</w:t>
      </w:r>
    </w:p>
    <w:p>
      <w:pPr>
        <w:pStyle w:val="BodyText"/>
      </w:pPr>
      <w:r>
        <w:rPr>
          <w:b/>
          <w:bCs/>
        </w:rPr>
        <w:t xml:space="preserve">Body text:</w:t>
      </w:r>
      <w:r>
        <w:t xml:space="preserve"> </w:t>
      </w:r>
      <w:r>
        <w:rPr>
          <w:b/>
          <w:bCs/>
        </w:rPr>
        <w:t xml:space="preserve">Fixed dose:</w:t>
      </w:r>
      <w:r>
        <w:t xml:space="preserve"> </w:t>
      </w:r>
      <w:r>
        <w:t xml:space="preserve">Zenturigliptin is prescribed at a fixed dose of 14 mg once weekly. No dose titration is required.⁴</w:t>
      </w:r>
    </w:p>
    <w:p>
      <w:pPr>
        <w:pStyle w:val="BodyText"/>
      </w:pPr>
      <w:r>
        <w:rPr>
          <w:b/>
          <w:bCs/>
        </w:rPr>
        <w:t xml:space="preserve">Missed dose:</w:t>
      </w:r>
      <w:r>
        <w:t xml:space="preserve"> </w:t>
      </w:r>
      <w:r>
        <w:t xml:space="preserve">If a dose is missed, it should be taken as soon as possible, provided there are at least 3 days (72 hours) before the next scheduled dose. If fewer than 3 days remain, the missed dose should be skipped and the next dose taken on the regularly scheduled day.⁴</w:t>
      </w:r>
    </w:p>
    <w:p>
      <w:pPr>
        <w:pStyle w:val="BodyText"/>
      </w:pPr>
      <w:r>
        <w:rPr>
          <w:b/>
          <w:bCs/>
        </w:rPr>
        <w:t xml:space="preserve">Day change:</w:t>
      </w:r>
      <w:r>
        <w:t xml:space="preserve"> </w:t>
      </w:r>
      <w:r>
        <w:t xml:space="preserve">The day of weekly administration may be changed, provided there are at least 3 days between two doses.⁴</w:t>
      </w:r>
    </w:p>
    <w:p>
      <w:r>
        <w:pict>
          <v:rect style="width:0;height:1.5pt" o:hralign="center" o:hrstd="t" o:hr="t"/>
        </w:pict>
      </w:r>
    </w:p>
    <w:bookmarkEnd w:id="91"/>
    <w:bookmarkStart w:id="92" w:name="Xf3d3a5c1c5eaecf13783365c4016212b8c02501"/>
    <w:p>
      <w:pPr>
        <w:pStyle w:val="Heading4"/>
      </w:pPr>
      <w:r>
        <w:t xml:space="preserve">Section 4 — Use with other diabetes medicines (centred text) | highlighted background</w:t>
      </w:r>
    </w:p>
    <w:p>
      <w:pPr>
        <w:pStyle w:val="FirstParagraph"/>
      </w:pPr>
      <w:r>
        <w:rPr>
          <w:b/>
          <w:bCs/>
        </w:rPr>
        <w:t xml:space="preserve">Heading:</w:t>
      </w:r>
      <w:r>
        <w:t xml:space="preserve"> </w:t>
      </w:r>
      <w:r>
        <w:t xml:space="preserve">Use with other diabetes medicines</w:t>
      </w:r>
    </w:p>
    <w:p>
      <w:pPr>
        <w:pStyle w:val="BodyText"/>
      </w:pPr>
      <w:r>
        <w:rPr>
          <w:b/>
          <w:bCs/>
        </w:rPr>
        <w:t xml:space="preserve">Body text:</w:t>
      </w:r>
      <w:r>
        <w:t xml:space="preserve"> </w:t>
      </w:r>
      <w:r>
        <w:t xml:space="preserve">Zenturigliptin can be used as monotherapy (when metformin is not tolerated) or in combination with metformin, sulfonylureas, SGLT2 inhibitors, or basal insulin. When combined with a sulfonylurea or insulin, a dose reduction of the sulfonylurea or insulin may be required to reduce the risk of hypoglycaemia. Zenturigliptin should not be used in combination with other GLP-1 receptor agonists or DPP-4 inhibitors.⁴</w:t>
      </w:r>
    </w:p>
    <w:p>
      <w:r>
        <w:pict>
          <v:rect style="width:0;height:1.5pt" o:hralign="center" o:hrstd="t" o:hr="t"/>
        </w:pict>
      </w:r>
    </w:p>
    <w:bookmarkEnd w:id="92"/>
    <w:bookmarkStart w:id="93" w:name="Xbb4855bcef3dee4aff6b0ca6d24c2bcabff997b"/>
    <w:p>
      <w:pPr>
        <w:pStyle w:val="Heading4"/>
      </w:pPr>
      <w:r>
        <w:t xml:space="preserve">Section 5 — Prescribing information footer</w:t>
      </w:r>
    </w:p>
    <w:p>
      <w:pPr>
        <w:pStyle w:val="FirstParagraph"/>
      </w:pPr>
      <w:r>
        <w:t xml:space="preserve">Expandable sections for: Prescribing Information | Adverse Event Reporting | References</w:t>
      </w:r>
      <w:r>
        <w:t xml:space="preserve"> </w:t>
      </w:r>
      <w:r>
        <w:rPr>
          <w:i/>
          <w:iCs/>
        </w:rPr>
        <w:t xml:space="preserve">(Use approved text from sections 5, 6, and 7 above)</w:t>
      </w:r>
    </w:p>
    <w:p>
      <w:r>
        <w:pict>
          <v:rect style="width:0;height:1.5pt" o:hralign="center" o:hrstd="t" o:hr="t"/>
        </w:pict>
      </w:r>
    </w:p>
    <w:bookmarkEnd w:id="93"/>
    <w:bookmarkStart w:id="94" w:name="page-metadata-3"/>
    <w:p>
      <w:pPr>
        <w:pStyle w:val="Heading4"/>
      </w:pPr>
      <w:r>
        <w:t xml:space="preserve">Page metadata</w:t>
      </w:r>
    </w:p>
    <w:p>
      <w:pPr>
        <w:pStyle w:val="Compact"/>
        <w:numPr>
          <w:ilvl w:val="0"/>
          <w:numId w:val="1013"/>
        </w:numPr>
      </w:pPr>
      <w:r>
        <w:rPr>
          <w:b/>
          <w:bCs/>
        </w:rPr>
        <w:t xml:space="preserve">Title:</w:t>
      </w:r>
      <w:r>
        <w:t xml:space="preserve"> </w:t>
      </w:r>
      <w:r>
        <w:t xml:space="preserve">Dosing | Zenturis (zenturigliptin) | Administration &amp; Missed Doses | AstraZeneca UK</w:t>
      </w:r>
    </w:p>
    <w:p>
      <w:pPr>
        <w:pStyle w:val="Compact"/>
        <w:numPr>
          <w:ilvl w:val="0"/>
          <w:numId w:val="1013"/>
        </w:numPr>
      </w:pPr>
      <w:r>
        <w:rPr>
          <w:b/>
          <w:bCs/>
        </w:rPr>
        <w:t xml:space="preserve">Description:</w:t>
      </w:r>
      <w:r>
        <w:t xml:space="preserve"> </w:t>
      </w:r>
      <w:r>
        <w:t xml:space="preserve">Dosing and administration guidance for Zenturis (zenturigliptin) 14 mg once-weekly oral tablet, including how to take, missed dose advice, and concomitant medication recommendations.</w:t>
      </w:r>
    </w:p>
    <w:p>
      <w:r>
        <w:pict>
          <v:rect style="width:0;height:1.5pt" o:hralign="center" o:hrstd="t" o:hr="t"/>
        </w:pict>
      </w:r>
    </w:p>
    <w:bookmarkEnd w:id="94"/>
    <w:bookmarkEnd w:id="95"/>
    <w:bookmarkStart w:id="109" w:name="page-5-resources"/>
    <w:p>
      <w:pPr>
        <w:pStyle w:val="Heading3"/>
      </w:pPr>
      <w:r>
        <w:t xml:space="preserve">PAGE 5: Resources</w:t>
      </w:r>
    </w:p>
    <w:p>
      <w:pPr>
        <w:pStyle w:val="FirstParagraph"/>
      </w:pPr>
      <w:r>
        <w:rPr>
          <w:b/>
          <w:bCs/>
        </w:rPr>
        <w:t xml:space="preserve">URL path:</w:t>
      </w:r>
      <w:r>
        <w:t xml:space="preserve"> </w:t>
      </w:r>
      <w:r>
        <w:t xml:space="preserve">/zenturis/resources</w:t>
      </w:r>
    </w:p>
    <w:p>
      <w:r>
        <w:pict>
          <v:rect style="width:0;height:1.5pt" o:hralign="center" o:hrstd="t" o:hr="t"/>
        </w:pict>
      </w:r>
    </w:p>
    <w:bookmarkStart w:id="96" w:name="X962fa9a89673bee856fa0035c442260b8b50968"/>
    <w:p>
      <w:pPr>
        <w:pStyle w:val="Heading4"/>
      </w:pPr>
      <w:r>
        <w:t xml:space="preserve">Section 1 — Page header (text only, no image)</w:t>
      </w:r>
    </w:p>
    <w:p>
      <w:pPr>
        <w:pStyle w:val="FirstParagraph"/>
      </w:pPr>
      <w:r>
        <w:rPr>
          <w:b/>
          <w:bCs/>
        </w:rPr>
        <w:t xml:space="preserve">Heading:</w:t>
      </w:r>
      <w:r>
        <w:t xml:space="preserve"> </w:t>
      </w:r>
      <w:r>
        <w:t xml:space="preserve">Resources</w:t>
      </w:r>
    </w:p>
    <w:p>
      <w:pPr>
        <w:pStyle w:val="BodyText"/>
      </w:pPr>
      <w:r>
        <w:rPr>
          <w:b/>
          <w:bCs/>
        </w:rPr>
        <w:t xml:space="preserve">Body text:</w:t>
      </w:r>
      <w:r>
        <w:t xml:space="preserve"> </w:t>
      </w:r>
      <w:r>
        <w:t xml:space="preserve">Access prescribing guides, patient materials, and clinical data summaries to support your practice.</w:t>
      </w:r>
    </w:p>
    <w:p>
      <w:r>
        <w:pict>
          <v:rect style="width:0;height:1.5pt" o:hralign="center" o:hrstd="t" o:hr="t"/>
        </w:pict>
      </w:r>
    </w:p>
    <w:bookmarkEnd w:id="96"/>
    <w:bookmarkStart w:id="106" w:name="X85c1d144dca4a8fe50df14abfdf850177a8dfbc"/>
    <w:p>
      <w:pPr>
        <w:pStyle w:val="Heading4"/>
      </w:pPr>
      <w:r>
        <w:t xml:space="preserve">Section 2 — Three resource cards (equal columns) | light background</w:t>
      </w:r>
    </w:p>
    <w:p>
      <w:pPr>
        <w:pStyle w:val="FirstParagraph"/>
      </w:pPr>
      <w:r>
        <w:rPr>
          <w:b/>
          <w:bCs/>
        </w:rPr>
        <w:t xml:space="preserve">Card 1:</w:t>
      </w:r>
    </w:p>
    <w:p>
      <w:pPr>
        <w:pStyle w:val="BodyText"/>
      </w:pPr>
      <w:r>
        <w:drawing>
          <wp:inline>
            <wp:extent cx="3657600" cy="2731008"/>
            <wp:effectExtent b="0" l="0" r="0" t="0"/>
            <wp:docPr descr="Prescribing guide" title="" id="98" name="Picture"/>
            <a:graphic>
              <a:graphicData uri="http://schemas.openxmlformats.org/drawingml/2006/picture">
                <pic:pic>
                  <pic:nvPicPr>
                    <pic:cNvPr descr="https://zenturis-images.pages.dev/card-prescribing.jpeg" id="99" name="Picture"/>
                    <pic:cNvPicPr>
                      <a:picLocks noChangeArrowheads="1" noChangeAspect="1"/>
                    </pic:cNvPicPr>
                  </pic:nvPicPr>
                  <pic:blipFill>
                    <a:blip r:embed="rId97"/>
                    <a:stretch>
                      <a:fillRect/>
                    </a:stretch>
                  </pic:blipFill>
                  <pic:spPr bwMode="auto">
                    <a:xfrm>
                      <a:off x="0" y="0"/>
                      <a:ext cx="3657600" cy="2731008"/>
                    </a:xfrm>
                    <a:prstGeom prst="rect">
                      <a:avLst/>
                    </a:prstGeom>
                    <a:noFill/>
                    <a:ln w="9525">
                      <a:noFill/>
                      <a:headEnd/>
                      <a:tailEnd/>
                    </a:ln>
                  </pic:spPr>
                </pic:pic>
              </a:graphicData>
            </a:graphic>
          </wp:inline>
        </w:drawing>
      </w:r>
      <w:r>
        <w:t xml:space="preserve"> </w:t>
      </w:r>
      <w:r>
        <w:rPr>
          <w:rStyle w:val="VerbatimChar"/>
        </w:rPr>
        <w:t xml:space="preserve">https://zenturis-images.pages.dev/card-prescribing.jpeg</w:t>
      </w:r>
    </w:p>
    <w:p>
      <w:pPr>
        <w:pStyle w:val="BodyText"/>
      </w:pPr>
      <w:r>
        <w:rPr>
          <w:b/>
          <w:bCs/>
        </w:rPr>
        <w:t xml:space="preserve">Card heading:</w:t>
      </w:r>
      <w:r>
        <w:t xml:space="preserve"> </w:t>
      </w:r>
      <w:r>
        <w:t xml:space="preserve">Prescribing guide</w:t>
      </w:r>
    </w:p>
    <w:p>
      <w:pPr>
        <w:pStyle w:val="BodyText"/>
      </w:pPr>
      <w:r>
        <w:rPr>
          <w:b/>
          <w:bCs/>
        </w:rPr>
        <w:t xml:space="preserve">Card body:</w:t>
      </w:r>
      <w:r>
        <w:t xml:space="preserve"> </w:t>
      </w:r>
      <w:r>
        <w:t xml:space="preserve">A concise guide covering indication, dosing, contraindications, monitoring requirements, and key safety information for Zenturis. Designed for quick reference in clinical practice.</w:t>
      </w:r>
    </w:p>
    <w:p>
      <w:pPr>
        <w:pStyle w:val="BodyText"/>
      </w:pPr>
      <w:r>
        <w:rPr>
          <w:b/>
          <w:bCs/>
        </w:rPr>
        <w:t xml:space="preserve">Card link:</w:t>
      </w:r>
      <w:r>
        <w:t xml:space="preserve"> </w:t>
      </w:r>
      <w:r>
        <w:t xml:space="preserve">Download prescribing guide → /zenturis/resources</w:t>
      </w:r>
    </w:p>
    <w:p>
      <w:r>
        <w:pict>
          <v:rect style="width:0;height:1.5pt" o:hralign="center" o:hrstd="t" o:hr="t"/>
        </w:pict>
      </w:r>
    </w:p>
    <w:p>
      <w:pPr>
        <w:pStyle w:val="FirstParagraph"/>
      </w:pPr>
      <w:r>
        <w:rPr>
          <w:b/>
          <w:bCs/>
        </w:rPr>
        <w:t xml:space="preserve">Card 2:</w:t>
      </w:r>
    </w:p>
    <w:p>
      <w:pPr>
        <w:pStyle w:val="BodyText"/>
      </w:pPr>
      <w:r>
        <w:drawing>
          <wp:inline>
            <wp:extent cx="3657600" cy="2731008"/>
            <wp:effectExtent b="0" l="0" r="0" t="0"/>
            <wp:docPr descr="Patient guide" title="" id="101" name="Picture"/>
            <a:graphic>
              <a:graphicData uri="http://schemas.openxmlformats.org/drawingml/2006/picture">
                <pic:pic>
                  <pic:nvPicPr>
                    <pic:cNvPr descr="https://zenturis-images.pages.dev/card-patient-guide.jpeg" id="102" name="Picture"/>
                    <pic:cNvPicPr>
                      <a:picLocks noChangeArrowheads="1" noChangeAspect="1"/>
                    </pic:cNvPicPr>
                  </pic:nvPicPr>
                  <pic:blipFill>
                    <a:blip r:embed="rId100"/>
                    <a:stretch>
                      <a:fillRect/>
                    </a:stretch>
                  </pic:blipFill>
                  <pic:spPr bwMode="auto">
                    <a:xfrm>
                      <a:off x="0" y="0"/>
                      <a:ext cx="3657600" cy="2731008"/>
                    </a:xfrm>
                    <a:prstGeom prst="rect">
                      <a:avLst/>
                    </a:prstGeom>
                    <a:noFill/>
                    <a:ln w="9525">
                      <a:noFill/>
                      <a:headEnd/>
                      <a:tailEnd/>
                    </a:ln>
                  </pic:spPr>
                </pic:pic>
              </a:graphicData>
            </a:graphic>
          </wp:inline>
        </w:drawing>
      </w:r>
      <w:r>
        <w:t xml:space="preserve"> </w:t>
      </w:r>
      <w:r>
        <w:rPr>
          <w:rStyle w:val="VerbatimChar"/>
        </w:rPr>
        <w:t xml:space="preserve">https://zenturis-images.pages.dev/card-patient-guide.jpeg</w:t>
      </w:r>
    </w:p>
    <w:p>
      <w:pPr>
        <w:pStyle w:val="BodyText"/>
      </w:pPr>
      <w:r>
        <w:rPr>
          <w:b/>
          <w:bCs/>
        </w:rPr>
        <w:t xml:space="preserve">Card heading:</w:t>
      </w:r>
      <w:r>
        <w:t xml:space="preserve"> </w:t>
      </w:r>
      <w:r>
        <w:t xml:space="preserve">Patient guide</w:t>
      </w:r>
    </w:p>
    <w:p>
      <w:pPr>
        <w:pStyle w:val="BodyText"/>
      </w:pPr>
      <w:r>
        <w:rPr>
          <w:b/>
          <w:bCs/>
        </w:rPr>
        <w:t xml:space="preserve">Card body:</w:t>
      </w:r>
      <w:r>
        <w:t xml:space="preserve"> </w:t>
      </w:r>
      <w:r>
        <w:t xml:space="preserve">A patient-friendly guide explaining how to take Zenturis, what to expect during the first weeks of treatment, and when to seek medical advice. Available to share during consultations.</w:t>
      </w:r>
    </w:p>
    <w:p>
      <w:pPr>
        <w:pStyle w:val="BodyText"/>
      </w:pPr>
      <w:r>
        <w:rPr>
          <w:b/>
          <w:bCs/>
        </w:rPr>
        <w:t xml:space="preserve">Card link:</w:t>
      </w:r>
      <w:r>
        <w:t xml:space="preserve"> </w:t>
      </w:r>
      <w:r>
        <w:t xml:space="preserve">Download patient guide → /zenturis/resources</w:t>
      </w:r>
    </w:p>
    <w:p>
      <w:r>
        <w:pict>
          <v:rect style="width:0;height:1.5pt" o:hralign="center" o:hrstd="t" o:hr="t"/>
        </w:pict>
      </w:r>
    </w:p>
    <w:p>
      <w:pPr>
        <w:pStyle w:val="FirstParagraph"/>
      </w:pPr>
      <w:r>
        <w:rPr>
          <w:b/>
          <w:bCs/>
        </w:rPr>
        <w:t xml:space="preserve">Card 3:</w:t>
      </w:r>
    </w:p>
    <w:p>
      <w:pPr>
        <w:pStyle w:val="BodyText"/>
      </w:pPr>
      <w:r>
        <w:drawing>
          <wp:inline>
            <wp:extent cx="3657600" cy="2731008"/>
            <wp:effectExtent b="0" l="0" r="0" t="0"/>
            <wp:docPr descr="Clinical data summary" title="" id="104" name="Picture"/>
            <a:graphic>
              <a:graphicData uri="http://schemas.openxmlformats.org/drawingml/2006/picture">
                <pic:pic>
                  <pic:nvPicPr>
                    <pic:cNvPr descr="https://zenturis-images.pages.dev/card-clinical-data.jpeg" id="105" name="Picture"/>
                    <pic:cNvPicPr>
                      <a:picLocks noChangeArrowheads="1" noChangeAspect="1"/>
                    </pic:cNvPicPr>
                  </pic:nvPicPr>
                  <pic:blipFill>
                    <a:blip r:embed="rId103"/>
                    <a:stretch>
                      <a:fillRect/>
                    </a:stretch>
                  </pic:blipFill>
                  <pic:spPr bwMode="auto">
                    <a:xfrm>
                      <a:off x="0" y="0"/>
                      <a:ext cx="3657600" cy="2731008"/>
                    </a:xfrm>
                    <a:prstGeom prst="rect">
                      <a:avLst/>
                    </a:prstGeom>
                    <a:noFill/>
                    <a:ln w="9525">
                      <a:noFill/>
                      <a:headEnd/>
                      <a:tailEnd/>
                    </a:ln>
                  </pic:spPr>
                </pic:pic>
              </a:graphicData>
            </a:graphic>
          </wp:inline>
        </w:drawing>
      </w:r>
      <w:r>
        <w:t xml:space="preserve"> </w:t>
      </w:r>
      <w:r>
        <w:rPr>
          <w:rStyle w:val="VerbatimChar"/>
        </w:rPr>
        <w:t xml:space="preserve">https://zenturis-images.pages.dev/card-clinical-data.jpeg</w:t>
      </w:r>
    </w:p>
    <w:p>
      <w:pPr>
        <w:pStyle w:val="BodyText"/>
      </w:pPr>
      <w:r>
        <w:rPr>
          <w:b/>
          <w:bCs/>
        </w:rPr>
        <w:t xml:space="preserve">Card heading:</w:t>
      </w:r>
      <w:r>
        <w:t xml:space="preserve"> </w:t>
      </w:r>
      <w:r>
        <w:t xml:space="preserve">ZENITH clinical data summary</w:t>
      </w:r>
    </w:p>
    <w:p>
      <w:pPr>
        <w:pStyle w:val="BodyText"/>
      </w:pPr>
      <w:r>
        <w:rPr>
          <w:b/>
          <w:bCs/>
        </w:rPr>
        <w:t xml:space="preserve">Card body:</w:t>
      </w:r>
      <w:r>
        <w:t xml:space="preserve"> </w:t>
      </w:r>
      <w:r>
        <w:t xml:space="preserve">A comprehensive summary of key efficacy and safety data from the ZENITH-1, ZENITH-2, and ZENITH-3 Phase III clinical trials, including primary and secondary endpoint results.</w:t>
      </w:r>
    </w:p>
    <w:p>
      <w:pPr>
        <w:pStyle w:val="BodyText"/>
      </w:pPr>
      <w:r>
        <w:rPr>
          <w:b/>
          <w:bCs/>
        </w:rPr>
        <w:t xml:space="preserve">Card link:</w:t>
      </w:r>
      <w:r>
        <w:t xml:space="preserve"> </w:t>
      </w:r>
      <w:r>
        <w:t xml:space="preserve">Download clinical data summary → /zenturis/resources</w:t>
      </w:r>
    </w:p>
    <w:p>
      <w:r>
        <w:pict>
          <v:rect style="width:0;height:1.5pt" o:hralign="center" o:hrstd="t" o:hr="t"/>
        </w:pict>
      </w:r>
    </w:p>
    <w:bookmarkEnd w:id="106"/>
    <w:bookmarkStart w:id="107" w:name="section-3-prescribing-information-footer"/>
    <w:p>
      <w:pPr>
        <w:pStyle w:val="Heading4"/>
      </w:pPr>
      <w:r>
        <w:t xml:space="preserve">Section 3 — Prescribing information footer</w:t>
      </w:r>
    </w:p>
    <w:p>
      <w:pPr>
        <w:pStyle w:val="FirstParagraph"/>
      </w:pPr>
      <w:r>
        <w:t xml:space="preserve">Expandable sections for: Prescribing Information | Adverse Event Reporting | References</w:t>
      </w:r>
      <w:r>
        <w:t xml:space="preserve"> </w:t>
      </w:r>
      <w:r>
        <w:rPr>
          <w:i/>
          <w:iCs/>
        </w:rPr>
        <w:t xml:space="preserve">(Use approved text from sections 5, 6, and 7 above)</w:t>
      </w:r>
    </w:p>
    <w:p>
      <w:r>
        <w:pict>
          <v:rect style="width:0;height:1.5pt" o:hralign="center" o:hrstd="t" o:hr="t"/>
        </w:pict>
      </w:r>
    </w:p>
    <w:bookmarkEnd w:id="107"/>
    <w:bookmarkStart w:id="108" w:name="page-metadata-4"/>
    <w:p>
      <w:pPr>
        <w:pStyle w:val="Heading4"/>
      </w:pPr>
      <w:r>
        <w:t xml:space="preserve">Page metadata</w:t>
      </w:r>
    </w:p>
    <w:p>
      <w:pPr>
        <w:pStyle w:val="Compact"/>
        <w:numPr>
          <w:ilvl w:val="0"/>
          <w:numId w:val="1014"/>
        </w:numPr>
      </w:pPr>
      <w:r>
        <w:rPr>
          <w:b/>
          <w:bCs/>
        </w:rPr>
        <w:t xml:space="preserve">Title:</w:t>
      </w:r>
      <w:r>
        <w:t xml:space="preserve"> </w:t>
      </w:r>
      <w:r>
        <w:t xml:space="preserve">Resources | Zenturis (zenturigliptin) | Prescribing &amp; Patient Guides | AstraZeneca UK</w:t>
      </w:r>
    </w:p>
    <w:p>
      <w:pPr>
        <w:pStyle w:val="Compact"/>
        <w:numPr>
          <w:ilvl w:val="0"/>
          <w:numId w:val="1014"/>
        </w:numPr>
      </w:pPr>
      <w:r>
        <w:rPr>
          <w:b/>
          <w:bCs/>
        </w:rPr>
        <w:t xml:space="preserve">Description:</w:t>
      </w:r>
      <w:r>
        <w:t xml:space="preserve"> </w:t>
      </w:r>
      <w:r>
        <w:t xml:space="preserve">Download prescribing guides, patient materials, and clinical data summaries for Zenturis (zenturigliptin) to support clinical decision-making in type 2 diabetes management.</w:t>
      </w:r>
    </w:p>
    <w:p>
      <w:r>
        <w:pict>
          <v:rect style="width:0;height:1.5pt" o:hralign="center" o:hrstd="t" o:hr="t"/>
        </w:pict>
      </w:r>
    </w:p>
    <w:bookmarkEnd w:id="108"/>
    <w:bookmarkEnd w:id="109"/>
    <w:bookmarkEnd w:id="110"/>
    <w:bookmarkStart w:id="111" w:name="footer-content"/>
    <w:p>
      <w:pPr>
        <w:pStyle w:val="Heading2"/>
      </w:pPr>
      <w:r>
        <w:t xml:space="preserve">10. Footer Content</w:t>
      </w:r>
    </w:p>
    <w:p>
      <w:pPr>
        <w:pStyle w:val="FirstParagraph"/>
      </w:pPr>
      <w:r>
        <w:rPr>
          <w:b/>
          <w:bCs/>
        </w:rPr>
        <w:t xml:space="preserve">Row 1 — Brand:</w:t>
      </w:r>
      <w:r>
        <w:t xml:space="preserve"> </w:t>
      </w:r>
      <w:r>
        <w:t xml:space="preserve">AstraZeneca logo | GB-82917 | DOP: March 2026 | © 2026 AstraZeneca. All rights reserved.</w:t>
      </w:r>
    </w:p>
    <w:p>
      <w:pPr>
        <w:pStyle w:val="BodyText"/>
      </w:pPr>
      <w:r>
        <w:rPr>
          <w:b/>
          <w:bCs/>
        </w:rPr>
        <w:t xml:space="preserve">Row 2 — Site links:</w:t>
      </w:r>
      <w:r>
        <w:t xml:space="preserve"> </w:t>
      </w:r>
      <w:r>
        <w:t xml:space="preserve">Efficacy | Safety | Dosing | Resources</w:t>
      </w:r>
    </w:p>
    <w:p>
      <w:pPr>
        <w:pStyle w:val="BodyText"/>
      </w:pPr>
      <w:r>
        <w:rPr>
          <w:b/>
          <w:bCs/>
        </w:rPr>
        <w:t xml:space="preserve">Row 3 — Regulatory links:</w:t>
      </w:r>
      <w:r>
        <w:t xml:space="preserve"> </w:t>
      </w:r>
      <w:r>
        <w:t xml:space="preserve">Report Adverse Event (https://yellowcard.mhra.gov.uk/) | Medical Information (https://contactazmedical.astrazeneca.com/) | Privacy Policy (https://www.astrazeneca.co.uk/our-company/privacy-notice.html) | Terms of Use (https://www.astrazeneca.co.uk/our-company/terms-of-use.html) | Accessibility (https://www.astrazeneca.co.uk/accessibility.html)</w:t>
      </w:r>
    </w:p>
    <w:p>
      <w:pPr>
        <w:pStyle w:val="BodyText"/>
      </w:pPr>
      <w:r>
        <w:rPr>
          <w:b/>
          <w:bCs/>
        </w:rPr>
        <w:t xml:space="preserve">Row 4 — Date:</w:t>
      </w:r>
      <w:r>
        <w:t xml:space="preserve"> </w:t>
      </w:r>
      <w:r>
        <w:t xml:space="preserve">Date of Preparation: March 2026</w:t>
      </w:r>
    </w:p>
    <w:p>
      <w:r>
        <w:pict>
          <v:rect style="width:0;height:1.5pt" o:hralign="center" o:hrstd="t" o:hr="t"/>
        </w:pict>
      </w:r>
    </w:p>
    <w:bookmarkEnd w:id="111"/>
    <w:bookmarkStart w:id="112" w:name="image-assets"/>
    <w:p>
      <w:pPr>
        <w:pStyle w:val="Heading2"/>
      </w:pPr>
      <w:r>
        <w:t xml:space="preserve">11. Image Assets</w:t>
      </w:r>
    </w:p>
    <w:p>
      <w:pPr>
        <w:pStyle w:val="FirstParagraph"/>
      </w:pPr>
      <w:r>
        <w:t xml:space="preserve">All images have been generated and are available on CDN at</w:t>
      </w:r>
      <w:r>
        <w:t xml:space="preserve"> </w:t>
      </w:r>
      <w:r>
        <w:rPr>
          <w:rStyle w:val="VerbatimChar"/>
        </w:rPr>
        <w:t xml:space="preserve">https://zenturis-images.pages.dev/</w:t>
      </w:r>
      <w: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Filename</w:t>
            </w:r>
          </w:p>
        </w:tc>
        <w:tc>
          <w:tcPr/>
          <w:p>
            <w:pPr>
              <w:pStyle w:val="Compact"/>
            </w:pPr>
            <w:r>
              <w:t xml:space="preserve">Dimensions</w:t>
            </w:r>
          </w:p>
        </w:tc>
        <w:tc>
          <w:tcPr/>
          <w:p>
            <w:pPr>
              <w:pStyle w:val="Compact"/>
            </w:pPr>
            <w:r>
              <w:t xml:space="preserve">CDN URL</w:t>
            </w:r>
          </w:p>
        </w:tc>
        <w:tc>
          <w:tcPr/>
          <w:p>
            <w:pPr>
              <w:pStyle w:val="Compact"/>
            </w:pPr>
            <w:r>
              <w:t xml:space="preserve">Used on</w:t>
            </w:r>
          </w:p>
        </w:tc>
      </w:tr>
      <w:tr>
        <w:tc>
          <w:tcPr/>
          <w:p>
            <w:pPr>
              <w:pStyle w:val="Compact"/>
            </w:pPr>
            <w:r>
              <w:t xml:space="preserve">1</w:t>
            </w:r>
          </w:p>
        </w:tc>
        <w:tc>
          <w:tcPr/>
          <w:p>
            <w:pPr>
              <w:pStyle w:val="Compact"/>
            </w:pPr>
            <w:r>
              <w:t xml:space="preserve">hero-home.jpeg</w:t>
            </w:r>
          </w:p>
        </w:tc>
        <w:tc>
          <w:tcPr/>
          <w:p>
            <w:pPr>
              <w:pStyle w:val="Compact"/>
            </w:pPr>
            <w:r>
              <w:t xml:space="preserve">1440×810</w:t>
            </w:r>
          </w:p>
        </w:tc>
        <w:tc>
          <w:tcPr/>
          <w:p>
            <w:pPr>
              <w:pStyle w:val="Compact"/>
            </w:pPr>
            <w:r>
              <w:t xml:space="preserve">https://zenturis-images.pages.dev/hero-home.jpeg</w:t>
            </w:r>
          </w:p>
        </w:tc>
        <w:tc>
          <w:tcPr/>
          <w:p>
            <w:pPr>
              <w:pStyle w:val="Compact"/>
            </w:pPr>
            <w:r>
              <w:t xml:space="preserve">Home — hero</w:t>
            </w:r>
          </w:p>
        </w:tc>
      </w:tr>
      <w:tr>
        <w:tc>
          <w:tcPr/>
          <w:p>
            <w:pPr>
              <w:pStyle w:val="Compact"/>
            </w:pPr>
            <w:r>
              <w:t xml:space="preserve">2</w:t>
            </w:r>
          </w:p>
        </w:tc>
        <w:tc>
          <w:tcPr/>
          <w:p>
            <w:pPr>
              <w:pStyle w:val="Compact"/>
            </w:pPr>
            <w:r>
              <w:t xml:space="preserve">hero-efficacy.jpeg</w:t>
            </w:r>
          </w:p>
        </w:tc>
        <w:tc>
          <w:tcPr/>
          <w:p>
            <w:pPr>
              <w:pStyle w:val="Compact"/>
            </w:pPr>
            <w:r>
              <w:t xml:space="preserve">1440×810</w:t>
            </w:r>
          </w:p>
        </w:tc>
        <w:tc>
          <w:tcPr/>
          <w:p>
            <w:pPr>
              <w:pStyle w:val="Compact"/>
            </w:pPr>
            <w:r>
              <w:t xml:space="preserve">https://zenturis-images.pages.dev/hero-efficacy.jpeg</w:t>
            </w:r>
          </w:p>
        </w:tc>
        <w:tc>
          <w:tcPr/>
          <w:p>
            <w:pPr>
              <w:pStyle w:val="Compact"/>
            </w:pPr>
            <w:r>
              <w:t xml:space="preserve">Efficacy — hero</w:t>
            </w:r>
          </w:p>
        </w:tc>
      </w:tr>
      <w:tr>
        <w:tc>
          <w:tcPr/>
          <w:p>
            <w:pPr>
              <w:pStyle w:val="Compact"/>
            </w:pPr>
            <w:r>
              <w:t xml:space="preserve">3</w:t>
            </w:r>
          </w:p>
        </w:tc>
        <w:tc>
          <w:tcPr/>
          <w:p>
            <w:pPr>
              <w:pStyle w:val="Compact"/>
            </w:pPr>
            <w:r>
              <w:t xml:space="preserve">card-efficacy.jpeg</w:t>
            </w:r>
          </w:p>
        </w:tc>
        <w:tc>
          <w:tcPr/>
          <w:p>
            <w:pPr>
              <w:pStyle w:val="Compact"/>
            </w:pPr>
            <w:r>
              <w:t xml:space="preserve">800×600</w:t>
            </w:r>
          </w:p>
        </w:tc>
        <w:tc>
          <w:tcPr/>
          <w:p>
            <w:pPr>
              <w:pStyle w:val="Compact"/>
            </w:pPr>
            <w:r>
              <w:t xml:space="preserve">https://zenturis-images.pages.dev/card-efficacy.jpeg</w:t>
            </w:r>
          </w:p>
        </w:tc>
        <w:tc>
          <w:tcPr/>
          <w:p>
            <w:pPr>
              <w:pStyle w:val="Compact"/>
            </w:pPr>
            <w:r>
              <w:t xml:space="preserve">Home — benefit card</w:t>
            </w:r>
          </w:p>
        </w:tc>
      </w:tr>
      <w:tr>
        <w:tc>
          <w:tcPr/>
          <w:p>
            <w:pPr>
              <w:pStyle w:val="Compact"/>
            </w:pPr>
            <w:r>
              <w:t xml:space="preserve">4</w:t>
            </w:r>
          </w:p>
        </w:tc>
        <w:tc>
          <w:tcPr/>
          <w:p>
            <w:pPr>
              <w:pStyle w:val="Compact"/>
            </w:pPr>
            <w:r>
              <w:t xml:space="preserve">card-safety.jpeg</w:t>
            </w:r>
          </w:p>
        </w:tc>
        <w:tc>
          <w:tcPr/>
          <w:p>
            <w:pPr>
              <w:pStyle w:val="Compact"/>
            </w:pPr>
            <w:r>
              <w:t xml:space="preserve">800×600</w:t>
            </w:r>
          </w:p>
        </w:tc>
        <w:tc>
          <w:tcPr/>
          <w:p>
            <w:pPr>
              <w:pStyle w:val="Compact"/>
            </w:pPr>
            <w:r>
              <w:t xml:space="preserve">https://zenturis-images.pages.dev/card-safety.jpeg</w:t>
            </w:r>
          </w:p>
        </w:tc>
        <w:tc>
          <w:tcPr/>
          <w:p>
            <w:pPr>
              <w:pStyle w:val="Compact"/>
            </w:pPr>
            <w:r>
              <w:t xml:space="preserve">Home — benefit card</w:t>
            </w:r>
          </w:p>
        </w:tc>
      </w:tr>
      <w:tr>
        <w:tc>
          <w:tcPr/>
          <w:p>
            <w:pPr>
              <w:pStyle w:val="Compact"/>
            </w:pPr>
            <w:r>
              <w:t xml:space="preserve">5</w:t>
            </w:r>
          </w:p>
        </w:tc>
        <w:tc>
          <w:tcPr/>
          <w:p>
            <w:pPr>
              <w:pStyle w:val="Compact"/>
            </w:pPr>
            <w:r>
              <w:t xml:space="preserve">card-dosing.jpeg</w:t>
            </w:r>
          </w:p>
        </w:tc>
        <w:tc>
          <w:tcPr/>
          <w:p>
            <w:pPr>
              <w:pStyle w:val="Compact"/>
            </w:pPr>
            <w:r>
              <w:t xml:space="preserve">800×600</w:t>
            </w:r>
          </w:p>
        </w:tc>
        <w:tc>
          <w:tcPr/>
          <w:p>
            <w:pPr>
              <w:pStyle w:val="Compact"/>
            </w:pPr>
            <w:r>
              <w:t xml:space="preserve">https://zenturis-images.pages.dev/card-dosing.jpeg</w:t>
            </w:r>
          </w:p>
        </w:tc>
        <w:tc>
          <w:tcPr/>
          <w:p>
            <w:pPr>
              <w:pStyle w:val="Compact"/>
            </w:pPr>
            <w:r>
              <w:t xml:space="preserve">Home — benefit card</w:t>
            </w:r>
          </w:p>
        </w:tc>
      </w:tr>
      <w:tr>
        <w:tc>
          <w:tcPr/>
          <w:p>
            <w:pPr>
              <w:pStyle w:val="Compact"/>
            </w:pPr>
            <w:r>
              <w:t xml:space="preserve">6</w:t>
            </w:r>
          </w:p>
        </w:tc>
        <w:tc>
          <w:tcPr/>
          <w:p>
            <w:pPr>
              <w:pStyle w:val="Compact"/>
            </w:pPr>
            <w:r>
              <w:t xml:space="preserve">columns-moa.jpeg</w:t>
            </w:r>
          </w:p>
        </w:tc>
        <w:tc>
          <w:tcPr/>
          <w:p>
            <w:pPr>
              <w:pStyle w:val="Compact"/>
            </w:pPr>
            <w:r>
              <w:t xml:space="preserve">800×600</w:t>
            </w:r>
          </w:p>
        </w:tc>
        <w:tc>
          <w:tcPr/>
          <w:p>
            <w:pPr>
              <w:pStyle w:val="Compact"/>
            </w:pPr>
            <w:r>
              <w:t xml:space="preserve">https://zenturis-images.pages.dev/columns-moa.jpeg</w:t>
            </w:r>
          </w:p>
        </w:tc>
        <w:tc>
          <w:tcPr/>
          <w:p>
            <w:pPr>
              <w:pStyle w:val="Compact"/>
            </w:pPr>
            <w:r>
              <w:t xml:space="preserve">Home — MoA teaser</w:t>
            </w:r>
          </w:p>
        </w:tc>
      </w:tr>
      <w:tr>
        <w:tc>
          <w:tcPr/>
          <w:p>
            <w:pPr>
              <w:pStyle w:val="Compact"/>
            </w:pPr>
            <w:r>
              <w:t xml:space="preserve">7</w:t>
            </w:r>
          </w:p>
        </w:tc>
        <w:tc>
          <w:tcPr/>
          <w:p>
            <w:pPr>
              <w:pStyle w:val="Compact"/>
            </w:pPr>
            <w:r>
              <w:t xml:space="preserve">tab-zenith1.jpeg</w:t>
            </w:r>
          </w:p>
        </w:tc>
        <w:tc>
          <w:tcPr/>
          <w:p>
            <w:pPr>
              <w:pStyle w:val="Compact"/>
            </w:pPr>
            <w:r>
              <w:t xml:space="preserve">800×600</w:t>
            </w:r>
          </w:p>
        </w:tc>
        <w:tc>
          <w:tcPr/>
          <w:p>
            <w:pPr>
              <w:pStyle w:val="Compact"/>
            </w:pPr>
            <w:r>
              <w:t xml:space="preserve">https://zenturis-images.pages.dev/tab-zenith1.jpeg</w:t>
            </w:r>
          </w:p>
        </w:tc>
        <w:tc>
          <w:tcPr/>
          <w:p>
            <w:pPr>
              <w:pStyle w:val="Compact"/>
            </w:pPr>
            <w:r>
              <w:t xml:space="preserve">Efficacy — ZENITH-1 tab</w:t>
            </w:r>
          </w:p>
        </w:tc>
      </w:tr>
      <w:tr>
        <w:tc>
          <w:tcPr/>
          <w:p>
            <w:pPr>
              <w:pStyle w:val="Compact"/>
            </w:pPr>
            <w:r>
              <w:t xml:space="preserve">8</w:t>
            </w:r>
          </w:p>
        </w:tc>
        <w:tc>
          <w:tcPr/>
          <w:p>
            <w:pPr>
              <w:pStyle w:val="Compact"/>
            </w:pPr>
            <w:r>
              <w:t xml:space="preserve">tab-zenith2.jpeg</w:t>
            </w:r>
          </w:p>
        </w:tc>
        <w:tc>
          <w:tcPr/>
          <w:p>
            <w:pPr>
              <w:pStyle w:val="Compact"/>
            </w:pPr>
            <w:r>
              <w:t xml:space="preserve">800×600</w:t>
            </w:r>
          </w:p>
        </w:tc>
        <w:tc>
          <w:tcPr/>
          <w:p>
            <w:pPr>
              <w:pStyle w:val="Compact"/>
            </w:pPr>
            <w:r>
              <w:t xml:space="preserve">https://zenturis-images.pages.dev/tab-zenith2.jpeg</w:t>
            </w:r>
          </w:p>
        </w:tc>
        <w:tc>
          <w:tcPr/>
          <w:p>
            <w:pPr>
              <w:pStyle w:val="Compact"/>
            </w:pPr>
            <w:r>
              <w:t xml:space="preserve">Efficacy — ZENITH-2 tab</w:t>
            </w:r>
          </w:p>
        </w:tc>
      </w:tr>
      <w:tr>
        <w:tc>
          <w:tcPr/>
          <w:p>
            <w:pPr>
              <w:pStyle w:val="Compact"/>
            </w:pPr>
            <w:r>
              <w:t xml:space="preserve">9</w:t>
            </w:r>
          </w:p>
        </w:tc>
        <w:tc>
          <w:tcPr/>
          <w:p>
            <w:pPr>
              <w:pStyle w:val="Compact"/>
            </w:pPr>
            <w:r>
              <w:t xml:space="preserve">columns-cv.jpeg</w:t>
            </w:r>
          </w:p>
        </w:tc>
        <w:tc>
          <w:tcPr/>
          <w:p>
            <w:pPr>
              <w:pStyle w:val="Compact"/>
            </w:pPr>
            <w:r>
              <w:t xml:space="preserve">800×600</w:t>
            </w:r>
          </w:p>
        </w:tc>
        <w:tc>
          <w:tcPr/>
          <w:p>
            <w:pPr>
              <w:pStyle w:val="Compact"/>
            </w:pPr>
            <w:r>
              <w:t xml:space="preserve">https://zenturis-images.pages.dev/columns-cv.jpeg</w:t>
            </w:r>
          </w:p>
        </w:tc>
        <w:tc>
          <w:tcPr/>
          <w:p>
            <w:pPr>
              <w:pStyle w:val="Compact"/>
            </w:pPr>
            <w:r>
              <w:t xml:space="preserve">Efficacy — CV outcomes</w:t>
            </w:r>
          </w:p>
        </w:tc>
      </w:tr>
      <w:tr>
        <w:tc>
          <w:tcPr/>
          <w:p>
            <w:pPr>
              <w:pStyle w:val="Compact"/>
            </w:pPr>
            <w:r>
              <w:t xml:space="preserve">10</w:t>
            </w:r>
          </w:p>
        </w:tc>
        <w:tc>
          <w:tcPr/>
          <w:p>
            <w:pPr>
              <w:pStyle w:val="Compact"/>
            </w:pPr>
            <w:r>
              <w:t xml:space="preserve">card-gi.jpeg</w:t>
            </w:r>
          </w:p>
        </w:tc>
        <w:tc>
          <w:tcPr/>
          <w:p>
            <w:pPr>
              <w:pStyle w:val="Compact"/>
            </w:pPr>
            <w:r>
              <w:t xml:space="preserve">800×600</w:t>
            </w:r>
          </w:p>
        </w:tc>
        <w:tc>
          <w:tcPr/>
          <w:p>
            <w:pPr>
              <w:pStyle w:val="Compact"/>
            </w:pPr>
            <w:r>
              <w:t xml:space="preserve">https://zenturis-images.pages.dev/card-gi.jpeg</w:t>
            </w:r>
          </w:p>
        </w:tc>
        <w:tc>
          <w:tcPr/>
          <w:p>
            <w:pPr>
              <w:pStyle w:val="Compact"/>
            </w:pPr>
            <w:r>
              <w:t xml:space="preserve">Safety — GI card</w:t>
            </w:r>
          </w:p>
        </w:tc>
      </w:tr>
      <w:tr>
        <w:tc>
          <w:tcPr/>
          <w:p>
            <w:pPr>
              <w:pStyle w:val="Compact"/>
            </w:pPr>
            <w:r>
              <w:t xml:space="preserve">11</w:t>
            </w:r>
          </w:p>
        </w:tc>
        <w:tc>
          <w:tcPr/>
          <w:p>
            <w:pPr>
              <w:pStyle w:val="Compact"/>
            </w:pPr>
            <w:r>
              <w:t xml:space="preserve">card-hepatic.jpeg</w:t>
            </w:r>
          </w:p>
        </w:tc>
        <w:tc>
          <w:tcPr/>
          <w:p>
            <w:pPr>
              <w:pStyle w:val="Compact"/>
            </w:pPr>
            <w:r>
              <w:t xml:space="preserve">800×600</w:t>
            </w:r>
          </w:p>
        </w:tc>
        <w:tc>
          <w:tcPr/>
          <w:p>
            <w:pPr>
              <w:pStyle w:val="Compact"/>
            </w:pPr>
            <w:r>
              <w:t xml:space="preserve">https://zenturis-images.pages.dev/card-hepatic.jpeg</w:t>
            </w:r>
          </w:p>
        </w:tc>
        <w:tc>
          <w:tcPr/>
          <w:p>
            <w:pPr>
              <w:pStyle w:val="Compact"/>
            </w:pPr>
            <w:r>
              <w:t xml:space="preserve">Safety — hepatic card</w:t>
            </w:r>
          </w:p>
        </w:tc>
      </w:tr>
      <w:tr>
        <w:tc>
          <w:tcPr/>
          <w:p>
            <w:pPr>
              <w:pStyle w:val="Compact"/>
            </w:pPr>
            <w:r>
              <w:t xml:space="preserve">12</w:t>
            </w:r>
          </w:p>
        </w:tc>
        <w:tc>
          <w:tcPr/>
          <w:p>
            <w:pPr>
              <w:pStyle w:val="Compact"/>
            </w:pPr>
            <w:r>
              <w:t xml:space="preserve">card-hypo.jpeg</w:t>
            </w:r>
          </w:p>
        </w:tc>
        <w:tc>
          <w:tcPr/>
          <w:p>
            <w:pPr>
              <w:pStyle w:val="Compact"/>
            </w:pPr>
            <w:r>
              <w:t xml:space="preserve">800×600</w:t>
            </w:r>
          </w:p>
        </w:tc>
        <w:tc>
          <w:tcPr/>
          <w:p>
            <w:pPr>
              <w:pStyle w:val="Compact"/>
            </w:pPr>
            <w:r>
              <w:t xml:space="preserve">https://zenturis-images.pages.dev/card-hypo.jpeg</w:t>
            </w:r>
          </w:p>
        </w:tc>
        <w:tc>
          <w:tcPr/>
          <w:p>
            <w:pPr>
              <w:pStyle w:val="Compact"/>
            </w:pPr>
            <w:r>
              <w:t xml:space="preserve">Safety — hypo card</w:t>
            </w:r>
          </w:p>
        </w:tc>
      </w:tr>
      <w:tr>
        <w:tc>
          <w:tcPr/>
          <w:p>
            <w:pPr>
              <w:pStyle w:val="Compact"/>
            </w:pPr>
            <w:r>
              <w:t xml:space="preserve">13</w:t>
            </w:r>
          </w:p>
        </w:tc>
        <w:tc>
          <w:tcPr/>
          <w:p>
            <w:pPr>
              <w:pStyle w:val="Compact"/>
            </w:pPr>
            <w:r>
              <w:t xml:space="preserve">columns-special-pops.jpeg</w:t>
            </w:r>
          </w:p>
        </w:tc>
        <w:tc>
          <w:tcPr/>
          <w:p>
            <w:pPr>
              <w:pStyle w:val="Compact"/>
            </w:pPr>
            <w:r>
              <w:t xml:space="preserve">800×600</w:t>
            </w:r>
          </w:p>
        </w:tc>
        <w:tc>
          <w:tcPr/>
          <w:p>
            <w:pPr>
              <w:pStyle w:val="Compact"/>
            </w:pPr>
            <w:r>
              <w:t xml:space="preserve">https://zenturis-images.pages.dev/columns-special-pops.jpeg</w:t>
            </w:r>
          </w:p>
        </w:tc>
        <w:tc>
          <w:tcPr/>
          <w:p>
            <w:pPr>
              <w:pStyle w:val="Compact"/>
            </w:pPr>
            <w:r>
              <w:t xml:space="preserve">Safety — special pops</w:t>
            </w:r>
          </w:p>
        </w:tc>
      </w:tr>
      <w:tr>
        <w:tc>
          <w:tcPr/>
          <w:p>
            <w:pPr>
              <w:pStyle w:val="Compact"/>
            </w:pPr>
            <w:r>
              <w:t xml:space="preserve">14</w:t>
            </w:r>
          </w:p>
        </w:tc>
        <w:tc>
          <w:tcPr/>
          <w:p>
            <w:pPr>
              <w:pStyle w:val="Compact"/>
            </w:pPr>
            <w:r>
              <w:t xml:space="preserve">columns-admin.jpeg</w:t>
            </w:r>
          </w:p>
        </w:tc>
        <w:tc>
          <w:tcPr/>
          <w:p>
            <w:pPr>
              <w:pStyle w:val="Compact"/>
            </w:pPr>
            <w:r>
              <w:t xml:space="preserve">800×600</w:t>
            </w:r>
          </w:p>
        </w:tc>
        <w:tc>
          <w:tcPr/>
          <w:p>
            <w:pPr>
              <w:pStyle w:val="Compact"/>
            </w:pPr>
            <w:r>
              <w:t xml:space="preserve">https://zenturis-images.pages.dev/columns-admin.jpeg</w:t>
            </w:r>
          </w:p>
        </w:tc>
        <w:tc>
          <w:tcPr/>
          <w:p>
            <w:pPr>
              <w:pStyle w:val="Compact"/>
            </w:pPr>
            <w:r>
              <w:t xml:space="preserve">Dosing — administration</w:t>
            </w:r>
          </w:p>
        </w:tc>
      </w:tr>
      <w:tr>
        <w:tc>
          <w:tcPr/>
          <w:p>
            <w:pPr>
              <w:pStyle w:val="Compact"/>
            </w:pPr>
            <w:r>
              <w:t xml:space="preserve">15</w:t>
            </w:r>
          </w:p>
        </w:tc>
        <w:tc>
          <w:tcPr/>
          <w:p>
            <w:pPr>
              <w:pStyle w:val="Compact"/>
            </w:pPr>
            <w:r>
              <w:t xml:space="preserve">columns-dose-adjust.jpeg</w:t>
            </w:r>
          </w:p>
        </w:tc>
        <w:tc>
          <w:tcPr/>
          <w:p>
            <w:pPr>
              <w:pStyle w:val="Compact"/>
            </w:pPr>
            <w:r>
              <w:t xml:space="preserve">800×600</w:t>
            </w:r>
          </w:p>
        </w:tc>
        <w:tc>
          <w:tcPr/>
          <w:p>
            <w:pPr>
              <w:pStyle w:val="Compact"/>
            </w:pPr>
            <w:r>
              <w:t xml:space="preserve">https://zenturis-images.pages.dev/columns-dose-adjust.jpeg</w:t>
            </w:r>
          </w:p>
        </w:tc>
        <w:tc>
          <w:tcPr/>
          <w:p>
            <w:pPr>
              <w:pStyle w:val="Compact"/>
            </w:pPr>
            <w:r>
              <w:t xml:space="preserve">Dosing — schedule</w:t>
            </w:r>
          </w:p>
        </w:tc>
      </w:tr>
      <w:tr>
        <w:tc>
          <w:tcPr/>
          <w:p>
            <w:pPr>
              <w:pStyle w:val="Compact"/>
            </w:pPr>
            <w:r>
              <w:t xml:space="preserve">16</w:t>
            </w:r>
          </w:p>
        </w:tc>
        <w:tc>
          <w:tcPr/>
          <w:p>
            <w:pPr>
              <w:pStyle w:val="Compact"/>
            </w:pPr>
            <w:r>
              <w:t xml:space="preserve">card-prescribing.jpeg</w:t>
            </w:r>
          </w:p>
        </w:tc>
        <w:tc>
          <w:tcPr/>
          <w:p>
            <w:pPr>
              <w:pStyle w:val="Compact"/>
            </w:pPr>
            <w:r>
              <w:t xml:space="preserve">800×600</w:t>
            </w:r>
          </w:p>
        </w:tc>
        <w:tc>
          <w:tcPr/>
          <w:p>
            <w:pPr>
              <w:pStyle w:val="Compact"/>
            </w:pPr>
            <w:r>
              <w:t xml:space="preserve">https://zenturis-images.pages.dev/card-prescribing.jpeg</w:t>
            </w:r>
          </w:p>
        </w:tc>
        <w:tc>
          <w:tcPr/>
          <w:p>
            <w:pPr>
              <w:pStyle w:val="Compact"/>
            </w:pPr>
            <w:r>
              <w:t xml:space="preserve">Resources — prescribing</w:t>
            </w:r>
          </w:p>
        </w:tc>
      </w:tr>
      <w:tr>
        <w:tc>
          <w:tcPr/>
          <w:p>
            <w:pPr>
              <w:pStyle w:val="Compact"/>
            </w:pPr>
            <w:r>
              <w:t xml:space="preserve">17</w:t>
            </w:r>
          </w:p>
        </w:tc>
        <w:tc>
          <w:tcPr/>
          <w:p>
            <w:pPr>
              <w:pStyle w:val="Compact"/>
            </w:pPr>
            <w:r>
              <w:t xml:space="preserve">card-patient-guide.jpeg</w:t>
            </w:r>
          </w:p>
        </w:tc>
        <w:tc>
          <w:tcPr/>
          <w:p>
            <w:pPr>
              <w:pStyle w:val="Compact"/>
            </w:pPr>
            <w:r>
              <w:t xml:space="preserve">800×600</w:t>
            </w:r>
          </w:p>
        </w:tc>
        <w:tc>
          <w:tcPr/>
          <w:p>
            <w:pPr>
              <w:pStyle w:val="Compact"/>
            </w:pPr>
            <w:r>
              <w:t xml:space="preserve">https://zenturis-images.pages.dev/card-patient-guide.jpeg</w:t>
            </w:r>
          </w:p>
        </w:tc>
        <w:tc>
          <w:tcPr/>
          <w:p>
            <w:pPr>
              <w:pStyle w:val="Compact"/>
            </w:pPr>
            <w:r>
              <w:t xml:space="preserve">Resources — patient guide</w:t>
            </w:r>
          </w:p>
        </w:tc>
      </w:tr>
      <w:tr>
        <w:tc>
          <w:tcPr/>
          <w:p>
            <w:pPr>
              <w:pStyle w:val="Compact"/>
            </w:pPr>
            <w:r>
              <w:t xml:space="preserve">18</w:t>
            </w:r>
          </w:p>
        </w:tc>
        <w:tc>
          <w:tcPr/>
          <w:p>
            <w:pPr>
              <w:pStyle w:val="Compact"/>
            </w:pPr>
            <w:r>
              <w:t xml:space="preserve">card-clinical-data.jpeg</w:t>
            </w:r>
          </w:p>
        </w:tc>
        <w:tc>
          <w:tcPr/>
          <w:p>
            <w:pPr>
              <w:pStyle w:val="Compact"/>
            </w:pPr>
            <w:r>
              <w:t xml:space="preserve">800×600</w:t>
            </w:r>
          </w:p>
        </w:tc>
        <w:tc>
          <w:tcPr/>
          <w:p>
            <w:pPr>
              <w:pStyle w:val="Compact"/>
            </w:pPr>
            <w:r>
              <w:t xml:space="preserve">https://zenturis-images.pages.dev/card-clinical-data.jpeg</w:t>
            </w:r>
          </w:p>
        </w:tc>
        <w:tc>
          <w:tcPr/>
          <w:p>
            <w:pPr>
              <w:pStyle w:val="Compact"/>
            </w:pPr>
            <w:r>
              <w:t xml:space="preserve">Resources — clinical data</w:t>
            </w:r>
          </w:p>
        </w:tc>
      </w:tr>
    </w:tbl>
    <w:p>
      <w:pPr>
        <w:pStyle w:val="BodyText"/>
      </w:pPr>
      <w:r>
        <w:t xml:space="preserve">Shared assets (also on CDN):</w:t>
      </w:r>
      <w:r>
        <w:t xml:space="preserve"> </w:t>
      </w:r>
      <w:r>
        <w:t xml:space="preserve">- AstraZeneca logo: https://zenturis-images.pages.dev/astrazeneca-logo.svg</w:t>
      </w:r>
      <w:r>
        <w:t xml:space="preserve"> </w:t>
      </w:r>
      <w:r>
        <w:t xml:space="preserve">- Search icon: https://zenturis-images.pages.dev/search.svg</w:t>
      </w:r>
    </w:p>
    <w:bookmarkEnd w:id="112"/>
    <w:bookmarkEnd w:id="1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3" Target="media/rId103.jpg" /><Relationship Type="http://schemas.openxmlformats.org/officeDocument/2006/relationships/image" Id="rId33" Target="media/rId33.jpg" /><Relationship Type="http://schemas.openxmlformats.org/officeDocument/2006/relationships/image" Id="rId27" Target="media/rId27.jpg" /><Relationship Type="http://schemas.openxmlformats.org/officeDocument/2006/relationships/image" Id="rId65" Target="media/rId65.jpg" /><Relationship Type="http://schemas.openxmlformats.org/officeDocument/2006/relationships/image" Id="rId68" Target="media/rId68.jpg" /><Relationship Type="http://schemas.openxmlformats.org/officeDocument/2006/relationships/image" Id="rId71" Target="media/rId71.jpg" /><Relationship Type="http://schemas.openxmlformats.org/officeDocument/2006/relationships/image" Id="rId100" Target="media/rId100.jpg" /><Relationship Type="http://schemas.openxmlformats.org/officeDocument/2006/relationships/image" Id="rId97" Target="media/rId97.jpg" /><Relationship Type="http://schemas.openxmlformats.org/officeDocument/2006/relationships/image" Id="rId30" Target="media/rId30.jpg" /><Relationship Type="http://schemas.openxmlformats.org/officeDocument/2006/relationships/image" Id="rId84" Target="media/rId84.jpg" /><Relationship Type="http://schemas.openxmlformats.org/officeDocument/2006/relationships/image" Id="rId56" Target="media/rId56.jpg" /><Relationship Type="http://schemas.openxmlformats.org/officeDocument/2006/relationships/image" Id="rId88" Target="media/rId88.jpg" /><Relationship Type="http://schemas.openxmlformats.org/officeDocument/2006/relationships/image" Id="rId37" Target="media/rId37.jpg" /><Relationship Type="http://schemas.openxmlformats.org/officeDocument/2006/relationships/image" Id="rId76" Target="media/rId76.jpg" /><Relationship Type="http://schemas.openxmlformats.org/officeDocument/2006/relationships/image" Id="rId44" Target="media/rId44.jpg" /><Relationship Type="http://schemas.openxmlformats.org/officeDocument/2006/relationships/image" Id="rId23" Target="media/rId23.jpg" /><Relationship Type="http://schemas.openxmlformats.org/officeDocument/2006/relationships/image" Id="rId49" Target="media/rId49.jpg" /><Relationship Type="http://schemas.openxmlformats.org/officeDocument/2006/relationships/image" Id="rId52" Target="media/rId52.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2026-03-03T06:30:27Z</dcterms:created>
  <dcterms:modified xsi:type="dcterms:W3CDTF">2026-03-03T06:30:27Z</dcterms:modified>
</cp:coreProperties>
</file>

<file path=docProps/custom.xml><?xml version="1.0" encoding="utf-8"?>
<Properties xmlns="http://schemas.openxmlformats.org/officeDocument/2006/custom-properties" xmlns:vt="http://schemas.openxmlformats.org/officeDocument/2006/docPropsVTypes"/>
</file>