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830051"/>
          <w:sz w:val="72"/>
        </w:rPr>
        <w:t>VELOX®</w:t>
      </w:r>
    </w:p>
    <w:p>
      <w:pPr>
        <w:jc w:val="center"/>
      </w:pPr>
      <w:r>
        <w:rPr>
          <w:color w:val="363B3B"/>
          <w:sz w:val="36"/>
        </w:rPr>
        <w:t>(veloxaban)</w:t>
      </w:r>
    </w:p>
    <w:p/>
    <w:p>
      <w:pPr>
        <w:jc w:val="center"/>
      </w:pPr>
      <w:r>
        <w:rPr>
          <w:b/>
          <w:color w:val="1A365D"/>
          <w:sz w:val="48"/>
        </w:rPr>
        <w:t>Website Briefing</w:t>
      </w:r>
    </w:p>
    <w:p/>
    <w:p>
      <w:pPr>
        <w:jc w:val="center"/>
      </w:pPr>
      <w:r>
        <w:rPr>
          <w:i/>
          <w:color w:val="1A365D"/>
          <w:sz w:val="28"/>
        </w:rPr>
        <w:t>Protection without compromise.</w:t>
      </w:r>
    </w:p>
    <w:p/>
    <w:p>
      <w:pPr>
        <w:jc w:val="center"/>
      </w:pPr>
      <w:r>
        <w:rPr>
          <w:color w:val="666666"/>
          <w:sz w:val="20"/>
        </w:rPr>
        <w:t>Document type: Final approved marketing brief for HCP website build</w:t>
      </w:r>
    </w:p>
    <w:p>
      <w:pPr>
        <w:jc w:val="center"/>
      </w:pPr>
      <w:r>
        <w:rPr>
          <w:color w:val="666666"/>
          <w:sz w:val="20"/>
        </w:rPr>
        <w:t>Prepared by: Marketing — UK Cardiovascular Franchise</w:t>
      </w:r>
    </w:p>
    <w:p>
      <w:pPr>
        <w:jc w:val="center"/>
      </w:pPr>
      <w:r>
        <w:rPr>
          <w:color w:val="666666"/>
          <w:sz w:val="20"/>
        </w:rPr>
        <w:t>Approval status: MLR-approved copy — do not modify</w:t>
      </w:r>
    </w:p>
    <w:p>
      <w:pPr>
        <w:jc w:val="center"/>
      </w:pPr>
      <w:r>
        <w:rPr>
          <w:color w:val="666666"/>
          <w:sz w:val="20"/>
        </w:rPr>
        <w:t>Date: March 2026</w:t>
      </w:r>
    </w:p>
    <w:p>
      <w:pPr>
        <w:jc w:val="center"/>
      </w:pPr>
      <w:r>
        <w:rPr>
          <w:color w:val="666666"/>
          <w:sz w:val="20"/>
        </w:rPr>
        <w:t>Approval code: GB-10247 | DOP: March 2026</w:t>
      </w:r>
    </w:p>
    <w:p>
      <w:r>
        <w:br w:type="page"/>
      </w:r>
    </w:p>
    <w:p>
      <w:pPr>
        <w:pStyle w:val="Heading1"/>
      </w:pPr>
      <w:r>
        <w:rPr>
          <w:color w:val="830051"/>
        </w:rPr>
        <w:t>Contents</w:t>
      </w:r>
    </w:p>
    <w:p>
      <w:r>
        <w:rPr>
          <w:color w:val="363B3B"/>
          <w:sz w:val="20"/>
        </w:rPr>
        <w:t>1. Drug Profile</w:t>
      </w:r>
    </w:p>
    <w:p>
      <w:r>
        <w:rPr>
          <w:color w:val="363B3B"/>
          <w:sz w:val="20"/>
        </w:rPr>
        <w:t>2. Mechanism of Action</w:t>
      </w:r>
    </w:p>
    <w:p>
      <w:r>
        <w:rPr>
          <w:color w:val="363B3B"/>
          <w:sz w:val="20"/>
        </w:rPr>
        <w:t>3. Clinical Programme: VELOCITY</w:t>
      </w:r>
    </w:p>
    <w:p>
      <w:r>
        <w:rPr>
          <w:color w:val="363B3B"/>
          <w:sz w:val="20"/>
        </w:rPr>
        <w:t>4. Safety Profile</w:t>
      </w:r>
    </w:p>
    <w:p>
      <w:r>
        <w:rPr>
          <w:color w:val="363B3B"/>
          <w:sz w:val="20"/>
        </w:rPr>
        <w:t>5. Prescribing Information</w:t>
      </w:r>
    </w:p>
    <w:p>
      <w:r>
        <w:rPr>
          <w:color w:val="363B3B"/>
          <w:sz w:val="20"/>
        </w:rPr>
        <w:t>6. Adverse Event Reporting</w:t>
      </w:r>
    </w:p>
    <w:p>
      <w:r>
        <w:rPr>
          <w:color w:val="363B3B"/>
          <w:sz w:val="20"/>
        </w:rPr>
        <w:t>7. References</w:t>
      </w:r>
    </w:p>
    <w:p>
      <w:r>
        <w:rPr>
          <w:color w:val="363B3B"/>
          <w:sz w:val="20"/>
        </w:rPr>
        <w:t>8. Site Navigation</w:t>
      </w:r>
    </w:p>
    <w:p>
      <w:r>
        <w:rPr>
          <w:color w:val="363B3B"/>
          <w:sz w:val="20"/>
        </w:rPr>
        <w:t>9. Page Content</w:t>
      </w:r>
    </w:p>
    <w:p>
      <w:r>
        <w:rPr>
          <w:color w:val="363B3B"/>
          <w:sz w:val="20"/>
        </w:rPr>
        <w:t xml:space="preserve">   Page 1: Home</w:t>
      </w:r>
    </w:p>
    <w:p>
      <w:r>
        <w:rPr>
          <w:color w:val="363B3B"/>
          <w:sz w:val="20"/>
        </w:rPr>
        <w:t xml:space="preserve">   Page 2: VELOCITY Data</w:t>
      </w:r>
    </w:p>
    <w:p>
      <w:r>
        <w:rPr>
          <w:color w:val="363B3B"/>
          <w:sz w:val="20"/>
        </w:rPr>
        <w:t xml:space="preserve">   Page 3: Safety</w:t>
      </w:r>
    </w:p>
    <w:p>
      <w:r>
        <w:rPr>
          <w:color w:val="363B3B"/>
          <w:sz w:val="20"/>
        </w:rPr>
        <w:t xml:space="preserve">   Page 4: Dosing &amp; Administration</w:t>
      </w:r>
    </w:p>
    <w:p>
      <w:r>
        <w:rPr>
          <w:color w:val="363B3B"/>
          <w:sz w:val="20"/>
        </w:rPr>
        <w:t xml:space="preserve">   Page 5: How VELOX Works</w:t>
      </w:r>
    </w:p>
    <w:p>
      <w:r>
        <w:rPr>
          <w:color w:val="363B3B"/>
          <w:sz w:val="20"/>
        </w:rPr>
        <w:t xml:space="preserve">   Page 6: Resources</w:t>
      </w:r>
    </w:p>
    <w:p>
      <w:r>
        <w:rPr>
          <w:color w:val="363B3B"/>
          <w:sz w:val="20"/>
        </w:rPr>
        <w:t>10. Footer Content</w:t>
      </w:r>
    </w:p>
    <w:p>
      <w:r>
        <w:rPr>
          <w:color w:val="363B3B"/>
          <w:sz w:val="20"/>
        </w:rPr>
        <w:t>11. Image Assets</w:t>
      </w:r>
    </w:p>
    <w:p>
      <w:r>
        <w:br w:type="page"/>
      </w:r>
    </w:p>
    <w:p>
      <w:pPr>
        <w:pStyle w:val="Heading1"/>
      </w:pPr>
      <w:r>
        <w:rPr>
          <w:color w:val="830051"/>
        </w:rPr>
        <w:t>1. Drug Profile</w:t>
      </w:r>
    </w:p>
    <w:tbl>
      <w:tblPr>
        <w:tblStyle w:val="TableGrid"/>
        <w:tblW w:type="auto" w:w="0"/>
        <w:jc w:val="center"/>
        <w:tblLook w:firstColumn="1" w:firstRow="1" w:lastColumn="0" w:lastRow="0" w:noHBand="0" w:noVBand="1" w:val="04A0"/>
      </w:tblPr>
      <w:tblGrid>
        <w:gridCol w:w="4536"/>
        <w:gridCol w:w="4536"/>
      </w:tblGrid>
      <w:tr>
        <w:tc>
          <w:tcPr>
            <w:tcW w:type="dxa" w:w="4536"/>
            <w:shd w:fill="830051"/>
          </w:tcPr>
          <w:p>
            <w:r/>
            <w:r>
              <w:rPr>
                <w:b/>
                <w:color w:val="FFFFFF"/>
                <w:sz w:val="18"/>
              </w:rPr>
              <w:t>Field</w:t>
            </w:r>
          </w:p>
        </w:tc>
        <w:tc>
          <w:tcPr>
            <w:tcW w:type="dxa" w:w="4536"/>
            <w:shd w:fill="830051"/>
          </w:tcPr>
          <w:p>
            <w:r/>
            <w:r>
              <w:rPr>
                <w:b/>
                <w:color w:val="FFFFFF"/>
                <w:sz w:val="18"/>
              </w:rPr>
              <w:t>Detail</w:t>
            </w:r>
          </w:p>
        </w:tc>
      </w:tr>
      <w:tr>
        <w:tc>
          <w:tcPr>
            <w:tcW w:type="dxa" w:w="4536"/>
          </w:tcPr>
          <w:p>
            <w:r/>
            <w:r>
              <w:rPr>
                <w:color w:val="363B3B"/>
                <w:sz w:val="18"/>
              </w:rPr>
              <w:t>Brand name</w:t>
            </w:r>
          </w:p>
        </w:tc>
        <w:tc>
          <w:tcPr>
            <w:tcW w:type="dxa" w:w="4536"/>
          </w:tcPr>
          <w:p>
            <w:r/>
            <w:r>
              <w:rPr>
                <w:color w:val="363B3B"/>
                <w:sz w:val="18"/>
              </w:rPr>
              <w:t>VELOX®</w:t>
            </w:r>
          </w:p>
        </w:tc>
      </w:tr>
      <w:tr>
        <w:tc>
          <w:tcPr>
            <w:tcW w:type="dxa" w:w="4536"/>
            <w:shd w:fill="F8F8F8"/>
          </w:tcPr>
          <w:p>
            <w:r/>
            <w:r>
              <w:rPr>
                <w:color w:val="363B3B"/>
                <w:sz w:val="18"/>
              </w:rPr>
              <w:t>Generic name</w:t>
            </w:r>
          </w:p>
        </w:tc>
        <w:tc>
          <w:tcPr>
            <w:tcW w:type="dxa" w:w="4536"/>
            <w:shd w:fill="F8F8F8"/>
          </w:tcPr>
          <w:p>
            <w:r/>
            <w:r>
              <w:rPr>
                <w:color w:val="363B3B"/>
                <w:sz w:val="18"/>
              </w:rPr>
              <w:t>veloxaban</w:t>
            </w:r>
          </w:p>
        </w:tc>
      </w:tr>
      <w:tr>
        <w:tc>
          <w:tcPr>
            <w:tcW w:type="dxa" w:w="4536"/>
          </w:tcPr>
          <w:p>
            <w:r/>
            <w:r>
              <w:rPr>
                <w:color w:val="363B3B"/>
                <w:sz w:val="18"/>
              </w:rPr>
              <w:t>Drug class</w:t>
            </w:r>
          </w:p>
        </w:tc>
        <w:tc>
          <w:tcPr>
            <w:tcW w:type="dxa" w:w="4536"/>
          </w:tcPr>
          <w:p>
            <w:r/>
            <w:r>
              <w:rPr>
                <w:color w:val="363B3B"/>
                <w:sz w:val="18"/>
              </w:rPr>
              <w:t>Selective oral Factor XIa inhibitor</w:t>
            </w:r>
          </w:p>
        </w:tc>
      </w:tr>
      <w:tr>
        <w:tc>
          <w:tcPr>
            <w:tcW w:type="dxa" w:w="4536"/>
            <w:shd w:fill="F8F8F8"/>
          </w:tcPr>
          <w:p>
            <w:r/>
            <w:r>
              <w:rPr>
                <w:color w:val="363B3B"/>
                <w:sz w:val="18"/>
              </w:rPr>
              <w:t>Indication</w:t>
            </w:r>
          </w:p>
        </w:tc>
        <w:tc>
          <w:tcPr>
            <w:tcW w:type="dxa" w:w="4536"/>
            <w:shd w:fill="F8F8F8"/>
          </w:tcPr>
          <w:p>
            <w:r/>
            <w:r>
              <w:rPr>
                <w:color w:val="363B3B"/>
                <w:sz w:val="18"/>
              </w:rPr>
              <w:t>Prevention of stroke and systemic embolism in adult patients with non-valvular atrial fibrillation (NVAF) with one or more risk factors for stroke</w:t>
            </w:r>
          </w:p>
        </w:tc>
      </w:tr>
      <w:tr>
        <w:tc>
          <w:tcPr>
            <w:tcW w:type="dxa" w:w="4536"/>
          </w:tcPr>
          <w:p>
            <w:r/>
            <w:r>
              <w:rPr>
                <w:color w:val="363B3B"/>
                <w:sz w:val="18"/>
              </w:rPr>
              <w:t>Formulation</w:t>
            </w:r>
          </w:p>
        </w:tc>
        <w:tc>
          <w:tcPr>
            <w:tcW w:type="dxa" w:w="4536"/>
          </w:tcPr>
          <w:p>
            <w:r/>
            <w:r>
              <w:rPr>
                <w:color w:val="363B3B"/>
                <w:sz w:val="18"/>
              </w:rPr>
              <w:t>40 mg film-coated tablet</w:t>
            </w:r>
          </w:p>
        </w:tc>
      </w:tr>
      <w:tr>
        <w:tc>
          <w:tcPr>
            <w:tcW w:type="dxa" w:w="4536"/>
            <w:shd w:fill="F8F8F8"/>
          </w:tcPr>
          <w:p>
            <w:r/>
            <w:r>
              <w:rPr>
                <w:color w:val="363B3B"/>
                <w:sz w:val="18"/>
              </w:rPr>
              <w:t>Dosing</w:t>
            </w:r>
          </w:p>
        </w:tc>
        <w:tc>
          <w:tcPr>
            <w:tcW w:type="dxa" w:w="4536"/>
            <w:shd w:fill="F8F8F8"/>
          </w:tcPr>
          <w:p>
            <w:r/>
            <w:r>
              <w:rPr>
                <w:color w:val="363B3B"/>
                <w:sz w:val="18"/>
              </w:rPr>
              <w:t>One 40 mg tablet once daily, with or without food</w:t>
            </w:r>
          </w:p>
        </w:tc>
      </w:tr>
      <w:tr>
        <w:tc>
          <w:tcPr>
            <w:tcW w:type="dxa" w:w="4536"/>
          </w:tcPr>
          <w:p>
            <w:r/>
            <w:r>
              <w:rPr>
                <w:color w:val="363B3B"/>
                <w:sz w:val="18"/>
              </w:rPr>
              <w:t>Approval</w:t>
            </w:r>
          </w:p>
        </w:tc>
        <w:tc>
          <w:tcPr>
            <w:tcW w:type="dxa" w:w="4536"/>
          </w:tcPr>
          <w:p>
            <w:r/>
            <w:r>
              <w:rPr>
                <w:color w:val="363B3B"/>
                <w:sz w:val="18"/>
              </w:rPr>
              <w:t>MHRA — January 2026</w:t>
            </w:r>
          </w:p>
        </w:tc>
      </w:tr>
      <w:tr>
        <w:tc>
          <w:tcPr>
            <w:tcW w:type="dxa" w:w="4536"/>
            <w:shd w:fill="F8F8F8"/>
          </w:tcPr>
          <w:p>
            <w:r/>
            <w:r>
              <w:rPr>
                <w:color w:val="363B3B"/>
                <w:sz w:val="18"/>
              </w:rPr>
              <w:t>Brand colour</w:t>
            </w:r>
          </w:p>
        </w:tc>
        <w:tc>
          <w:tcPr>
            <w:tcW w:type="dxa" w:w="4536"/>
            <w:shd w:fill="F8F8F8"/>
          </w:tcPr>
          <w:p>
            <w:r/>
            <w:r>
              <w:rPr>
                <w:color w:val="363B3B"/>
                <w:sz w:val="18"/>
              </w:rPr>
              <w:t>Deep Navy #1A365D</w:t>
            </w:r>
          </w:p>
        </w:tc>
      </w:tr>
      <w:tr>
        <w:tc>
          <w:tcPr>
            <w:tcW w:type="dxa" w:w="4536"/>
          </w:tcPr>
          <w:p>
            <w:r/>
            <w:r>
              <w:rPr>
                <w:color w:val="363B3B"/>
                <w:sz w:val="18"/>
              </w:rPr>
              <w:t>Accent colour</w:t>
            </w:r>
          </w:p>
        </w:tc>
        <w:tc>
          <w:tcPr>
            <w:tcW w:type="dxa" w:w="4536"/>
          </w:tcPr>
          <w:p>
            <w:r/>
            <w:r>
              <w:rPr>
                <w:color w:val="363B3B"/>
                <w:sz w:val="18"/>
              </w:rPr>
              <w:t>Crimson Red #C62828</w:t>
            </w:r>
          </w:p>
        </w:tc>
      </w:tr>
      <w:tr>
        <w:tc>
          <w:tcPr>
            <w:tcW w:type="dxa" w:w="4536"/>
            <w:shd w:fill="F8F8F8"/>
          </w:tcPr>
          <w:p>
            <w:r/>
            <w:r>
              <w:rPr>
                <w:color w:val="363B3B"/>
                <w:sz w:val="18"/>
              </w:rPr>
              <w:t>Approval code</w:t>
            </w:r>
          </w:p>
        </w:tc>
        <w:tc>
          <w:tcPr>
            <w:tcW w:type="dxa" w:w="4536"/>
            <w:shd w:fill="F8F8F8"/>
          </w:tcPr>
          <w:p>
            <w:r/>
            <w:r>
              <w:rPr>
                <w:color w:val="363B3B"/>
                <w:sz w:val="18"/>
              </w:rPr>
              <w:t>GB-10247</w:t>
            </w:r>
          </w:p>
        </w:tc>
      </w:tr>
    </w:tbl>
    <w:p/>
    <w:p>
      <w:r>
        <w:rPr>
          <w:b/>
          <w:color w:val="CC0000"/>
          <w:sz w:val="18"/>
        </w:rPr>
        <w:t>VELOX brand rule: VELOX always appears in capitals, with ® on first mention per page. Generic name (veloxaban) appears in lowercase parentheses on first mention. The approved tagline "Protection without compromise." may only be used verbatim — no variations permitted.</w:t>
      </w:r>
    </w:p>
    <w:p>
      <w:pPr>
        <w:jc w:val="center"/>
      </w:pPr>
      <w:r>
        <w:rPr>
          <w:color w:val="CCCCCC"/>
          <w:sz w:val="16"/>
        </w:rPr>
        <w:t>────────────────────────────────────────────────────────────</w:t>
      </w:r>
    </w:p>
    <w:p>
      <w:pPr>
        <w:pStyle w:val="Heading1"/>
      </w:pPr>
      <w:r>
        <w:rPr>
          <w:color w:val="830051"/>
        </w:rPr>
        <w:t>2. Mechanism of Action</w:t>
      </w:r>
    </w:p>
    <w:p>
      <w:r>
        <w:rPr>
          <w:b w:val="0"/>
          <w:i w:val="0"/>
          <w:color w:val="363B3B"/>
          <w:sz w:val="20"/>
        </w:rPr>
        <w:t>Veloxaban is a first-in-class, selective, oral small-molecule inhibitor of activated Factor XI (Factor XIa). Factor XIa plays a central role in the amplification phase of the coagulation cascade, propagating thrombin generation through the intrinsic pathway without significantly affecting the extrinsic (tissue factor) pathway responsible for normal haemostasis.</w:t>
      </w:r>
    </w:p>
    <w:p>
      <w:r>
        <w:rPr>
          <w:b w:val="0"/>
          <w:i w:val="0"/>
          <w:color w:val="363B3B"/>
          <w:sz w:val="20"/>
        </w:rPr>
        <w:t>The coagulation cascade comprises two converging pathways. The extrinsic pathway, initiated by tissue factor exposure at sites of vascular injury, is essential for physiological haemostasis — the body’s primary defence against bleeding. The intrinsic pathway, driven by contact activation and amplified by Factor XIa, contributes disproportionately to pathological thrombus formation (e.g. in atrial fibrillation, venous thromboembolism) while playing a lesser role in surgical or traumatic haemostasis.¹ ²</w:t>
      </w:r>
    </w:p>
    <w:p>
      <w:r>
        <w:rPr>
          <w:b w:val="0"/>
          <w:i w:val="0"/>
          <w:color w:val="363B3B"/>
          <w:sz w:val="20"/>
        </w:rPr>
        <w:t>By selectively inhibiting Factor XIa, veloxaban achieves potent antithrombotic efficacy through the following mechanisms:</w:t>
      </w:r>
    </w:p>
    <w:p>
      <w:pPr>
        <w:pStyle w:val="ListBullet"/>
      </w:pPr>
      <w:r>
        <w:rPr>
          <w:sz w:val="20"/>
        </w:rPr>
        <w:t>Suppression of thrombin amplification via the intrinsic (contact) pathway</w:t>
      </w:r>
    </w:p>
    <w:p>
      <w:pPr>
        <w:pStyle w:val="ListBullet"/>
      </w:pPr>
      <w:r>
        <w:rPr>
          <w:sz w:val="20"/>
        </w:rPr>
        <w:t>Reduction of fibrin-rich thrombus propagation in low-shear environments (e.g. left atrial appendage in AF)</w:t>
      </w:r>
    </w:p>
    <w:p>
      <w:pPr>
        <w:pStyle w:val="ListBullet"/>
      </w:pPr>
      <w:r>
        <w:rPr>
          <w:sz w:val="20"/>
        </w:rPr>
        <w:t>Attenuation of Factor XIa-driven platelet activation, reducing platelet-dependent thrombin generation</w:t>
      </w:r>
    </w:p>
    <w:p>
      <w:pPr>
        <w:pStyle w:val="ListBullet"/>
      </w:pPr>
      <w:r>
        <w:rPr>
          <w:sz w:val="20"/>
        </w:rPr>
        <w:t>Preservation of the extrinsic (tissue factor) pathway, maintaining physiological haemostasis at sites of vascular injury</w:t>
      </w:r>
    </w:p>
    <w:p>
      <w:r>
        <w:rPr>
          <w:b w:val="0"/>
          <w:i w:val="0"/>
          <w:color w:val="363B3B"/>
          <w:sz w:val="20"/>
        </w:rPr>
        <w:t>This selective mechanism separates antithrombotic efficacy from bleeding risk — a limitation of current Factor Xa and direct thrombin inhibitors, which inhibit components common to both pathological and physiological coagulation. Clinical genetic evidence supports this approach: individuals with inherited Factor XI deficiency demonstrate protection from thrombotic events with only mild bleeding tendency, unlike deficiencies in Factor X or prothrombin.¹ ² ⁵</w:t>
      </w:r>
    </w:p>
    <w:p>
      <w:pPr>
        <w:jc w:val="center"/>
      </w:pPr>
      <w:r>
        <w:rPr>
          <w:color w:val="CCCCCC"/>
          <w:sz w:val="16"/>
        </w:rPr>
        <w:t>────────────────────────────────────────────────────────────</w:t>
      </w:r>
    </w:p>
    <w:p>
      <w:pPr>
        <w:pStyle w:val="Heading1"/>
      </w:pPr>
      <w:r>
        <w:rPr>
          <w:color w:val="830051"/>
        </w:rPr>
        <w:t>3. Clinical Programme: VELOCITY</w:t>
      </w:r>
    </w:p>
    <w:p>
      <w:pPr>
        <w:pStyle w:val="Heading2"/>
      </w:pPr>
      <w:r>
        <w:rPr>
          <w:color w:val="830051"/>
        </w:rPr>
        <w:t>VELOCITY-AF (Phase III, pivotal — Stroke prevention in atrial fibrillation)</w:t>
      </w:r>
    </w:p>
    <w:p>
      <w:r>
        <w:rPr>
          <w:b/>
          <w:sz w:val="20"/>
        </w:rPr>
        <w:t xml:space="preserve">Design: </w:t>
      </w:r>
      <w:r>
        <w:rPr>
          <w:sz w:val="20"/>
        </w:rPr>
        <w:t>Randomised, double-blind, double-dummy, active-controlled, non-inferiority Phase III trial with pre-specified superiority testing for major bleeding</w:t>
      </w:r>
    </w:p>
    <w:p>
      <w:r>
        <w:rPr>
          <w:b/>
          <w:sz w:val="20"/>
        </w:rPr>
        <w:t xml:space="preserve">Population: </w:t>
      </w:r>
      <w:r>
        <w:rPr>
          <w:sz w:val="20"/>
        </w:rPr>
        <w:t>14,228 adults with non-valvular atrial fibrillation and CHA₂DS₂-VASc score ≥2 (men) or ≥3 (women)</w:t>
      </w:r>
    </w:p>
    <w:p>
      <w:r>
        <w:rPr>
          <w:b/>
          <w:sz w:val="20"/>
        </w:rPr>
        <w:t xml:space="preserve">Duration: </w:t>
      </w:r>
      <w:r>
        <w:rPr>
          <w:sz w:val="20"/>
        </w:rPr>
        <w:t>Median 24 months on treatment (event-driven; minimum 12 months per patient)</w:t>
      </w:r>
    </w:p>
    <w:p>
      <w:r>
        <w:rPr>
          <w:b/>
          <w:sz w:val="20"/>
        </w:rPr>
        <w:t xml:space="preserve">Comparator: </w:t>
      </w:r>
      <w:r>
        <w:rPr>
          <w:sz w:val="20"/>
        </w:rPr>
        <w:t>Rivaroxaban 20 mg once daily (15 mg once daily for CrCl 30–49 mL/min)</w:t>
      </w:r>
    </w:p>
    <w:p>
      <w:r>
        <w:rPr>
          <w:b/>
          <w:sz w:val="20"/>
        </w:rPr>
        <w:t xml:space="preserve">Primary efficacy endpoint: </w:t>
      </w:r>
      <w:r>
        <w:rPr>
          <w:sz w:val="20"/>
        </w:rPr>
        <w:t>Time to first stroke (ischaemic or haemorrhagic) or systemic embolism</w:t>
      </w:r>
    </w:p>
    <w:p>
      <w:r>
        <w:rPr>
          <w:b/>
          <w:sz w:val="20"/>
        </w:rPr>
        <w:t xml:space="preserve">Primary safety endpoint: </w:t>
      </w:r>
      <w:r>
        <w:rPr>
          <w:sz w:val="20"/>
        </w:rPr>
        <w:t>Time to first ISTH major bleeding event</w:t>
      </w:r>
    </w:p>
    <w:p>
      <w:r>
        <w:rPr>
          <w:b/>
          <w:sz w:val="20"/>
        </w:rPr>
        <w:t xml:space="preserve">Key secondary endpoints: </w:t>
      </w:r>
      <w:r>
        <w:rPr>
          <w:sz w:val="20"/>
        </w:rPr>
        <w:t>All-cause mortality; composite of stroke, systemic embolism, MI, or cardiovascular death; net clinical benefit (composite of stroke/SE/major bleeding/all-cause death); intracranial haemorrhage</w:t>
      </w:r>
    </w:p>
    <w:p>
      <w:r>
        <w:rPr>
          <w:b/>
          <w:sz w:val="20"/>
        </w:rPr>
        <w:t xml:space="preserve">Publication: </w:t>
      </w:r>
      <w:r>
        <w:rPr>
          <w:sz w:val="20"/>
        </w:rPr>
        <w:t>Whitfield et al. N Engl J Med 2025; 393(8): 702–715</w:t>
      </w:r>
    </w:p>
    <w:p/>
    <w:p>
      <w:r>
        <w:rPr>
          <w:b/>
          <w:i w:val="0"/>
          <w:color w:val="363B3B"/>
          <w:sz w:val="20"/>
        </w:rPr>
        <w:t>Key results: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VELOX 40 mg (n=7,114)</w:t>
            </w:r>
          </w:p>
        </w:tc>
        <w:tc>
          <w:tcPr>
            <w:tcW w:type="dxa" w:w="2268"/>
            <w:shd w:fill="830051"/>
          </w:tcPr>
          <w:p>
            <w:r/>
            <w:r>
              <w:rPr>
                <w:b/>
                <w:color w:val="FFFFFF"/>
                <w:sz w:val="18"/>
              </w:rPr>
              <w:t>Rivaroxaban (n=7,114)</w:t>
            </w:r>
          </w:p>
        </w:tc>
        <w:tc>
          <w:tcPr>
            <w:tcW w:type="dxa" w:w="2268"/>
            <w:shd w:fill="830051"/>
          </w:tcPr>
          <w:p>
            <w:r/>
            <w:r>
              <w:rPr>
                <w:b/>
                <w:color w:val="FFFFFF"/>
                <w:sz w:val="18"/>
              </w:rPr>
              <w:t>Treatment effect</w:t>
            </w:r>
          </w:p>
        </w:tc>
      </w:tr>
      <w:tr>
        <w:tc>
          <w:tcPr>
            <w:tcW w:type="dxa" w:w="2268"/>
          </w:tcPr>
          <w:p>
            <w:r/>
            <w:r>
              <w:rPr>
                <w:color w:val="363B3B"/>
                <w:sz w:val="18"/>
              </w:rPr>
              <w:t>Stroke or SE (primary efficacy)</w:t>
            </w:r>
          </w:p>
        </w:tc>
        <w:tc>
          <w:tcPr>
            <w:tcW w:type="dxa" w:w="2268"/>
          </w:tcPr>
          <w:p>
            <w:r/>
            <w:r>
              <w:rPr>
                <w:color w:val="363B3B"/>
                <w:sz w:val="18"/>
              </w:rPr>
              <w:t>1.68%/year</w:t>
            </w:r>
          </w:p>
        </w:tc>
        <w:tc>
          <w:tcPr>
            <w:tcW w:type="dxa" w:w="2268"/>
          </w:tcPr>
          <w:p>
            <w:r/>
            <w:r>
              <w:rPr>
                <w:color w:val="363B3B"/>
                <w:sz w:val="18"/>
              </w:rPr>
              <w:t>1.72%/year</w:t>
            </w:r>
          </w:p>
        </w:tc>
        <w:tc>
          <w:tcPr>
            <w:tcW w:type="dxa" w:w="2268"/>
          </w:tcPr>
          <w:p>
            <w:r/>
            <w:r>
              <w:rPr>
                <w:color w:val="363B3B"/>
                <w:sz w:val="18"/>
              </w:rPr>
              <w:t>HR 0.97 (0.83–1.14); P&lt;0.001 for non-inferiority</w:t>
            </w:r>
          </w:p>
        </w:tc>
      </w:tr>
      <w:tr>
        <w:tc>
          <w:tcPr>
            <w:tcW w:type="dxa" w:w="2268"/>
            <w:shd w:fill="F8F8F8"/>
          </w:tcPr>
          <w:p>
            <w:r/>
            <w:r>
              <w:rPr>
                <w:color w:val="363B3B"/>
                <w:sz w:val="18"/>
              </w:rPr>
              <w:t>Ischaemic stroke</w:t>
            </w:r>
          </w:p>
        </w:tc>
        <w:tc>
          <w:tcPr>
            <w:tcW w:type="dxa" w:w="2268"/>
            <w:shd w:fill="F8F8F8"/>
          </w:tcPr>
          <w:p>
            <w:r/>
            <w:r>
              <w:rPr>
                <w:color w:val="363B3B"/>
                <w:sz w:val="18"/>
              </w:rPr>
              <w:t>1.32%/year</w:t>
            </w:r>
          </w:p>
        </w:tc>
        <w:tc>
          <w:tcPr>
            <w:tcW w:type="dxa" w:w="2268"/>
            <w:shd w:fill="F8F8F8"/>
          </w:tcPr>
          <w:p>
            <w:r/>
            <w:r>
              <w:rPr>
                <w:color w:val="363B3B"/>
                <w:sz w:val="18"/>
              </w:rPr>
              <w:t>1.38%/year</w:t>
            </w:r>
          </w:p>
        </w:tc>
        <w:tc>
          <w:tcPr>
            <w:tcW w:type="dxa" w:w="2268"/>
            <w:shd w:fill="F8F8F8"/>
          </w:tcPr>
          <w:p>
            <w:r/>
            <w:r>
              <w:rPr>
                <w:color w:val="363B3B"/>
                <w:sz w:val="18"/>
              </w:rPr>
              <w:t>HR 0.96 (0.80–1.15)</w:t>
            </w:r>
          </w:p>
        </w:tc>
      </w:tr>
      <w:tr>
        <w:tc>
          <w:tcPr>
            <w:tcW w:type="dxa" w:w="2268"/>
          </w:tcPr>
          <w:p>
            <w:r/>
            <w:r>
              <w:rPr>
                <w:color w:val="363B3B"/>
                <w:sz w:val="18"/>
              </w:rPr>
              <w:t>Haemorrhagic stroke</w:t>
            </w:r>
          </w:p>
        </w:tc>
        <w:tc>
          <w:tcPr>
            <w:tcW w:type="dxa" w:w="2268"/>
          </w:tcPr>
          <w:p>
            <w:r/>
            <w:r>
              <w:rPr>
                <w:color w:val="363B3B"/>
                <w:sz w:val="18"/>
              </w:rPr>
              <w:t>0.18%/year</w:t>
            </w:r>
          </w:p>
        </w:tc>
        <w:tc>
          <w:tcPr>
            <w:tcW w:type="dxa" w:w="2268"/>
          </w:tcPr>
          <w:p>
            <w:r/>
            <w:r>
              <w:rPr>
                <w:color w:val="363B3B"/>
                <w:sz w:val="18"/>
              </w:rPr>
              <w:t>0.31%/year</w:t>
            </w:r>
          </w:p>
        </w:tc>
        <w:tc>
          <w:tcPr>
            <w:tcW w:type="dxa" w:w="2268"/>
          </w:tcPr>
          <w:p>
            <w:r/>
            <w:r>
              <w:rPr>
                <w:color w:val="363B3B"/>
                <w:sz w:val="18"/>
              </w:rPr>
              <w:t>HR 0.58 (0.38–0.88); P=0.011</w:t>
            </w:r>
          </w:p>
        </w:tc>
      </w:tr>
      <w:tr>
        <w:tc>
          <w:tcPr>
            <w:tcW w:type="dxa" w:w="2268"/>
            <w:shd w:fill="F8F8F8"/>
          </w:tcPr>
          <w:p>
            <w:r/>
            <w:r>
              <w:rPr>
                <w:color w:val="363B3B"/>
                <w:sz w:val="18"/>
              </w:rPr>
              <w:t>ISTH major bleeding (primary safety)</w:t>
            </w:r>
          </w:p>
        </w:tc>
        <w:tc>
          <w:tcPr>
            <w:tcW w:type="dxa" w:w="2268"/>
            <w:shd w:fill="F8F8F8"/>
          </w:tcPr>
          <w:p>
            <w:r/>
            <w:r>
              <w:rPr>
                <w:color w:val="363B3B"/>
                <w:sz w:val="18"/>
              </w:rPr>
              <w:t>1.52%/year</w:t>
            </w:r>
          </w:p>
        </w:tc>
        <w:tc>
          <w:tcPr>
            <w:tcW w:type="dxa" w:w="2268"/>
            <w:shd w:fill="F8F8F8"/>
          </w:tcPr>
          <w:p>
            <w:r/>
            <w:r>
              <w:rPr>
                <w:color w:val="363B3B"/>
                <w:sz w:val="18"/>
              </w:rPr>
              <w:t>2.58%/year</w:t>
            </w:r>
          </w:p>
        </w:tc>
        <w:tc>
          <w:tcPr>
            <w:tcW w:type="dxa" w:w="2268"/>
            <w:shd w:fill="F8F8F8"/>
          </w:tcPr>
          <w:p>
            <w:r/>
            <w:r>
              <w:rPr>
                <w:color w:val="363B3B"/>
                <w:sz w:val="18"/>
              </w:rPr>
              <w:t>HR 0.59 (0.50–0.69); P&lt;0.001</w:t>
            </w:r>
          </w:p>
        </w:tc>
      </w:tr>
      <w:tr>
        <w:tc>
          <w:tcPr>
            <w:tcW w:type="dxa" w:w="2268"/>
          </w:tcPr>
          <w:p>
            <w:r/>
            <w:r>
              <w:rPr>
                <w:color w:val="363B3B"/>
                <w:sz w:val="18"/>
              </w:rPr>
              <w:t>Intracranial haemorrhage</w:t>
            </w:r>
          </w:p>
        </w:tc>
        <w:tc>
          <w:tcPr>
            <w:tcW w:type="dxa" w:w="2268"/>
          </w:tcPr>
          <w:p>
            <w:r/>
            <w:r>
              <w:rPr>
                <w:color w:val="363B3B"/>
                <w:sz w:val="18"/>
              </w:rPr>
              <w:t>0.21%/year</w:t>
            </w:r>
          </w:p>
        </w:tc>
        <w:tc>
          <w:tcPr>
            <w:tcW w:type="dxa" w:w="2268"/>
          </w:tcPr>
          <w:p>
            <w:r/>
            <w:r>
              <w:rPr>
                <w:color w:val="363B3B"/>
                <w:sz w:val="18"/>
              </w:rPr>
              <w:t>0.52%/year</w:t>
            </w:r>
          </w:p>
        </w:tc>
        <w:tc>
          <w:tcPr>
            <w:tcW w:type="dxa" w:w="2268"/>
          </w:tcPr>
          <w:p>
            <w:r/>
            <w:r>
              <w:rPr>
                <w:color w:val="363B3B"/>
                <w:sz w:val="18"/>
              </w:rPr>
              <w:t>HR 0.40 (0.28–0.58); P&lt;0.001</w:t>
            </w:r>
          </w:p>
        </w:tc>
      </w:tr>
      <w:tr>
        <w:tc>
          <w:tcPr>
            <w:tcW w:type="dxa" w:w="2268"/>
            <w:shd w:fill="F8F8F8"/>
          </w:tcPr>
          <w:p>
            <w:r/>
            <w:r>
              <w:rPr>
                <w:color w:val="363B3B"/>
                <w:sz w:val="18"/>
              </w:rPr>
              <w:t>GI major bleeding</w:t>
            </w:r>
          </w:p>
        </w:tc>
        <w:tc>
          <w:tcPr>
            <w:tcW w:type="dxa" w:w="2268"/>
            <w:shd w:fill="F8F8F8"/>
          </w:tcPr>
          <w:p>
            <w:r/>
            <w:r>
              <w:rPr>
                <w:color w:val="363B3B"/>
                <w:sz w:val="18"/>
              </w:rPr>
              <w:t>0.62%/year</w:t>
            </w:r>
          </w:p>
        </w:tc>
        <w:tc>
          <w:tcPr>
            <w:tcW w:type="dxa" w:w="2268"/>
            <w:shd w:fill="F8F8F8"/>
          </w:tcPr>
          <w:p>
            <w:r/>
            <w:r>
              <w:rPr>
                <w:color w:val="363B3B"/>
                <w:sz w:val="18"/>
              </w:rPr>
              <w:t>1.04%/year</w:t>
            </w:r>
          </w:p>
        </w:tc>
        <w:tc>
          <w:tcPr>
            <w:tcW w:type="dxa" w:w="2268"/>
            <w:shd w:fill="F8F8F8"/>
          </w:tcPr>
          <w:p>
            <w:r/>
            <w:r>
              <w:rPr>
                <w:color w:val="363B3B"/>
                <w:sz w:val="18"/>
              </w:rPr>
              <w:t>HR 0.60 (0.47–0.76); P&lt;0.001</w:t>
            </w:r>
          </w:p>
        </w:tc>
      </w:tr>
      <w:tr>
        <w:tc>
          <w:tcPr>
            <w:tcW w:type="dxa" w:w="2268"/>
          </w:tcPr>
          <w:p>
            <w:r/>
            <w:r>
              <w:rPr>
                <w:color w:val="363B3B"/>
                <w:sz w:val="18"/>
              </w:rPr>
              <w:t>All-cause mortality</w:t>
            </w:r>
          </w:p>
        </w:tc>
        <w:tc>
          <w:tcPr>
            <w:tcW w:type="dxa" w:w="2268"/>
          </w:tcPr>
          <w:p>
            <w:r/>
            <w:r>
              <w:rPr>
                <w:color w:val="363B3B"/>
                <w:sz w:val="18"/>
              </w:rPr>
              <w:t>3.14%/year</w:t>
            </w:r>
          </w:p>
        </w:tc>
        <w:tc>
          <w:tcPr>
            <w:tcW w:type="dxa" w:w="2268"/>
          </w:tcPr>
          <w:p>
            <w:r/>
            <w:r>
              <w:rPr>
                <w:color w:val="363B3B"/>
                <w:sz w:val="18"/>
              </w:rPr>
              <w:t>3.38%/year</w:t>
            </w:r>
          </w:p>
        </w:tc>
        <w:tc>
          <w:tcPr>
            <w:tcW w:type="dxa" w:w="2268"/>
          </w:tcPr>
          <w:p>
            <w:r/>
            <w:r>
              <w:rPr>
                <w:color w:val="363B3B"/>
                <w:sz w:val="18"/>
              </w:rPr>
              <w:t>HR 0.93 (0.83–1.04); P=0.21</w:t>
            </w:r>
          </w:p>
        </w:tc>
      </w:tr>
      <w:tr>
        <w:tc>
          <w:tcPr>
            <w:tcW w:type="dxa" w:w="2268"/>
            <w:shd w:fill="F8F8F8"/>
          </w:tcPr>
          <w:p>
            <w:r/>
            <w:r>
              <w:rPr>
                <w:color w:val="363B3B"/>
                <w:sz w:val="18"/>
              </w:rPr>
              <w:t>Net clinical benefit*</w:t>
            </w:r>
          </w:p>
        </w:tc>
        <w:tc>
          <w:tcPr>
            <w:tcW w:type="dxa" w:w="2268"/>
            <w:shd w:fill="F8F8F8"/>
          </w:tcPr>
          <w:p>
            <w:r/>
            <w:r>
              <w:rPr>
                <w:color w:val="363B3B"/>
                <w:sz w:val="18"/>
              </w:rPr>
              <w:t>4.42%/year</w:t>
            </w:r>
          </w:p>
        </w:tc>
        <w:tc>
          <w:tcPr>
            <w:tcW w:type="dxa" w:w="2268"/>
            <w:shd w:fill="F8F8F8"/>
          </w:tcPr>
          <w:p>
            <w:r/>
            <w:r>
              <w:rPr>
                <w:color w:val="363B3B"/>
                <w:sz w:val="18"/>
              </w:rPr>
              <w:t>5.61%/year</w:t>
            </w:r>
          </w:p>
        </w:tc>
        <w:tc>
          <w:tcPr>
            <w:tcW w:type="dxa" w:w="2268"/>
            <w:shd w:fill="F8F8F8"/>
          </w:tcPr>
          <w:p>
            <w:r/>
            <w:r>
              <w:rPr>
                <w:color w:val="363B3B"/>
                <w:sz w:val="18"/>
              </w:rPr>
              <w:t>HR 0.79 (0.72–0.87); P&lt;0.001</w:t>
            </w:r>
          </w:p>
        </w:tc>
      </w:tr>
    </w:tbl>
    <w:p>
      <w:r>
        <w:rPr>
          <w:i/>
          <w:color w:val="666666"/>
          <w:sz w:val="16"/>
        </w:rPr>
        <w:t>*Net clinical benefit = composite of stroke/SE, major bleeding, and all-cause death.</w:t>
      </w:r>
    </w:p>
    <w:p/>
    <w:p>
      <w:pPr>
        <w:pStyle w:val="Heading2"/>
      </w:pPr>
      <w:r>
        <w:rPr>
          <w:color w:val="830051"/>
        </w:rPr>
        <w:t>VELOCITY-BLEED (Phase III — Bleeding safety in high-risk AF patients)</w:t>
      </w:r>
    </w:p>
    <w:p>
      <w:r>
        <w:rPr>
          <w:b/>
          <w:sz w:val="20"/>
        </w:rPr>
        <w:t xml:space="preserve">Design: </w:t>
      </w:r>
      <w:r>
        <w:rPr>
          <w:sz w:val="20"/>
        </w:rPr>
        <w:t>Randomised, double-blind, active-controlled Phase III trial in patients at elevated bleeding risk</w:t>
      </w:r>
    </w:p>
    <w:p>
      <w:r>
        <w:rPr>
          <w:b/>
          <w:sz w:val="20"/>
        </w:rPr>
        <w:t xml:space="preserve">Population: </w:t>
      </w:r>
      <w:r>
        <w:rPr>
          <w:sz w:val="20"/>
        </w:rPr>
        <w:t>4,612 adults with NVAF and at least one additional bleeding risk factor (age ≥80; CrCl 30–49 mL/min; history of GI bleeding; concomitant antiplatelet therapy; HAS-BLED score ≥3)</w:t>
      </w:r>
    </w:p>
    <w:p>
      <w:r>
        <w:rPr>
          <w:b/>
          <w:sz w:val="20"/>
        </w:rPr>
        <w:t xml:space="preserve">Duration: </w:t>
      </w:r>
      <w:r>
        <w:rPr>
          <w:sz w:val="20"/>
        </w:rPr>
        <w:t>52 weeks on treatment</w:t>
      </w:r>
    </w:p>
    <w:p>
      <w:r>
        <w:rPr>
          <w:b/>
          <w:sz w:val="20"/>
        </w:rPr>
        <w:t xml:space="preserve">Comparator: </w:t>
      </w:r>
      <w:r>
        <w:rPr>
          <w:sz w:val="20"/>
        </w:rPr>
        <w:t>Apixaban 5 mg twice daily (2.5 mg twice daily per label)</w:t>
      </w:r>
    </w:p>
    <w:p>
      <w:r>
        <w:rPr>
          <w:b/>
          <w:sz w:val="20"/>
        </w:rPr>
        <w:t xml:space="preserve">Primary endpoint: </w:t>
      </w:r>
      <w:r>
        <w:rPr>
          <w:sz w:val="20"/>
        </w:rPr>
        <w:t>ISTH major or clinically relevant non-major (CRNM) bleeding events over 52 weeks</w:t>
      </w:r>
    </w:p>
    <w:p>
      <w:r>
        <w:rPr>
          <w:b/>
          <w:sz w:val="20"/>
        </w:rPr>
        <w:t xml:space="preserve">Key secondary endpoints: </w:t>
      </w:r>
      <w:r>
        <w:rPr>
          <w:sz w:val="20"/>
        </w:rPr>
        <w:t>ISTH major bleeding alone; stroke or SE; net clinical benefit; time to first CRNM bleeding</w:t>
      </w:r>
    </w:p>
    <w:p>
      <w:r>
        <w:rPr>
          <w:b/>
          <w:sz w:val="20"/>
        </w:rPr>
        <w:t xml:space="preserve">Publication: </w:t>
      </w:r>
      <w:r>
        <w:rPr>
          <w:sz w:val="20"/>
        </w:rPr>
        <w:t>Nakamura et al. Lancet 2026; 407(10329): 445–458</w:t>
      </w:r>
    </w:p>
    <w:p/>
    <w:p>
      <w:r>
        <w:rPr>
          <w:b/>
          <w:i w:val="0"/>
          <w:color w:val="363B3B"/>
          <w:sz w:val="20"/>
        </w:rPr>
        <w:t>Key results: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VELOX 40 mg (n=2,306)</w:t>
            </w:r>
          </w:p>
        </w:tc>
        <w:tc>
          <w:tcPr>
            <w:tcW w:type="dxa" w:w="2268"/>
            <w:shd w:fill="830051"/>
          </w:tcPr>
          <w:p>
            <w:r/>
            <w:r>
              <w:rPr>
                <w:b/>
                <w:color w:val="FFFFFF"/>
                <w:sz w:val="18"/>
              </w:rPr>
              <w:t>Apixaban (n=2,306)</w:t>
            </w:r>
          </w:p>
        </w:tc>
        <w:tc>
          <w:tcPr>
            <w:tcW w:type="dxa" w:w="2268"/>
            <w:shd w:fill="830051"/>
          </w:tcPr>
          <w:p>
            <w:r/>
            <w:r>
              <w:rPr>
                <w:b/>
                <w:color w:val="FFFFFF"/>
                <w:sz w:val="18"/>
              </w:rPr>
              <w:t>Treatment effect</w:t>
            </w:r>
          </w:p>
        </w:tc>
      </w:tr>
      <w:tr>
        <w:tc>
          <w:tcPr>
            <w:tcW w:type="dxa" w:w="2268"/>
          </w:tcPr>
          <w:p>
            <w:r/>
            <w:r>
              <w:rPr>
                <w:color w:val="363B3B"/>
                <w:sz w:val="18"/>
              </w:rPr>
              <w:t>Major or CRNM bleeding (primary)</w:t>
            </w:r>
          </w:p>
        </w:tc>
        <w:tc>
          <w:tcPr>
            <w:tcW w:type="dxa" w:w="2268"/>
          </w:tcPr>
          <w:p>
            <w:r/>
            <w:r>
              <w:rPr>
                <w:color w:val="363B3B"/>
                <w:sz w:val="18"/>
              </w:rPr>
              <w:t>4.12%</w:t>
            </w:r>
          </w:p>
        </w:tc>
        <w:tc>
          <w:tcPr>
            <w:tcW w:type="dxa" w:w="2268"/>
          </w:tcPr>
          <w:p>
            <w:r/>
            <w:r>
              <w:rPr>
                <w:color w:val="363B3B"/>
                <w:sz w:val="18"/>
              </w:rPr>
              <w:t>6.97%</w:t>
            </w:r>
          </w:p>
        </w:tc>
        <w:tc>
          <w:tcPr>
            <w:tcW w:type="dxa" w:w="2268"/>
          </w:tcPr>
          <w:p>
            <w:r/>
            <w:r>
              <w:rPr>
                <w:color w:val="363B3B"/>
                <w:sz w:val="18"/>
              </w:rPr>
              <w:t>HR 0.59 (0.49–0.71); P&lt;0.001</w:t>
            </w:r>
          </w:p>
        </w:tc>
      </w:tr>
      <w:tr>
        <w:tc>
          <w:tcPr>
            <w:tcW w:type="dxa" w:w="2268"/>
            <w:shd w:fill="F8F8F8"/>
          </w:tcPr>
          <w:p>
            <w:r/>
            <w:r>
              <w:rPr>
                <w:color w:val="363B3B"/>
                <w:sz w:val="18"/>
              </w:rPr>
              <w:t>ISTH major bleeding</w:t>
            </w:r>
          </w:p>
        </w:tc>
        <w:tc>
          <w:tcPr>
            <w:tcW w:type="dxa" w:w="2268"/>
            <w:shd w:fill="F8F8F8"/>
          </w:tcPr>
          <w:p>
            <w:r/>
            <w:r>
              <w:rPr>
                <w:color w:val="363B3B"/>
                <w:sz w:val="18"/>
              </w:rPr>
              <w:t>1.34%</w:t>
            </w:r>
          </w:p>
        </w:tc>
        <w:tc>
          <w:tcPr>
            <w:tcW w:type="dxa" w:w="2268"/>
            <w:shd w:fill="F8F8F8"/>
          </w:tcPr>
          <w:p>
            <w:r/>
            <w:r>
              <w:rPr>
                <w:color w:val="363B3B"/>
                <w:sz w:val="18"/>
              </w:rPr>
              <w:t>2.28%</w:t>
            </w:r>
          </w:p>
        </w:tc>
        <w:tc>
          <w:tcPr>
            <w:tcW w:type="dxa" w:w="2268"/>
            <w:shd w:fill="F8F8F8"/>
          </w:tcPr>
          <w:p>
            <w:r/>
            <w:r>
              <w:rPr>
                <w:color w:val="363B3B"/>
                <w:sz w:val="18"/>
              </w:rPr>
              <w:t>HR 0.59 (0.42–0.82); P=0.002</w:t>
            </w:r>
          </w:p>
        </w:tc>
      </w:tr>
      <w:tr>
        <w:tc>
          <w:tcPr>
            <w:tcW w:type="dxa" w:w="2268"/>
          </w:tcPr>
          <w:p>
            <w:r/>
            <w:r>
              <w:rPr>
                <w:color w:val="363B3B"/>
                <w:sz w:val="18"/>
              </w:rPr>
              <w:t>Stroke or SE</w:t>
            </w:r>
          </w:p>
        </w:tc>
        <w:tc>
          <w:tcPr>
            <w:tcW w:type="dxa" w:w="2268"/>
          </w:tcPr>
          <w:p>
            <w:r/>
            <w:r>
              <w:rPr>
                <w:color w:val="363B3B"/>
                <w:sz w:val="18"/>
              </w:rPr>
              <w:t>1.82%</w:t>
            </w:r>
          </w:p>
        </w:tc>
        <w:tc>
          <w:tcPr>
            <w:tcW w:type="dxa" w:w="2268"/>
          </w:tcPr>
          <w:p>
            <w:r/>
            <w:r>
              <w:rPr>
                <w:color w:val="363B3B"/>
                <w:sz w:val="18"/>
              </w:rPr>
              <w:t>1.74%</w:t>
            </w:r>
          </w:p>
        </w:tc>
        <w:tc>
          <w:tcPr>
            <w:tcW w:type="dxa" w:w="2268"/>
          </w:tcPr>
          <w:p>
            <w:r/>
            <w:r>
              <w:rPr>
                <w:color w:val="363B3B"/>
                <w:sz w:val="18"/>
              </w:rPr>
              <w:t>HR 1.05 (0.77–1.42); P=0.76 (non-inferior)</w:t>
            </w:r>
          </w:p>
        </w:tc>
      </w:tr>
      <w:tr>
        <w:tc>
          <w:tcPr>
            <w:tcW w:type="dxa" w:w="2268"/>
            <w:shd w:fill="F8F8F8"/>
          </w:tcPr>
          <w:p>
            <w:r/>
            <w:r>
              <w:rPr>
                <w:color w:val="363B3B"/>
                <w:sz w:val="18"/>
              </w:rPr>
              <w:t>Intracranial haemorrhage</w:t>
            </w:r>
          </w:p>
        </w:tc>
        <w:tc>
          <w:tcPr>
            <w:tcW w:type="dxa" w:w="2268"/>
            <w:shd w:fill="F8F8F8"/>
          </w:tcPr>
          <w:p>
            <w:r/>
            <w:r>
              <w:rPr>
                <w:color w:val="363B3B"/>
                <w:sz w:val="18"/>
              </w:rPr>
              <w:t>0.22%</w:t>
            </w:r>
          </w:p>
        </w:tc>
        <w:tc>
          <w:tcPr>
            <w:tcW w:type="dxa" w:w="2268"/>
            <w:shd w:fill="F8F8F8"/>
          </w:tcPr>
          <w:p>
            <w:r/>
            <w:r>
              <w:rPr>
                <w:color w:val="363B3B"/>
                <w:sz w:val="18"/>
              </w:rPr>
              <w:t>0.48%</w:t>
            </w:r>
          </w:p>
        </w:tc>
        <w:tc>
          <w:tcPr>
            <w:tcW w:type="dxa" w:w="2268"/>
            <w:shd w:fill="F8F8F8"/>
          </w:tcPr>
          <w:p>
            <w:r/>
            <w:r>
              <w:rPr>
                <w:color w:val="363B3B"/>
                <w:sz w:val="18"/>
              </w:rPr>
              <w:t>HR 0.46 (0.23–0.90); P=0.024</w:t>
            </w:r>
          </w:p>
        </w:tc>
      </w:tr>
      <w:tr>
        <w:tc>
          <w:tcPr>
            <w:tcW w:type="dxa" w:w="2268"/>
          </w:tcPr>
          <w:p>
            <w:r/>
            <w:r>
              <w:rPr>
                <w:color w:val="363B3B"/>
                <w:sz w:val="18"/>
              </w:rPr>
              <w:t>GI bleeding (major + CRNM)</w:t>
            </w:r>
          </w:p>
        </w:tc>
        <w:tc>
          <w:tcPr>
            <w:tcW w:type="dxa" w:w="2268"/>
          </w:tcPr>
          <w:p>
            <w:r/>
            <w:r>
              <w:rPr>
                <w:color w:val="363B3B"/>
                <w:sz w:val="18"/>
              </w:rPr>
              <w:t>1.74%</w:t>
            </w:r>
          </w:p>
        </w:tc>
        <w:tc>
          <w:tcPr>
            <w:tcW w:type="dxa" w:w="2268"/>
          </w:tcPr>
          <w:p>
            <w:r/>
            <w:r>
              <w:rPr>
                <w:color w:val="363B3B"/>
                <w:sz w:val="18"/>
              </w:rPr>
              <w:t>2.89%</w:t>
            </w:r>
          </w:p>
        </w:tc>
        <w:tc>
          <w:tcPr>
            <w:tcW w:type="dxa" w:w="2268"/>
          </w:tcPr>
          <w:p>
            <w:r/>
            <w:r>
              <w:rPr>
                <w:color w:val="363B3B"/>
                <w:sz w:val="18"/>
              </w:rPr>
              <w:t>HR 0.60 (0.44–0.82); P=0.001</w:t>
            </w:r>
          </w:p>
        </w:tc>
      </w:tr>
      <w:tr>
        <w:tc>
          <w:tcPr>
            <w:tcW w:type="dxa" w:w="2268"/>
            <w:shd w:fill="F8F8F8"/>
          </w:tcPr>
          <w:p>
            <w:r/>
            <w:r>
              <w:rPr>
                <w:color w:val="363B3B"/>
                <w:sz w:val="18"/>
              </w:rPr>
              <w:t>Net clinical benefit</w:t>
            </w:r>
          </w:p>
        </w:tc>
        <w:tc>
          <w:tcPr>
            <w:tcW w:type="dxa" w:w="2268"/>
            <w:shd w:fill="F8F8F8"/>
          </w:tcPr>
          <w:p>
            <w:r/>
            <w:r>
              <w:rPr>
                <w:color w:val="363B3B"/>
                <w:sz w:val="18"/>
              </w:rPr>
              <w:t>6.81%</w:t>
            </w:r>
          </w:p>
        </w:tc>
        <w:tc>
          <w:tcPr>
            <w:tcW w:type="dxa" w:w="2268"/>
            <w:shd w:fill="F8F8F8"/>
          </w:tcPr>
          <w:p>
            <w:r/>
            <w:r>
              <w:rPr>
                <w:color w:val="363B3B"/>
                <w:sz w:val="18"/>
              </w:rPr>
              <w:t>8.92%</w:t>
            </w:r>
          </w:p>
        </w:tc>
        <w:tc>
          <w:tcPr>
            <w:tcW w:type="dxa" w:w="2268"/>
            <w:shd w:fill="F8F8F8"/>
          </w:tcPr>
          <w:p>
            <w:r/>
            <w:r>
              <w:rPr>
                <w:color w:val="363B3B"/>
                <w:sz w:val="18"/>
              </w:rPr>
              <w:t>HR 0.76 (0.66–0.88); P&lt;0.001</w:t>
            </w:r>
          </w:p>
        </w:tc>
      </w:tr>
    </w:tbl>
    <w:p>
      <w:pPr>
        <w:jc w:val="center"/>
      </w:pPr>
      <w:r>
        <w:rPr>
          <w:color w:val="CCCCCC"/>
          <w:sz w:val="16"/>
        </w:rPr>
        <w:t>────────────────────────────────────────────────────────────</w:t>
      </w:r>
    </w:p>
    <w:p>
      <w:pPr>
        <w:pStyle w:val="Heading1"/>
      </w:pPr>
      <w:r>
        <w:rPr>
          <w:color w:val="830051"/>
        </w:rPr>
        <w:t>4. Safety Profile (Pooled VELOCITY data, N=9,420 VELOX)</w:t>
      </w:r>
    </w:p>
    <w:p>
      <w:pPr>
        <w:pStyle w:val="Heading2"/>
      </w:pPr>
      <w:r>
        <w:rPr>
          <w:color w:val="830051"/>
        </w:rPr>
        <w:t>Most common adverse events (≥2%)</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30051"/>
          </w:tcPr>
          <w:p>
            <w:r/>
            <w:r>
              <w:rPr>
                <w:b/>
                <w:color w:val="FFFFFF"/>
                <w:sz w:val="18"/>
              </w:rPr>
              <w:t>Adverse event</w:t>
            </w:r>
          </w:p>
        </w:tc>
        <w:tc>
          <w:tcPr>
            <w:tcW w:type="dxa" w:w="3024"/>
            <w:shd w:fill="830051"/>
          </w:tcPr>
          <w:p>
            <w:r/>
            <w:r>
              <w:rPr>
                <w:b/>
                <w:color w:val="FFFFFF"/>
                <w:sz w:val="18"/>
              </w:rPr>
              <w:t>VELOX (%)</w:t>
            </w:r>
          </w:p>
        </w:tc>
        <w:tc>
          <w:tcPr>
            <w:tcW w:type="dxa" w:w="3024"/>
            <w:shd w:fill="830051"/>
          </w:tcPr>
          <w:p>
            <w:r/>
            <w:r>
              <w:rPr>
                <w:b/>
                <w:color w:val="FFFFFF"/>
                <w:sz w:val="18"/>
              </w:rPr>
              <w:t>Comparator (%)</w:t>
            </w:r>
          </w:p>
        </w:tc>
      </w:tr>
      <w:tr>
        <w:tc>
          <w:tcPr>
            <w:tcW w:type="dxa" w:w="3024"/>
          </w:tcPr>
          <w:p>
            <w:r/>
            <w:r>
              <w:rPr>
                <w:color w:val="363B3B"/>
                <w:sz w:val="18"/>
              </w:rPr>
              <w:t>Nasopharyngitis</w:t>
            </w:r>
          </w:p>
        </w:tc>
        <w:tc>
          <w:tcPr>
            <w:tcW w:type="dxa" w:w="3024"/>
          </w:tcPr>
          <w:p>
            <w:r/>
            <w:r>
              <w:rPr>
                <w:color w:val="363B3B"/>
                <w:sz w:val="18"/>
              </w:rPr>
              <w:t>7.2</w:t>
            </w:r>
          </w:p>
        </w:tc>
        <w:tc>
          <w:tcPr>
            <w:tcW w:type="dxa" w:w="3024"/>
          </w:tcPr>
          <w:p>
            <w:r/>
            <w:r>
              <w:rPr>
                <w:color w:val="363B3B"/>
                <w:sz w:val="18"/>
              </w:rPr>
              <w:t>7.0</w:t>
            </w:r>
          </w:p>
        </w:tc>
      </w:tr>
      <w:tr>
        <w:tc>
          <w:tcPr>
            <w:tcW w:type="dxa" w:w="3024"/>
            <w:shd w:fill="F8F8F8"/>
          </w:tcPr>
          <w:p>
            <w:r/>
            <w:r>
              <w:rPr>
                <w:color w:val="363B3B"/>
                <w:sz w:val="18"/>
              </w:rPr>
              <w:t>Epistaxis</w:t>
            </w:r>
          </w:p>
        </w:tc>
        <w:tc>
          <w:tcPr>
            <w:tcW w:type="dxa" w:w="3024"/>
            <w:shd w:fill="F8F8F8"/>
          </w:tcPr>
          <w:p>
            <w:r/>
            <w:r>
              <w:rPr>
                <w:color w:val="363B3B"/>
                <w:sz w:val="18"/>
              </w:rPr>
              <w:t>4.8</w:t>
            </w:r>
          </w:p>
        </w:tc>
        <w:tc>
          <w:tcPr>
            <w:tcW w:type="dxa" w:w="3024"/>
            <w:shd w:fill="F8F8F8"/>
          </w:tcPr>
          <w:p>
            <w:r/>
            <w:r>
              <w:rPr>
                <w:color w:val="363B3B"/>
                <w:sz w:val="18"/>
              </w:rPr>
              <w:t>5.6</w:t>
            </w:r>
          </w:p>
        </w:tc>
      </w:tr>
      <w:tr>
        <w:tc>
          <w:tcPr>
            <w:tcW w:type="dxa" w:w="3024"/>
          </w:tcPr>
          <w:p>
            <w:r/>
            <w:r>
              <w:rPr>
                <w:color w:val="363B3B"/>
                <w:sz w:val="18"/>
              </w:rPr>
              <w:t>Contusion/bruising</w:t>
            </w:r>
          </w:p>
        </w:tc>
        <w:tc>
          <w:tcPr>
            <w:tcW w:type="dxa" w:w="3024"/>
          </w:tcPr>
          <w:p>
            <w:r/>
            <w:r>
              <w:rPr>
                <w:color w:val="363B3B"/>
                <w:sz w:val="18"/>
              </w:rPr>
              <w:t>4.1</w:t>
            </w:r>
          </w:p>
        </w:tc>
        <w:tc>
          <w:tcPr>
            <w:tcW w:type="dxa" w:w="3024"/>
          </w:tcPr>
          <w:p>
            <w:r/>
            <w:r>
              <w:rPr>
                <w:color w:val="363B3B"/>
                <w:sz w:val="18"/>
              </w:rPr>
              <w:t>5.9</w:t>
            </w:r>
          </w:p>
        </w:tc>
      </w:tr>
      <w:tr>
        <w:tc>
          <w:tcPr>
            <w:tcW w:type="dxa" w:w="3024"/>
            <w:shd w:fill="F8F8F8"/>
          </w:tcPr>
          <w:p>
            <w:r/>
            <w:r>
              <w:rPr>
                <w:color w:val="363B3B"/>
                <w:sz w:val="18"/>
              </w:rPr>
              <w:t>Gingival bleeding</w:t>
            </w:r>
          </w:p>
        </w:tc>
        <w:tc>
          <w:tcPr>
            <w:tcW w:type="dxa" w:w="3024"/>
            <w:shd w:fill="F8F8F8"/>
          </w:tcPr>
          <w:p>
            <w:r/>
            <w:r>
              <w:rPr>
                <w:color w:val="363B3B"/>
                <w:sz w:val="18"/>
              </w:rPr>
              <w:t>3.4</w:t>
            </w:r>
          </w:p>
        </w:tc>
        <w:tc>
          <w:tcPr>
            <w:tcW w:type="dxa" w:w="3024"/>
            <w:shd w:fill="F8F8F8"/>
          </w:tcPr>
          <w:p>
            <w:r/>
            <w:r>
              <w:rPr>
                <w:color w:val="363B3B"/>
                <w:sz w:val="18"/>
              </w:rPr>
              <w:t>4.2</w:t>
            </w:r>
          </w:p>
        </w:tc>
      </w:tr>
      <w:tr>
        <w:tc>
          <w:tcPr>
            <w:tcW w:type="dxa" w:w="3024"/>
          </w:tcPr>
          <w:p>
            <w:r/>
            <w:r>
              <w:rPr>
                <w:color w:val="363B3B"/>
                <w:sz w:val="18"/>
              </w:rPr>
              <w:t>Haematuria</w:t>
            </w:r>
          </w:p>
        </w:tc>
        <w:tc>
          <w:tcPr>
            <w:tcW w:type="dxa" w:w="3024"/>
          </w:tcPr>
          <w:p>
            <w:r/>
            <w:r>
              <w:rPr>
                <w:color w:val="363B3B"/>
                <w:sz w:val="18"/>
              </w:rPr>
              <w:t>2.8</w:t>
            </w:r>
          </w:p>
        </w:tc>
        <w:tc>
          <w:tcPr>
            <w:tcW w:type="dxa" w:w="3024"/>
          </w:tcPr>
          <w:p>
            <w:r/>
            <w:r>
              <w:rPr>
                <w:color w:val="363B3B"/>
                <w:sz w:val="18"/>
              </w:rPr>
              <w:t>3.7</w:t>
            </w:r>
          </w:p>
        </w:tc>
      </w:tr>
      <w:tr>
        <w:tc>
          <w:tcPr>
            <w:tcW w:type="dxa" w:w="3024"/>
            <w:shd w:fill="F8F8F8"/>
          </w:tcPr>
          <w:p>
            <w:r/>
            <w:r>
              <w:rPr>
                <w:color w:val="363B3B"/>
                <w:sz w:val="18"/>
              </w:rPr>
              <w:t>Dizziness</w:t>
            </w:r>
          </w:p>
        </w:tc>
        <w:tc>
          <w:tcPr>
            <w:tcW w:type="dxa" w:w="3024"/>
            <w:shd w:fill="F8F8F8"/>
          </w:tcPr>
          <w:p>
            <w:r/>
            <w:r>
              <w:rPr>
                <w:color w:val="363B3B"/>
                <w:sz w:val="18"/>
              </w:rPr>
              <w:t>2.6</w:t>
            </w:r>
          </w:p>
        </w:tc>
        <w:tc>
          <w:tcPr>
            <w:tcW w:type="dxa" w:w="3024"/>
            <w:shd w:fill="F8F8F8"/>
          </w:tcPr>
          <w:p>
            <w:r/>
            <w:r>
              <w:rPr>
                <w:color w:val="363B3B"/>
                <w:sz w:val="18"/>
              </w:rPr>
              <w:t>2.4</w:t>
            </w:r>
          </w:p>
        </w:tc>
      </w:tr>
      <w:tr>
        <w:tc>
          <w:tcPr>
            <w:tcW w:type="dxa" w:w="3024"/>
          </w:tcPr>
          <w:p>
            <w:r/>
            <w:r>
              <w:rPr>
                <w:color w:val="363B3B"/>
                <w:sz w:val="18"/>
              </w:rPr>
              <w:t>Dyspepsia</w:t>
            </w:r>
          </w:p>
        </w:tc>
        <w:tc>
          <w:tcPr>
            <w:tcW w:type="dxa" w:w="3024"/>
          </w:tcPr>
          <w:p>
            <w:r/>
            <w:r>
              <w:rPr>
                <w:color w:val="363B3B"/>
                <w:sz w:val="18"/>
              </w:rPr>
              <w:t>2.3</w:t>
            </w:r>
          </w:p>
        </w:tc>
        <w:tc>
          <w:tcPr>
            <w:tcW w:type="dxa" w:w="3024"/>
          </w:tcPr>
          <w:p>
            <w:r/>
            <w:r>
              <w:rPr>
                <w:color w:val="363B3B"/>
                <w:sz w:val="18"/>
              </w:rPr>
              <w:t>2.1</w:t>
            </w:r>
          </w:p>
        </w:tc>
      </w:tr>
      <w:tr>
        <w:tc>
          <w:tcPr>
            <w:tcW w:type="dxa" w:w="3024"/>
            <w:shd w:fill="F8F8F8"/>
          </w:tcPr>
          <w:p>
            <w:r/>
            <w:r>
              <w:rPr>
                <w:color w:val="363B3B"/>
                <w:sz w:val="18"/>
              </w:rPr>
              <w:t>Diarrhoea</w:t>
            </w:r>
          </w:p>
        </w:tc>
        <w:tc>
          <w:tcPr>
            <w:tcW w:type="dxa" w:w="3024"/>
            <w:shd w:fill="F8F8F8"/>
          </w:tcPr>
          <w:p>
            <w:r/>
            <w:r>
              <w:rPr>
                <w:color w:val="363B3B"/>
                <w:sz w:val="18"/>
              </w:rPr>
              <w:t>2.1</w:t>
            </w:r>
          </w:p>
        </w:tc>
        <w:tc>
          <w:tcPr>
            <w:tcW w:type="dxa" w:w="3024"/>
            <w:shd w:fill="F8F8F8"/>
          </w:tcPr>
          <w:p>
            <w:r/>
            <w:r>
              <w:rPr>
                <w:color w:val="363B3B"/>
                <w:sz w:val="18"/>
              </w:rPr>
              <w:t>1.9</w:t>
            </w:r>
          </w:p>
        </w:tc>
      </w:tr>
    </w:tbl>
    <w:p/>
    <w:p>
      <w:pPr>
        <w:pStyle w:val="Heading2"/>
      </w:pPr>
      <w:r>
        <w:rPr>
          <w:color w:val="830051"/>
        </w:rPr>
        <w:t>Bleeding events (pooled VELOCITY-AF + VELOCITY-BLEED)</w:t>
      </w:r>
    </w:p>
    <w:p>
      <w:r>
        <w:rPr>
          <w:b w:val="0"/>
          <w:i w:val="0"/>
          <w:color w:val="363B3B"/>
          <w:sz w:val="20"/>
        </w:rPr>
        <w:t>VELOX demonstrated a consistently lower bleeding rate across all categories compared with established Factor Xa inhibitors. ISTH major bleeding occurred in 1.52%/year (VELOCITY-AF) and 1.34% (VELOCITY-BLEED) of VELOX-treated patients, representing 41% relative risk reductions versus rivaroxaban and apixaban respectively. Intracranial haemorrhage, the most feared complication of anticoagulation, was reduced by 54–60% with VELOX across both trials.¹ ²</w:t>
      </w:r>
    </w:p>
    <w:p/>
    <w:p>
      <w:pPr>
        <w:pStyle w:val="Heading2"/>
      </w:pPr>
      <w:r>
        <w:rPr>
          <w:color w:val="830051"/>
        </w:rPr>
        <w:t>Hepatic safety</w:t>
      </w:r>
    </w:p>
    <w:p>
      <w:r>
        <w:rPr>
          <w:b w:val="0"/>
          <w:i w:val="0"/>
          <w:color w:val="363B3B"/>
          <w:sz w:val="20"/>
        </w:rPr>
        <w:t>ALT elevations &gt;3× ULN occurred in 1.1% of VELOX-treated patients vs 0.9% comparator across pooled data. No cases of Hy’s Law were observed. Routine hepatic monitoring is not required, but liver function should be assessed prior to initiation and if clinically indicated during treatment.³</w:t>
      </w:r>
    </w:p>
    <w:p/>
    <w:p>
      <w:pPr>
        <w:pStyle w:val="Heading2"/>
      </w:pPr>
      <w:r>
        <w:rPr>
          <w:color w:val="830051"/>
        </w:rPr>
        <w:t>Key safety findings</w:t>
      </w:r>
    </w:p>
    <w:p>
      <w:r>
        <w:rPr>
          <w:b/>
          <w:sz w:val="20"/>
        </w:rPr>
        <w:t xml:space="preserve">Serious adverse events: </w:t>
      </w:r>
      <w:r>
        <w:rPr>
          <w:sz w:val="20"/>
        </w:rPr>
        <w:t>12.4% VELOX vs 13.8% comparator (driven by fewer bleeding-related hospitalisations)</w:t>
      </w:r>
    </w:p>
    <w:p>
      <w:r>
        <w:rPr>
          <w:b/>
          <w:sz w:val="20"/>
        </w:rPr>
        <w:t xml:space="preserve">Treatment discontinuation due to AEs: </w:t>
      </w:r>
      <w:r>
        <w:rPr>
          <w:sz w:val="20"/>
        </w:rPr>
        <w:t>4.8% vs 5.4%</w:t>
      </w:r>
    </w:p>
    <w:p>
      <w:r>
        <w:rPr>
          <w:b/>
          <w:sz w:val="20"/>
        </w:rPr>
        <w:t xml:space="preserve">All-cause mortality: </w:t>
      </w:r>
      <w:r>
        <w:rPr>
          <w:sz w:val="20"/>
        </w:rPr>
        <w:t>3.14%/year vs 3.38%/year in VELOCITY-AF (HR 0.93; P=0.21)</w:t>
      </w:r>
    </w:p>
    <w:p>
      <w:r>
        <w:rPr>
          <w:b/>
          <w:sz w:val="20"/>
        </w:rPr>
        <w:t xml:space="preserve">Myocardial infarction: </w:t>
      </w:r>
      <w:r>
        <w:rPr>
          <w:sz w:val="20"/>
        </w:rPr>
        <w:t>0.84%/year vs 0.91%/year (no increase in coronary events)</w:t>
      </w:r>
    </w:p>
    <w:p>
      <w:r>
        <w:rPr>
          <w:b/>
          <w:sz w:val="20"/>
        </w:rPr>
        <w:t xml:space="preserve">Drug interactions: </w:t>
      </w:r>
      <w:r>
        <w:rPr>
          <w:sz w:val="20"/>
        </w:rPr>
        <w:t>Strong dual CYP3A4/P-gp inhibitors (ketoconazole, ritonavir) increase veloxaban exposure ~2.1-fold; avoid concomitant use. Moderate CYP3A4 inhibitors (diltiazem, erythromycin): no dose adjustment required³</w:t>
      </w:r>
    </w:p>
    <w:p>
      <w:r>
        <w:rPr>
          <w:b/>
          <w:sz w:val="20"/>
        </w:rPr>
        <w:t xml:space="preserve">Renal impairment: </w:t>
      </w:r>
      <w:r>
        <w:rPr>
          <w:sz w:val="20"/>
        </w:rPr>
        <w:t>No dose adjustment for CrCl ≥30 mL/min. Not studied in CrCl &lt;30 mL/min or dialysis. Contraindicated in CrCl &lt;15 mL/min³</w:t>
      </w:r>
    </w:p>
    <w:p/>
    <w:p>
      <w:pPr>
        <w:pStyle w:val="Heading2"/>
      </w:pPr>
      <w:r>
        <w:rPr>
          <w:color w:val="830051"/>
        </w:rPr>
        <w:t>Special populations</w:t>
      </w:r>
    </w:p>
    <w:p>
      <w:pPr>
        <w:pStyle w:val="ListBullet"/>
      </w:pPr>
      <w:r>
        <w:rPr>
          <w:b/>
          <w:sz w:val="20"/>
        </w:rPr>
        <w:t>Elderly (≥75 years):</w:t>
      </w:r>
      <w:r>
        <w:rPr>
          <w:sz w:val="20"/>
        </w:rPr>
        <w:t xml:space="preserve"> 38% of VELOCITY-AF patients were ≥75 years. Efficacy and safety consistent with the overall population. No dose adjustment required.³</w:t>
      </w:r>
    </w:p>
    <w:p>
      <w:pPr>
        <w:pStyle w:val="ListBullet"/>
      </w:pPr>
      <w:r>
        <w:rPr>
          <w:b/>
          <w:sz w:val="20"/>
        </w:rPr>
        <w:t>Renal impairment (CrCl 30–49 mL/min):</w:t>
      </w:r>
      <w:r>
        <w:rPr>
          <w:sz w:val="20"/>
        </w:rPr>
        <w:t xml:space="preserve"> No dose reduction required (unlike rivaroxaban). In the renal impairment subgroup of VELOCITY-AF, major bleeding was 1.64%/year vs 3.12%/year for rivaroxaban.¹ ³</w:t>
      </w:r>
    </w:p>
    <w:p>
      <w:pPr>
        <w:pStyle w:val="ListBullet"/>
      </w:pPr>
      <w:r>
        <w:rPr>
          <w:b/>
          <w:sz w:val="20"/>
        </w:rPr>
        <w:t>Low body weight (&lt;60 kg):</w:t>
      </w:r>
      <w:r>
        <w:rPr>
          <w:sz w:val="20"/>
        </w:rPr>
        <w:t xml:space="preserve"> Exposure modestly increased (1.3-fold). No dose adjustment required based on VELOCITY-AF subgroup analysis showing consistent efficacy and safety.³</w:t>
      </w:r>
    </w:p>
    <w:p>
      <w:pPr>
        <w:pStyle w:val="ListBullet"/>
      </w:pPr>
      <w:r>
        <w:rPr>
          <w:b/>
          <w:sz w:val="20"/>
        </w:rPr>
        <w:t>Hepatic impairment:</w:t>
      </w:r>
      <w:r>
        <w:rPr>
          <w:sz w:val="20"/>
        </w:rPr>
        <w:t xml:space="preserve"> Not recommended in Child-Pugh C. No dose adjustment for Child-Pugh A or B.³</w:t>
      </w:r>
    </w:p>
    <w:p>
      <w:pPr>
        <w:pStyle w:val="ListBullet"/>
      </w:pPr>
      <w:r>
        <w:rPr>
          <w:b/>
          <w:sz w:val="20"/>
        </w:rPr>
        <w:t>Concomitant antiplatelet therapy:</w:t>
      </w:r>
      <w:r>
        <w:rPr>
          <w:sz w:val="20"/>
        </w:rPr>
        <w:t xml:space="preserve"> 14% of VELOCITY-AF patients received aspirin. Bleeding increase with dual therapy was smaller with VELOX than rivaroxaban. Triple therapy (DAPT + anticoagulant) was excluded from trials.³</w:t>
      </w:r>
    </w:p>
    <w:p>
      <w:pPr>
        <w:jc w:val="center"/>
      </w:pPr>
      <w:r>
        <w:rPr>
          <w:color w:val="CCCCCC"/>
          <w:sz w:val="16"/>
        </w:rPr>
        <w:t>────────────────────────────────────────────────────────────</w:t>
      </w:r>
    </w:p>
    <w:p>
      <w:pPr>
        <w:pStyle w:val="Heading1"/>
      </w:pPr>
      <w:r>
        <w:rPr>
          <w:color w:val="830051"/>
        </w:rPr>
        <w:t>5. Prescribing Information (abbreviated — for every page footer)</w:t>
      </w:r>
    </w:p>
    <w:p>
      <w:r>
        <w:rPr>
          <w:b w:val="0"/>
          <w:i w:val="0"/>
          <w:color w:val="363B3B"/>
          <w:sz w:val="18"/>
        </w:rPr>
        <w:t>VELOX (veloxaban) 40 mg film-coated tablets. Please refer to the Summary of Product Characteristics (SmPC) before prescribing. Indication: Prevention of stroke and systemic embolism in adult patients with non-valvular atrial fibrillation with one or more risk factors for stroke (prior stroke/TIA/SE, age ≥75 years, hypertension, diabetes mellitus, heart failure NYHA ≥II). Dosage and administration: 40 mg once daily, with or without food. Swallow whole; do not crush, split, or chew. No dose adjustment required for age, body weight, or renal impairment (CrCl ≥30 mL/min). Contraindicated in CrCl &lt;15 mL/min. Contraindications: Hypersensitivity to veloxaban or excipients; active clinically significant bleeding; hepatic disease associated with coagulopathy (Child-Pugh C); concomitant treatment with strong dual CYP3A4/P-gp inhibitors; lesion or condition at significant risk of major bleeding; prosthetic heart valve requiring anticoagulant treatment. Warnings and precautions: Assess renal function before initiation and when clinically indicated during treatment. Discontinue if severe hepatic impairment develops. If switching from a vitamin K antagonist, discontinue VKA and start VELOX when INR &lt;2.0. Reversal: No specific antidote; andexanet alfa is not expected to reverse veloxaban. Manage major bleeding with standard supportive measures and consider prothrombin complex concentrate. Interactions: Avoid strong dual CYP3A4/P-gp inhibitors (ketoconazole, itraconazole, ritonavir). Strong CYP3A4/P-gp inducers (rifampicin, carbamazepine, phenytoin) may reduce efficacy; avoid concomitant use. Side effects: Common (≥1/100 to &lt;1/10): epistaxis, contusion, gingival bleeding, haematuria. Uncommon (≥1/1000 to &lt;1/100): intracranial haemorrhage, gastrointestinal haemorrhage, ALT increase. Legal category: POM. Pack and price: 28 tablets (40 mg): £58.80; 56 tablets (40 mg): £117.60. Marketing authorisation holder: AstraZeneca UK Ltd. MA number: PLGB 17901/0721. Full prescribing information available from: AstraZeneca UK Ltd, 2 Pancras Square, London N1C 4AG. GB-10247 | DOP: March 2026.</w:t>
      </w:r>
    </w:p>
    <w:p>
      <w:pPr>
        <w:jc w:val="center"/>
      </w:pPr>
      <w:r>
        <w:rPr>
          <w:color w:val="CCCCCC"/>
          <w:sz w:val="16"/>
        </w:rPr>
        <w:t>────────────────────────────────────────────────────────────</w:t>
      </w:r>
    </w:p>
    <w:p>
      <w:pPr>
        <w:pStyle w:val="Heading1"/>
      </w:pPr>
      <w:r>
        <w:rPr>
          <w:color w:val="830051"/>
        </w:rPr>
        <w:t>6. Adverse Event Reporting (for every page footer)</w:t>
      </w:r>
    </w:p>
    <w:p>
      <w:r>
        <w:rPr>
          <w:b w:val="0"/>
          <w:i w:val="0"/>
          <w:color w:val="363B3B"/>
          <w:sz w:val="20"/>
        </w:rPr>
        <w:t>Adverse events should be reported. Reporting forms and information can be found at www.mhra.gov.uk/yellowcard or search for MHRA Yellow Card in the Google Play or Apple App Store. Adverse events should also be reported to AstraZeneca by visiting contactazmedical.astrazeneca.com or by calling 0800 783 0033.</w:t>
      </w:r>
    </w:p>
    <w:p>
      <w:pPr>
        <w:jc w:val="center"/>
      </w:pPr>
      <w:r>
        <w:rPr>
          <w:color w:val="CCCCCC"/>
          <w:sz w:val="16"/>
        </w:rPr>
        <w:t>────────────────────────────────────────────────────────────</w:t>
      </w:r>
    </w:p>
    <w:p>
      <w:pPr>
        <w:pStyle w:val="Heading1"/>
      </w:pPr>
      <w:r>
        <w:rPr>
          <w:color w:val="830051"/>
        </w:rPr>
        <w:t>7. References (for every page footer)</w:t>
      </w:r>
    </w:p>
    <w:p>
      <w:r>
        <w:rPr>
          <w:i/>
          <w:sz w:val="20"/>
        </w:rPr>
        <w:t>1.  Whitfield et al. N Engl J Med 2025; 393(8): 702–715.</w:t>
      </w:r>
    </w:p>
    <w:p>
      <w:r>
        <w:rPr>
          <w:i/>
          <w:sz w:val="20"/>
        </w:rPr>
        <w:t>2.  Nakamura et al. Lancet 2026; 407(10329): 445–458.</w:t>
      </w:r>
    </w:p>
    <w:p>
      <w:r>
        <w:rPr>
          <w:i/>
          <w:sz w:val="20"/>
        </w:rPr>
        <w:t>3.  VELOX (veloxaban) Summary of Product Characteristics. AstraZeneca UK Ltd. January 2026.</w:t>
      </w:r>
    </w:p>
    <w:p>
      <w:r>
        <w:rPr>
          <w:i/>
          <w:sz w:val="20"/>
        </w:rPr>
        <w:t>4.  Weitz JI, Fredenburgh JC. J Clin Invest 2022; 132(7): e157706.</w:t>
      </w:r>
    </w:p>
    <w:p>
      <w:r>
        <w:rPr>
          <w:i/>
          <w:sz w:val="20"/>
        </w:rPr>
        <w:t>5.  Grünberg M, et al. Blood 2021; 137(6): 767–778.</w:t>
      </w:r>
    </w:p>
    <w:p>
      <w:pPr>
        <w:jc w:val="center"/>
      </w:pPr>
      <w:r>
        <w:rPr>
          <w:color w:val="CCCCCC"/>
          <w:sz w:val="16"/>
        </w:rPr>
        <w:t>────────────────────────────────────────────────────────────</w:t>
      </w:r>
    </w:p>
    <w:p>
      <w:pPr>
        <w:pStyle w:val="Heading1"/>
      </w:pPr>
      <w:r>
        <w:rPr>
          <w:color w:val="830051"/>
        </w:rPr>
        <w:t>8. Site Navigation</w:t>
      </w:r>
    </w:p>
    <w:p>
      <w:r>
        <w:rPr>
          <w:b/>
          <w:sz w:val="20"/>
        </w:rPr>
        <w:t xml:space="preserve">Top bar links: </w:t>
      </w:r>
      <w:r>
        <w:rPr>
          <w:sz w:val="20"/>
        </w:rPr>
        <w:t>Contact Us (https://www.astrazeneca.co.uk/contact-us.html) | AZ Employee Login (https://login.astrazeneca.com)</w:t>
      </w:r>
    </w:p>
    <w:p>
      <w:r>
        <w:rPr>
          <w:b/>
          <w:sz w:val="20"/>
        </w:rPr>
        <w:t xml:space="preserve">Main navigation pages: </w:t>
      </w:r>
      <w:r>
        <w:rPr>
          <w:sz w:val="20"/>
        </w:rPr>
        <w:t>VELOCITY Data | Safety | Dosing &amp; Administration | How VELOX Works | Resources</w:t>
      </w:r>
    </w:p>
    <w:p>
      <w:r>
        <w:rPr>
          <w:b/>
          <w:sz w:val="20"/>
        </w:rPr>
        <w:t xml:space="preserve">Utility: </w:t>
      </w:r>
      <w:r>
        <w:rPr>
          <w:sz w:val="20"/>
        </w:rPr>
        <w:t>Search | Login</w:t>
      </w:r>
    </w:p>
    <w:p>
      <w:r>
        <w:br w:type="page"/>
      </w:r>
    </w:p>
    <w:p>
      <w:pPr>
        <w:pStyle w:val="Heading1"/>
      </w:pPr>
      <w:r>
        <w:rPr>
          <w:color w:val="830051"/>
        </w:rPr>
        <w:t>9. Page Content</w:t>
      </w:r>
    </w:p>
    <w:p>
      <w:r>
        <w:rPr>
          <w:b/>
          <w:color w:val="CC0000"/>
          <w:sz w:val="20"/>
        </w:rPr>
        <w:t>IMPORTANT: All copy below is final and MLR-approved. It must be used exactly as written — do not modify, rephrase, or abbreviate any text. All superscript reference numbers, statistical values, and regulatory language must be reproduced verbatim.</w:t>
      </w:r>
    </w:p>
    <w:p>
      <w:r>
        <w:rPr>
          <w:b/>
          <w:color w:val="CC0000"/>
          <w:sz w:val="20"/>
        </w:rPr>
        <w:t>Each page must end with expandable sections for Prescribing Information, Adverse Event Reporting, and References (see sections 5, 6, and 7 above).</w:t>
      </w:r>
    </w:p>
    <w:p>
      <w:r>
        <w:rPr>
          <w:b/>
          <w:color w:val="CC0000"/>
          <w:sz w:val="20"/>
        </w:rPr>
        <w:t>VELOX brand rule: VELOX always appears in capitals, with ® on first mention per page. Generic name (veloxaban) in lowercase parentheses on first mention. Tagline "Protection without compromise." verbatim only.</w:t>
      </w:r>
    </w:p>
    <w:p>
      <w:pPr>
        <w:jc w:val="center"/>
      </w:pPr>
      <w:r>
        <w:rPr>
          <w:color w:val="CCCCCC"/>
          <w:sz w:val="16"/>
        </w:rPr>
        <w:t>────────────────────────────────────────────────────────────</w:t>
      </w:r>
    </w:p>
    <w:p>
      <w:r>
        <w:br w:type="page"/>
      </w:r>
    </w:p>
    <w:p>
      <w:pPr>
        <w:pStyle w:val="Heading2"/>
      </w:pPr>
      <w:r>
        <w:rPr>
          <w:color w:val="830051"/>
        </w:rPr>
        <w:t>PAGE 1: Home</w:t>
      </w:r>
    </w:p>
    <w:p>
      <w:r>
        <w:rPr>
          <w:b/>
          <w:sz w:val="20"/>
        </w:rPr>
        <w:t xml:space="preserve">URL path: </w:t>
      </w:r>
      <w:r>
        <w:rPr>
          <w:sz w:val="20"/>
        </w:rPr>
        <w:t>/velox/</w:t>
      </w:r>
    </w:p>
    <w:p>
      <w:pPr>
        <w:jc w:val="center"/>
      </w:pPr>
      <w:r>
        <w:rPr>
          <w:color w:val="CCCCCC"/>
          <w:sz w:val="16"/>
        </w:rPr>
        <w:t>────────────────────────────────────────────────────────────</w:t>
      </w:r>
    </w:p>
    <w:p>
      <w:pPr>
        <w:pStyle w:val="Heading3"/>
      </w:pPr>
      <w:r>
        <w:rPr>
          <w:color w:val="1A365D"/>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1" name="Picture 1"/>
            <wp:cNvGraphicFramePr>
              <a:graphicFrameLocks noChangeAspect="1"/>
            </wp:cNvGraphicFramePr>
            <a:graphic>
              <a:graphicData uri="http://schemas.openxmlformats.org/drawingml/2006/picture">
                <pic:pic>
                  <pic:nvPicPr>
                    <pic:cNvPr id="0" name="hero-home.jpeg"/>
                    <pic:cNvPicPr/>
                  </pic:nvPicPr>
                  <pic:blipFill>
                    <a:blip r:embed="rId9"/>
                    <a:stretch>
                      <a:fillRect/>
                    </a:stretch>
                  </pic:blipFill>
                  <pic:spPr>
                    <a:xfrm>
                      <a:off x="0" y="0"/>
                      <a:ext cx="5029200" cy="2806995"/>
                    </a:xfrm>
                    <a:prstGeom prst="rect"/>
                  </pic:spPr>
                </pic:pic>
              </a:graphicData>
            </a:graphic>
          </wp:inline>
        </w:drawing>
      </w:r>
    </w:p>
    <w:p>
      <w:pPr>
        <w:jc w:val="center"/>
      </w:pPr>
      <w:r>
        <w:rPr>
          <w:color w:val="005599"/>
          <w:sz w:val="16"/>
          <w:u w:val="single"/>
        </w:rPr>
        <w:t>https://velox-images.pages.dev/hero-home.jpeg</w:t>
      </w:r>
    </w:p>
    <w:p>
      <w:pPr>
        <w:jc w:val="center"/>
      </w:pPr>
      <w:r>
        <w:rPr>
          <w:i/>
          <w:color w:val="666666"/>
          <w:sz w:val="16"/>
        </w:rPr>
        <w:t>Usage: Home — hero</w:t>
      </w:r>
    </w:p>
    <w:p>
      <w:r>
        <w:rPr>
          <w:b/>
          <w:sz w:val="20"/>
        </w:rPr>
        <w:t xml:space="preserve">Heading: </w:t>
      </w:r>
      <w:r>
        <w:rPr>
          <w:sz w:val="20"/>
        </w:rPr>
        <w:t>VELOX® (veloxaban)</w:t>
      </w:r>
    </w:p>
    <w:p>
      <w:r>
        <w:rPr>
          <w:b/>
        </w:rPr>
        <w:t xml:space="preserve">Body text: </w:t>
      </w:r>
      <w:r>
        <w:t>The first oral Factor XIa inhibitor for stroke prevention in atrial fibrillation. Non-inferior stroke protection with 41% fewer major bleeds versus rivaroxaban. Protection without compromise.¹</w:t>
      </w:r>
    </w:p>
    <w:p>
      <w:r>
        <w:rPr>
          <w:b/>
          <w:sz w:val="20"/>
        </w:rPr>
        <w:t xml:space="preserve">Call to action: </w:t>
      </w:r>
      <w:r>
        <w:rPr>
          <w:sz w:val="20"/>
        </w:rPr>
        <w:t>Explore the VELOCITY data → /velox/velocity-data</w:t>
      </w:r>
    </w:p>
    <w:p>
      <w:pPr>
        <w:jc w:val="center"/>
      </w:pPr>
      <w:r>
        <w:rPr>
          <w:color w:val="CCCCCC"/>
          <w:sz w:val="16"/>
        </w:rPr>
        <w:t>────────────────────────────────────────────────────────────</w:t>
      </w:r>
    </w:p>
    <w:p>
      <w:pPr>
        <w:pStyle w:val="Heading3"/>
      </w:pPr>
      <w:r>
        <w:rPr>
          <w:color w:val="1A365D"/>
        </w:rPr>
        <w:t>Section 2 — Three key benefit cards (equal columns)</w:t>
      </w:r>
    </w:p>
    <w:p>
      <w:r>
        <w:rPr>
          <w:b/>
          <w:sz w:val="20"/>
        </w:rPr>
        <w:t xml:space="preserve">Block: </w:t>
      </w:r>
      <w:r>
        <w:rPr>
          <w:sz w:val="20"/>
        </w:rPr>
        <w:t>cards-teaser</w:t>
      </w:r>
    </w:p>
    <w:p/>
    <w:p>
      <w:pPr>
        <w:jc w:val="center"/>
      </w:pPr>
      <w:r>
        <w:drawing>
          <wp:inline xmlns:a="http://schemas.openxmlformats.org/drawingml/2006/main" xmlns:pic="http://schemas.openxmlformats.org/drawingml/2006/picture">
            <wp:extent cx="2743200" cy="2048256"/>
            <wp:docPr id="2" name="Picture 2"/>
            <wp:cNvGraphicFramePr>
              <a:graphicFrameLocks noChangeAspect="1"/>
            </wp:cNvGraphicFramePr>
            <a:graphic>
              <a:graphicData uri="http://schemas.openxmlformats.org/drawingml/2006/picture">
                <pic:pic>
                  <pic:nvPicPr>
                    <pic:cNvPr id="0" name="card-stroke.jpeg"/>
                    <pic:cNvPicPr/>
                  </pic:nvPicPr>
                  <pic:blipFill>
                    <a:blip r:embed="rId10"/>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https://velox-images.pages.dev/card-stroke.jpeg</w:t>
      </w:r>
    </w:p>
    <w:p>
      <w:pPr>
        <w:jc w:val="center"/>
      </w:pPr>
      <w:r>
        <w:rPr>
          <w:i/>
          <w:color w:val="666666"/>
          <w:sz w:val="16"/>
        </w:rPr>
        <w:t>Usage: Home — stroke reduction card</w:t>
      </w:r>
    </w:p>
    <w:p>
      <w:r>
        <w:rPr>
          <w:b/>
          <w:sz w:val="20"/>
        </w:rPr>
        <w:t xml:space="preserve">Card heading: </w:t>
      </w:r>
      <w:r>
        <w:rPr>
          <w:sz w:val="20"/>
        </w:rPr>
        <w:t>Non-inferior stroke prevention</w:t>
      </w:r>
    </w:p>
    <w:p>
      <w:r>
        <w:rPr>
          <w:b/>
        </w:rPr>
        <w:t xml:space="preserve">Card body: </w:t>
      </w:r>
      <w:r>
        <w:t>In VELOCITY-AF, VELOX demonstrated non-inferior efficacy to rivaroxaban for the prevention of stroke and systemic embolism (HR 0.97; 95% CI: 0.83–1.14; P&lt;0.001 for non-inferiority), in 14,228 patients with non-valvular atrial fibrillation over a median 24-month treatment period.¹</w:t>
      </w:r>
    </w:p>
    <w:p>
      <w:r>
        <w:rPr>
          <w:b/>
          <w:sz w:val="20"/>
        </w:rPr>
        <w:t xml:space="preserve">Card link: </w:t>
      </w:r>
      <w:r>
        <w:rPr>
          <w:sz w:val="20"/>
        </w:rPr>
        <w:t>View VELOCITY data → /velox/velocity-data</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3" name="Picture 3"/>
            <wp:cNvGraphicFramePr>
              <a:graphicFrameLocks noChangeAspect="1"/>
            </wp:cNvGraphicFramePr>
            <a:graphic>
              <a:graphicData uri="http://schemas.openxmlformats.org/drawingml/2006/picture">
                <pic:pic>
                  <pic:nvPicPr>
                    <pic:cNvPr id="0" name="card-bleeding.jpeg"/>
                    <pic:cNvPicPr/>
                  </pic:nvPicPr>
                  <pic:blipFill>
                    <a:blip r:embed="rId11"/>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https://velox-images.pages.dev/card-bleeding.jpeg</w:t>
      </w:r>
    </w:p>
    <w:p>
      <w:pPr>
        <w:jc w:val="center"/>
      </w:pPr>
      <w:r>
        <w:rPr>
          <w:i/>
          <w:color w:val="666666"/>
          <w:sz w:val="16"/>
        </w:rPr>
        <w:t>Usage: Home — bleeding safety card</w:t>
      </w:r>
    </w:p>
    <w:p>
      <w:r>
        <w:rPr>
          <w:b/>
          <w:sz w:val="20"/>
        </w:rPr>
        <w:t xml:space="preserve">Card heading: </w:t>
      </w:r>
      <w:r>
        <w:rPr>
          <w:sz w:val="20"/>
        </w:rPr>
        <w:t>41% fewer major bleeding events</w:t>
      </w:r>
    </w:p>
    <w:p>
      <w:r>
        <w:rPr>
          <w:b/>
        </w:rPr>
        <w:t xml:space="preserve">Card body: </w:t>
      </w:r>
      <w:r>
        <w:t>VELOX significantly reduced ISTH major bleeding by 41% versus rivaroxaban (HR 0.59; 95% CI: 0.50–0.69; P&lt;0.001). Intracranial haemorrhage was reduced by 60% (HR 0.40; P&lt;0.001) and gastrointestinal major bleeding by 40% (HR 0.60; P&lt;0.001).¹</w:t>
      </w:r>
    </w:p>
    <w:p>
      <w:r>
        <w:rPr>
          <w:b/>
          <w:sz w:val="20"/>
        </w:rPr>
        <w:t xml:space="preserve">Card link: </w:t>
      </w:r>
      <w:r>
        <w:rPr>
          <w:sz w:val="20"/>
        </w:rPr>
        <w:t>Explore safety profile → /velox/safety</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4" name="Picture 4"/>
            <wp:cNvGraphicFramePr>
              <a:graphicFrameLocks noChangeAspect="1"/>
            </wp:cNvGraphicFramePr>
            <a:graphic>
              <a:graphicData uri="http://schemas.openxmlformats.org/drawingml/2006/picture">
                <pic:pic>
                  <pic:nvPicPr>
                    <pic:cNvPr id="0" name="card-dosing.jpeg"/>
                    <pic:cNvPicPr/>
                  </pic:nvPicPr>
                  <pic:blipFill>
                    <a:blip r:embed="rId12"/>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https://velox-images.pages.dev/card-dosing.jpeg</w:t>
      </w:r>
    </w:p>
    <w:p>
      <w:pPr>
        <w:jc w:val="center"/>
      </w:pPr>
      <w:r>
        <w:rPr>
          <w:i/>
          <w:color w:val="666666"/>
          <w:sz w:val="16"/>
        </w:rPr>
        <w:t>Usage: Home — dosing simplicity card</w:t>
      </w:r>
    </w:p>
    <w:p>
      <w:r>
        <w:rPr>
          <w:b/>
          <w:sz w:val="20"/>
        </w:rPr>
        <w:t xml:space="preserve">Card heading: </w:t>
      </w:r>
      <w:r>
        <w:rPr>
          <w:sz w:val="20"/>
        </w:rPr>
        <w:t>Simple once-daily dosing</w:t>
      </w:r>
    </w:p>
    <w:p>
      <w:r>
        <w:rPr>
          <w:b/>
        </w:rPr>
        <w:t xml:space="preserve">Card body: </w:t>
      </w:r>
      <w:r>
        <w:t>One 40 mg tablet once daily, with or without food. No dose adjustment for age, body weight, or renal impairment (CrCl ≥30 mL/min). A simplified regimen designed to support adherence and reduce prescribing complexity.³</w:t>
      </w:r>
    </w:p>
    <w:p>
      <w:r>
        <w:rPr>
          <w:b/>
          <w:sz w:val="20"/>
        </w:rPr>
        <w:t xml:space="preserve">Card link: </w:t>
      </w:r>
      <w:r>
        <w:rPr>
          <w:sz w:val="20"/>
        </w:rPr>
        <w:t>View dosing information → /velox/dosing</w:t>
      </w:r>
    </w:p>
    <w:p>
      <w:pPr>
        <w:jc w:val="center"/>
      </w:pPr>
      <w:r>
        <w:rPr>
          <w:color w:val="CCCCCC"/>
          <w:sz w:val="16"/>
        </w:rPr>
        <w:t>────────────────────────────────────────────────────────────</w:t>
      </w:r>
    </w:p>
    <w:p>
      <w:pPr>
        <w:pStyle w:val="Heading3"/>
      </w:pPr>
      <w:r>
        <w:rPr>
          <w:color w:val="1A365D"/>
        </w:rPr>
        <w:t>Section 3 — Disease context (centred text) | light background</w:t>
      </w:r>
    </w:p>
    <w:p>
      <w:r>
        <w:rPr>
          <w:b/>
          <w:sz w:val="20"/>
        </w:rPr>
        <w:t xml:space="preserve">Block: </w:t>
      </w:r>
      <w:r>
        <w:rPr>
          <w:sz w:val="20"/>
        </w:rPr>
        <w:t>introduction</w:t>
      </w:r>
    </w:p>
    <w:p>
      <w:r>
        <w:rPr>
          <w:b/>
        </w:rPr>
        <w:t xml:space="preserve">Section metadata: </w:t>
      </w:r>
      <w:r>
        <w:rPr>
          <w:color w:val="666666"/>
        </w:rPr>
        <w:t>Style: light</w:t>
      </w:r>
    </w:p>
    <w:p>
      <w:r>
        <w:rPr>
          <w:b/>
          <w:sz w:val="20"/>
        </w:rPr>
        <w:t xml:space="preserve">Heading: </w:t>
      </w:r>
      <w:r>
        <w:rPr>
          <w:sz w:val="20"/>
        </w:rPr>
        <w:t>The bleeding dilemma in atrial fibrillation</w:t>
      </w:r>
    </w:p>
    <w:p>
      <w:r>
        <w:rPr>
          <w:b/>
        </w:rPr>
        <w:t xml:space="preserve">Body text: </w:t>
      </w:r>
      <w:r>
        <w:t>Atrial fibrillation affects over 1.4 million people in the UK and is a leading cause of ischaemic stroke.⁴ While direct oral anticoagulants have transformed stroke prevention, major bleeding remains the principal safety concern and the most common reason for treatment discontinuation or dose reduction in clinical practice. Factor XIa inhibition offers a fundamentally different approach: targeting pathological thrombosis through the intrinsic coagulation pathway while preserving haemostatic capacity.⁴ ⁵</w:t>
      </w:r>
    </w:p>
    <w:p>
      <w:pPr>
        <w:jc w:val="center"/>
      </w:pPr>
      <w:r>
        <w:rPr>
          <w:color w:val="CCCCCC"/>
          <w:sz w:val="16"/>
        </w:rPr>
        <w:t>────────────────────────────────────────────────────────────</w:t>
      </w:r>
    </w:p>
    <w:p>
      <w:pPr>
        <w:pStyle w:val="Heading3"/>
      </w:pPr>
      <w:r>
        <w:rPr>
          <w:color w:val="1A365D"/>
        </w:rPr>
        <w:t>Section 4 — Mechanism teaser (two-column: image left, text right)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5" name="Picture 5"/>
            <wp:cNvGraphicFramePr>
              <a:graphicFrameLocks noChangeAspect="1"/>
            </wp:cNvGraphicFramePr>
            <a:graphic>
              <a:graphicData uri="http://schemas.openxmlformats.org/drawingml/2006/picture">
                <pic:pic>
                  <pic:nvPicPr>
                    <pic:cNvPr id="0" name="columns-moa-preview.jpeg"/>
                    <pic:cNvPicPr/>
                  </pic:nvPicPr>
                  <pic:blipFill>
                    <a:blip r:embed="rId13"/>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https://velox-images.pages.dev/columns-moa-preview.jpeg</w:t>
      </w:r>
    </w:p>
    <w:p>
      <w:pPr>
        <w:jc w:val="center"/>
      </w:pPr>
      <w:r>
        <w:rPr>
          <w:i/>
          <w:color w:val="666666"/>
          <w:sz w:val="16"/>
        </w:rPr>
        <w:t>Usage: Home — MoA teaser</w:t>
      </w:r>
    </w:p>
    <w:p>
      <w:r>
        <w:rPr>
          <w:b/>
          <w:sz w:val="20"/>
        </w:rPr>
        <w:t xml:space="preserve">Heading: </w:t>
      </w:r>
      <w:r>
        <w:rPr>
          <w:sz w:val="20"/>
        </w:rPr>
        <w:t>Separating thrombosis from haemostasis</w:t>
      </w:r>
    </w:p>
    <w:p>
      <w:r>
        <w:rPr>
          <w:b/>
        </w:rPr>
        <w:t xml:space="preserve">Body text: </w:t>
      </w:r>
      <w:r>
        <w:t>Factor XIa amplifies pathological thrombus formation through the intrinsic coagulation pathway, but plays a limited role in haemostasis at sites of vascular injury. By selectively inhibiting Factor XIa, VELOX provides potent antithrombotic protection while preserving the extrinsic pathway that maintains normal blood clotting.³ ⁵</w:t>
      </w:r>
    </w:p>
    <w:p>
      <w:r>
        <w:rPr>
          <w:b/>
          <w:sz w:val="20"/>
        </w:rPr>
        <w:t xml:space="preserve">Call to action: </w:t>
      </w:r>
      <w:r>
        <w:rPr>
          <w:sz w:val="20"/>
        </w:rPr>
        <w:t>Explore how VELOX works → /velox/how-velox-works</w:t>
      </w:r>
    </w:p>
    <w:p>
      <w:pPr>
        <w:jc w:val="center"/>
      </w:pPr>
      <w:r>
        <w:rPr>
          <w:color w:val="CCCCCC"/>
          <w:sz w:val="16"/>
        </w:rPr>
        <w:t>────────────────────────────────────────────────────────────</w:t>
      </w:r>
    </w:p>
    <w:p>
      <w:pPr>
        <w:pStyle w:val="Heading3"/>
      </w:pPr>
      <w:r>
        <w:rPr>
          <w:color w:val="1A365D"/>
        </w:rPr>
        <w:t>Section 5 — Prescribing information footer</w:t>
      </w:r>
    </w:p>
    <w:p>
      <w:r>
        <w:rPr>
          <w:b/>
          <w:sz w:val="20"/>
        </w:rPr>
        <w:t xml:space="preserve">Block: </w:t>
      </w:r>
      <w:r>
        <w:rPr>
          <w:sz w:val="20"/>
        </w:rPr>
        <w:t>accordion</w:t>
      </w:r>
    </w:p>
    <w:p>
      <w:r>
        <w:rPr>
          <w:b w:val="0"/>
          <w:i/>
          <w:color w:val="363B3B"/>
          <w:sz w:val="20"/>
        </w:rPr>
        <w:t>Expandable sections for: Prescribing Information | Adverse Event Reporting | References (Use approved text from sections 5, 6, and 7 above)</w:t>
      </w:r>
    </w:p>
    <w:p/>
    <w:p>
      <w:r>
        <w:rPr>
          <w:b/>
          <w:color w:val="830051"/>
        </w:rPr>
        <w:t>Page metadata</w:t>
      </w:r>
    </w:p>
    <w:p>
      <w:r>
        <w:rPr>
          <w:b w:val="0"/>
          <w:i w:val="0"/>
          <w:color w:val="363B3B"/>
          <w:sz w:val="20"/>
        </w:rPr>
        <w:t>Title: VELOX (veloxaban) | Stroke Prevention in AF | AstraZeneca UK</w:t>
      </w:r>
    </w:p>
    <w:p>
      <w:r>
        <w:rPr>
          <w:b w:val="0"/>
          <w:i w:val="0"/>
          <w:color w:val="363B3B"/>
          <w:sz w:val="20"/>
        </w:rPr>
        <w:t>Description: VELOX (veloxaban) is a first-in-class oral Factor XIa inhibitor for stroke prevention in non-valvular atrial fibrillation. Explore VELOCITY clinical data, safety, and dosing for UK healthcare professionals.</w:t>
      </w:r>
    </w:p>
    <w:p>
      <w:r>
        <w:br w:type="page"/>
      </w:r>
    </w:p>
    <w:p>
      <w:pPr>
        <w:pStyle w:val="Heading2"/>
      </w:pPr>
      <w:r>
        <w:rPr>
          <w:color w:val="830051"/>
        </w:rPr>
        <w:t>PAGE 2: VELOCITY Data</w:t>
      </w:r>
    </w:p>
    <w:p>
      <w:r>
        <w:rPr>
          <w:b/>
          <w:sz w:val="20"/>
        </w:rPr>
        <w:t xml:space="preserve">URL path: </w:t>
      </w:r>
      <w:r>
        <w:rPr>
          <w:sz w:val="20"/>
        </w:rPr>
        <w:t>/velox/velocity-data</w:t>
      </w:r>
    </w:p>
    <w:p>
      <w:pPr>
        <w:jc w:val="center"/>
      </w:pPr>
      <w:r>
        <w:rPr>
          <w:color w:val="CCCCCC"/>
          <w:sz w:val="16"/>
        </w:rPr>
        <w:t>────────────────────────────────────────────────────────────</w:t>
      </w:r>
    </w:p>
    <w:p>
      <w:pPr>
        <w:pStyle w:val="Heading3"/>
      </w:pPr>
      <w:r>
        <w:rPr>
          <w:color w:val="1A365D"/>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6" name="Picture 6"/>
            <wp:cNvGraphicFramePr>
              <a:graphicFrameLocks noChangeAspect="1"/>
            </wp:cNvGraphicFramePr>
            <a:graphic>
              <a:graphicData uri="http://schemas.openxmlformats.org/drawingml/2006/picture">
                <pic:pic>
                  <pic:nvPicPr>
                    <pic:cNvPr id="0" name="hero-efficacy.jpeg"/>
                    <pic:cNvPicPr/>
                  </pic:nvPicPr>
                  <pic:blipFill>
                    <a:blip r:embed="rId14"/>
                    <a:stretch>
                      <a:fillRect/>
                    </a:stretch>
                  </pic:blipFill>
                  <pic:spPr>
                    <a:xfrm>
                      <a:off x="0" y="0"/>
                      <a:ext cx="5029200" cy="2806995"/>
                    </a:xfrm>
                    <a:prstGeom prst="rect"/>
                  </pic:spPr>
                </pic:pic>
              </a:graphicData>
            </a:graphic>
          </wp:inline>
        </w:drawing>
      </w:r>
    </w:p>
    <w:p>
      <w:pPr>
        <w:jc w:val="center"/>
      </w:pPr>
      <w:r>
        <w:rPr>
          <w:color w:val="005599"/>
          <w:sz w:val="16"/>
          <w:u w:val="single"/>
        </w:rPr>
        <w:t>https://velox-images.pages.dev/hero-efficacy.jpeg</w:t>
      </w:r>
    </w:p>
    <w:p>
      <w:pPr>
        <w:jc w:val="center"/>
      </w:pPr>
      <w:r>
        <w:rPr>
          <w:i/>
          <w:color w:val="666666"/>
          <w:sz w:val="16"/>
        </w:rPr>
        <w:t>Usage: VELOCITY Data — hero</w:t>
      </w:r>
    </w:p>
    <w:p>
      <w:r>
        <w:rPr>
          <w:b/>
          <w:sz w:val="20"/>
        </w:rPr>
        <w:t xml:space="preserve">Heading: </w:t>
      </w:r>
      <w:r>
        <w:rPr>
          <w:sz w:val="20"/>
        </w:rPr>
        <w:t>The VELOCITY clinical programme</w:t>
      </w:r>
    </w:p>
    <w:p>
      <w:r>
        <w:rPr>
          <w:b/>
        </w:rPr>
        <w:t xml:space="preserve">Body text: </w:t>
      </w:r>
      <w:r>
        <w:t>VELOX® (veloxaban) was evaluated in over 18,000 patients across two landmark Phase III trials, demonstrating non-inferior stroke prevention with significantly fewer bleeding events than established Factor Xa inhibitors.¹ ²</w:t>
      </w:r>
    </w:p>
    <w:p>
      <w:pPr>
        <w:jc w:val="center"/>
      </w:pPr>
      <w:r>
        <w:rPr>
          <w:color w:val="CCCCCC"/>
          <w:sz w:val="16"/>
        </w:rPr>
        <w:t>────────────────────────────────────────────────────────────</w:t>
      </w:r>
    </w:p>
    <w:p>
      <w:pPr>
        <w:pStyle w:val="Heading3"/>
      </w:pPr>
      <w:r>
        <w:rPr>
          <w:color w:val="1A365D"/>
        </w:rPr>
        <w:t>Section 2 — Programme overview (centred text) | light background</w:t>
      </w:r>
    </w:p>
    <w:p>
      <w:r>
        <w:rPr>
          <w:b/>
          <w:sz w:val="20"/>
        </w:rPr>
        <w:t xml:space="preserve">Block: </w:t>
      </w:r>
      <w:r>
        <w:rPr>
          <w:sz w:val="20"/>
        </w:rPr>
        <w:t>introduction</w:t>
      </w:r>
    </w:p>
    <w:p>
      <w:r>
        <w:rPr>
          <w:b/>
        </w:rPr>
        <w:t xml:space="preserve">Section metadata: </w:t>
      </w:r>
      <w:r>
        <w:rPr>
          <w:color w:val="666666"/>
        </w:rPr>
        <w:t>Style: light</w:t>
      </w:r>
    </w:p>
    <w:p>
      <w:r>
        <w:rPr>
          <w:b/>
          <w:sz w:val="20"/>
        </w:rPr>
        <w:t xml:space="preserve">Heading: </w:t>
      </w:r>
      <w:r>
        <w:rPr>
          <w:sz w:val="20"/>
        </w:rPr>
        <w:t>Redefining the anticoagulation risk–benefit balance</w:t>
      </w:r>
    </w:p>
    <w:p>
      <w:r>
        <w:rPr>
          <w:b/>
        </w:rPr>
        <w:t xml:space="preserve">Body text: </w:t>
      </w:r>
      <w:r>
        <w:t>The VELOCITY programme was designed to evaluate whether selective Factor XIa inhibition can maintain effective stroke prevention while fundamentally reducing bleeding risk. VELOCITY-AF assessed stroke prevention in 14,228 patients with NVAF against rivaroxaban. VELOCITY-BLEED assessed bleeding safety in 4,612 high-risk AF patients against apixaban — the comparator with the lowest established bleeding rate among Factor Xa inhibitors.¹ ²</w:t>
      </w:r>
    </w:p>
    <w:p>
      <w:pPr>
        <w:jc w:val="center"/>
      </w:pPr>
      <w:r>
        <w:rPr>
          <w:color w:val="CCCCCC"/>
          <w:sz w:val="16"/>
        </w:rPr>
        <w:t>────────────────────────────────────────────────────────────</w:t>
      </w:r>
    </w:p>
    <w:p>
      <w:pPr>
        <w:pStyle w:val="Heading3"/>
      </w:pPr>
      <w:r>
        <w:rPr>
          <w:color w:val="1A365D"/>
        </w:rPr>
        <w:t>Section 3 — Clinical data (two tabs)</w:t>
      </w:r>
    </w:p>
    <w:p>
      <w:r>
        <w:rPr>
          <w:b/>
          <w:sz w:val="20"/>
        </w:rPr>
        <w:t xml:space="preserve">Block: </w:t>
      </w:r>
      <w:r>
        <w:rPr>
          <w:sz w:val="20"/>
        </w:rPr>
        <w:t>tabs-large</w:t>
      </w:r>
    </w:p>
    <w:p/>
    <w:p>
      <w:r>
        <w:rPr>
          <w:b/>
          <w:i w:val="0"/>
          <w:color w:val="363B3B"/>
          <w:sz w:val="20"/>
        </w:rPr>
        <w:t>Tab 1: "VELOCITY-AF: Stroke prevention"</w:t>
      </w:r>
    </w:p>
    <w:p>
      <w:pPr>
        <w:jc w:val="center"/>
      </w:pPr>
      <w:r>
        <w:drawing>
          <wp:inline xmlns:a="http://schemas.openxmlformats.org/drawingml/2006/main" xmlns:pic="http://schemas.openxmlformats.org/drawingml/2006/picture">
            <wp:extent cx="3200400" cy="2389632"/>
            <wp:docPr id="7" name="Picture 7"/>
            <wp:cNvGraphicFramePr>
              <a:graphicFrameLocks noChangeAspect="1"/>
            </wp:cNvGraphicFramePr>
            <a:graphic>
              <a:graphicData uri="http://schemas.openxmlformats.org/drawingml/2006/picture">
                <pic:pic>
                  <pic:nvPicPr>
                    <pic:cNvPr id="0" name="tab-velocity-af.jpeg"/>
                    <pic:cNvPicPr/>
                  </pic:nvPicPr>
                  <pic:blipFill>
                    <a:blip r:embed="rId15"/>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https://velox-images.pages.dev/tab-velocity-af.jpeg</w:t>
      </w:r>
    </w:p>
    <w:p>
      <w:pPr>
        <w:jc w:val="center"/>
      </w:pPr>
      <w:r>
        <w:rPr>
          <w:i/>
          <w:color w:val="666666"/>
          <w:sz w:val="16"/>
        </w:rPr>
        <w:t>Usage: VELOCITY Data — AF stroke tab</w:t>
      </w:r>
    </w:p>
    <w:p>
      <w:r>
        <w:rPr>
          <w:b/>
          <w:sz w:val="20"/>
        </w:rPr>
        <w:t xml:space="preserve">Heading: </w:t>
      </w:r>
      <w:r>
        <w:rPr>
          <w:sz w:val="20"/>
        </w:rPr>
        <w:t>VELOCITY-AF: Non-inferior stroke prevention, 41% fewer major bleeds</w:t>
      </w:r>
    </w:p>
    <w:p>
      <w:r>
        <w:rPr>
          <w:b/>
        </w:rPr>
        <w:t xml:space="preserve">Body text: </w:t>
      </w:r>
      <w:r>
        <w:t>VELOCITY-AF was a randomised, double-blind, double-dummy, active-controlled trial comparing VELOX 40 mg once daily with rivaroxaban 20 mg once daily in 14,228 adults with non-valvular atrial fibrillation and CHA₂DS₂-VASc score ≥2 (men) or ≥3 (women), treated for a median of 24 months.¹</w:t>
      </w:r>
    </w:p>
    <w:p/>
    <w:p>
      <w:r>
        <w:rPr>
          <w:b/>
        </w:rPr>
        <w:t xml:space="preserve">Body text (continued): </w:t>
      </w:r>
      <w:r>
        <w:t>VELOX met its primary efficacy endpoint, demonstrating non-inferiority to rivaroxaban for the prevention of stroke and systemic embolism (1.68%/year vs 1.72%/year; HR 0.97; 95% CI: 0.83–1.14; P&lt;0.001 for non-inferiority). Haemorrhagic stroke was reduced by 42% (HR 0.58; P=0.011). For the primary safety endpoint, ISTH major bleeding was reduced by 41% (1.52%/year vs 2.58%/year; HR 0.59; P&lt;0.001). Intracranial haemorrhage was reduced by 60% (HR 0.40; P&lt;0.001) and GI major bleeding by 40% (HR 0.60; P&lt;0.001). The net clinical benefit composite favoured VELOX (HR 0.79; P&lt;0.001).¹</w:t>
      </w:r>
    </w:p>
    <w:p>
      <w:r>
        <w:rPr>
          <w:b/>
          <w:i w:val="0"/>
          <w:color w:val="363B3B"/>
          <w:sz w:val="20"/>
        </w:rPr>
        <w:t>Data table: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VELOX (n=7,114)</w:t>
            </w:r>
          </w:p>
        </w:tc>
        <w:tc>
          <w:tcPr>
            <w:tcW w:type="dxa" w:w="2268"/>
            <w:shd w:fill="830051"/>
          </w:tcPr>
          <w:p>
            <w:r/>
            <w:r>
              <w:rPr>
                <w:b/>
                <w:color w:val="FFFFFF"/>
                <w:sz w:val="18"/>
              </w:rPr>
              <w:t>Rivaroxaban (n=7,114)</w:t>
            </w:r>
          </w:p>
        </w:tc>
        <w:tc>
          <w:tcPr>
            <w:tcW w:type="dxa" w:w="2268"/>
            <w:shd w:fill="830051"/>
          </w:tcPr>
          <w:p>
            <w:r/>
            <w:r>
              <w:rPr>
                <w:b/>
                <w:color w:val="FFFFFF"/>
                <w:sz w:val="18"/>
              </w:rPr>
              <w:t>Treatment effect</w:t>
            </w:r>
          </w:p>
        </w:tc>
      </w:tr>
      <w:tr>
        <w:tc>
          <w:tcPr>
            <w:tcW w:type="dxa" w:w="2268"/>
          </w:tcPr>
          <w:p>
            <w:r/>
            <w:r>
              <w:rPr>
                <w:color w:val="363B3B"/>
                <w:sz w:val="18"/>
              </w:rPr>
              <w:t>Stroke or SE</w:t>
            </w:r>
          </w:p>
        </w:tc>
        <w:tc>
          <w:tcPr>
            <w:tcW w:type="dxa" w:w="2268"/>
          </w:tcPr>
          <w:p>
            <w:r/>
            <w:r>
              <w:rPr>
                <w:color w:val="363B3B"/>
                <w:sz w:val="18"/>
              </w:rPr>
              <w:t>1.68%/year</w:t>
            </w:r>
          </w:p>
        </w:tc>
        <w:tc>
          <w:tcPr>
            <w:tcW w:type="dxa" w:w="2268"/>
          </w:tcPr>
          <w:p>
            <w:r/>
            <w:r>
              <w:rPr>
                <w:color w:val="363B3B"/>
                <w:sz w:val="18"/>
              </w:rPr>
              <w:t>1.72%/year</w:t>
            </w:r>
          </w:p>
        </w:tc>
        <w:tc>
          <w:tcPr>
            <w:tcW w:type="dxa" w:w="2268"/>
          </w:tcPr>
          <w:p>
            <w:r/>
            <w:r>
              <w:rPr>
                <w:color w:val="363B3B"/>
                <w:sz w:val="18"/>
              </w:rPr>
              <w:t>HR 0.97 (0.83–1.14); P⁠NI&lt;0.001</w:t>
            </w:r>
          </w:p>
        </w:tc>
      </w:tr>
      <w:tr>
        <w:tc>
          <w:tcPr>
            <w:tcW w:type="dxa" w:w="2268"/>
            <w:shd w:fill="F8F8F8"/>
          </w:tcPr>
          <w:p>
            <w:r/>
            <w:r>
              <w:rPr>
                <w:color w:val="363B3B"/>
                <w:sz w:val="18"/>
              </w:rPr>
              <w:t>ISTH major bleeding</w:t>
            </w:r>
          </w:p>
        </w:tc>
        <w:tc>
          <w:tcPr>
            <w:tcW w:type="dxa" w:w="2268"/>
            <w:shd w:fill="F8F8F8"/>
          </w:tcPr>
          <w:p>
            <w:r/>
            <w:r>
              <w:rPr>
                <w:color w:val="363B3B"/>
                <w:sz w:val="18"/>
              </w:rPr>
              <w:t>1.52%/year</w:t>
            </w:r>
          </w:p>
        </w:tc>
        <w:tc>
          <w:tcPr>
            <w:tcW w:type="dxa" w:w="2268"/>
            <w:shd w:fill="F8F8F8"/>
          </w:tcPr>
          <w:p>
            <w:r/>
            <w:r>
              <w:rPr>
                <w:color w:val="363B3B"/>
                <w:sz w:val="18"/>
              </w:rPr>
              <w:t>2.58%/year</w:t>
            </w:r>
          </w:p>
        </w:tc>
        <w:tc>
          <w:tcPr>
            <w:tcW w:type="dxa" w:w="2268"/>
            <w:shd w:fill="F8F8F8"/>
          </w:tcPr>
          <w:p>
            <w:r/>
            <w:r>
              <w:rPr>
                <w:color w:val="363B3B"/>
                <w:sz w:val="18"/>
              </w:rPr>
              <w:t>HR 0.59 (0.50–0.69); P&lt;0.001</w:t>
            </w:r>
          </w:p>
        </w:tc>
      </w:tr>
      <w:tr>
        <w:tc>
          <w:tcPr>
            <w:tcW w:type="dxa" w:w="2268"/>
          </w:tcPr>
          <w:p>
            <w:r/>
            <w:r>
              <w:rPr>
                <w:color w:val="363B3B"/>
                <w:sz w:val="18"/>
              </w:rPr>
              <w:t>Intracranial haemorrhage</w:t>
            </w:r>
          </w:p>
        </w:tc>
        <w:tc>
          <w:tcPr>
            <w:tcW w:type="dxa" w:w="2268"/>
          </w:tcPr>
          <w:p>
            <w:r/>
            <w:r>
              <w:rPr>
                <w:color w:val="363B3B"/>
                <w:sz w:val="18"/>
              </w:rPr>
              <w:t>0.21%/year</w:t>
            </w:r>
          </w:p>
        </w:tc>
        <w:tc>
          <w:tcPr>
            <w:tcW w:type="dxa" w:w="2268"/>
          </w:tcPr>
          <w:p>
            <w:r/>
            <w:r>
              <w:rPr>
                <w:color w:val="363B3B"/>
                <w:sz w:val="18"/>
              </w:rPr>
              <w:t>0.52%/year</w:t>
            </w:r>
          </w:p>
        </w:tc>
        <w:tc>
          <w:tcPr>
            <w:tcW w:type="dxa" w:w="2268"/>
          </w:tcPr>
          <w:p>
            <w:r/>
            <w:r>
              <w:rPr>
                <w:color w:val="363B3B"/>
                <w:sz w:val="18"/>
              </w:rPr>
              <w:t>HR 0.40 (0.28–0.58); P&lt;0.001</w:t>
            </w:r>
          </w:p>
        </w:tc>
      </w:tr>
      <w:tr>
        <w:tc>
          <w:tcPr>
            <w:tcW w:type="dxa" w:w="2268"/>
            <w:shd w:fill="F8F8F8"/>
          </w:tcPr>
          <w:p>
            <w:r/>
            <w:r>
              <w:rPr>
                <w:color w:val="363B3B"/>
                <w:sz w:val="18"/>
              </w:rPr>
              <w:t>GI major bleeding</w:t>
            </w:r>
          </w:p>
        </w:tc>
        <w:tc>
          <w:tcPr>
            <w:tcW w:type="dxa" w:w="2268"/>
            <w:shd w:fill="F8F8F8"/>
          </w:tcPr>
          <w:p>
            <w:r/>
            <w:r>
              <w:rPr>
                <w:color w:val="363B3B"/>
                <w:sz w:val="18"/>
              </w:rPr>
              <w:t>0.62%/year</w:t>
            </w:r>
          </w:p>
        </w:tc>
        <w:tc>
          <w:tcPr>
            <w:tcW w:type="dxa" w:w="2268"/>
            <w:shd w:fill="F8F8F8"/>
          </w:tcPr>
          <w:p>
            <w:r/>
            <w:r>
              <w:rPr>
                <w:color w:val="363B3B"/>
                <w:sz w:val="18"/>
              </w:rPr>
              <w:t>1.04%/year</w:t>
            </w:r>
          </w:p>
        </w:tc>
        <w:tc>
          <w:tcPr>
            <w:tcW w:type="dxa" w:w="2268"/>
            <w:shd w:fill="F8F8F8"/>
          </w:tcPr>
          <w:p>
            <w:r/>
            <w:r>
              <w:rPr>
                <w:color w:val="363B3B"/>
                <w:sz w:val="18"/>
              </w:rPr>
              <w:t>HR 0.60 (0.47–0.76); P&lt;0.001</w:t>
            </w:r>
          </w:p>
        </w:tc>
      </w:tr>
      <w:tr>
        <w:tc>
          <w:tcPr>
            <w:tcW w:type="dxa" w:w="2268"/>
          </w:tcPr>
          <w:p>
            <w:r/>
            <w:r>
              <w:rPr>
                <w:color w:val="363B3B"/>
                <w:sz w:val="18"/>
              </w:rPr>
              <w:t>Net clinical benefit</w:t>
            </w:r>
          </w:p>
        </w:tc>
        <w:tc>
          <w:tcPr>
            <w:tcW w:type="dxa" w:w="2268"/>
          </w:tcPr>
          <w:p>
            <w:r/>
            <w:r>
              <w:rPr>
                <w:color w:val="363B3B"/>
                <w:sz w:val="18"/>
              </w:rPr>
              <w:t>4.42%/year</w:t>
            </w:r>
          </w:p>
        </w:tc>
        <w:tc>
          <w:tcPr>
            <w:tcW w:type="dxa" w:w="2268"/>
          </w:tcPr>
          <w:p>
            <w:r/>
            <w:r>
              <w:rPr>
                <w:color w:val="363B3B"/>
                <w:sz w:val="18"/>
              </w:rPr>
              <w:t>5.61%/year</w:t>
            </w:r>
          </w:p>
        </w:tc>
        <w:tc>
          <w:tcPr>
            <w:tcW w:type="dxa" w:w="2268"/>
          </w:tcPr>
          <w:p>
            <w:r/>
            <w:r>
              <w:rPr>
                <w:color w:val="363B3B"/>
                <w:sz w:val="18"/>
              </w:rPr>
              <w:t>HR 0.79 (0.72–0.87); P&lt;0.001</w:t>
            </w:r>
          </w:p>
        </w:tc>
      </w:tr>
    </w:tbl>
    <w:p>
      <w:pPr>
        <w:jc w:val="center"/>
      </w:pPr>
      <w:r>
        <w:rPr>
          <w:color w:val="CCCCCC"/>
          <w:sz w:val="16"/>
        </w:rPr>
        <w:t>────────────────────────────────────────────────────────────</w:t>
      </w:r>
    </w:p>
    <w:p>
      <w:r>
        <w:rPr>
          <w:b/>
          <w:i w:val="0"/>
          <w:color w:val="363B3B"/>
          <w:sz w:val="20"/>
        </w:rPr>
        <w:t>Tab 2: "VELOCITY-BLEED: Bleeding safety in high-risk patients"</w:t>
      </w:r>
    </w:p>
    <w:p>
      <w:pPr>
        <w:jc w:val="center"/>
      </w:pPr>
      <w:r>
        <w:drawing>
          <wp:inline xmlns:a="http://schemas.openxmlformats.org/drawingml/2006/main" xmlns:pic="http://schemas.openxmlformats.org/drawingml/2006/picture">
            <wp:extent cx="3200400" cy="2389632"/>
            <wp:docPr id="8" name="Picture 8"/>
            <wp:cNvGraphicFramePr>
              <a:graphicFrameLocks noChangeAspect="1"/>
            </wp:cNvGraphicFramePr>
            <a:graphic>
              <a:graphicData uri="http://schemas.openxmlformats.org/drawingml/2006/picture">
                <pic:pic>
                  <pic:nvPicPr>
                    <pic:cNvPr id="0" name="tab-velocity-bleed.jpeg"/>
                    <pic:cNvPicPr/>
                  </pic:nvPicPr>
                  <pic:blipFill>
                    <a:blip r:embed="rId16"/>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https://velox-images.pages.dev/tab-velocity-bleed.jpeg</w:t>
      </w:r>
    </w:p>
    <w:p>
      <w:pPr>
        <w:jc w:val="center"/>
      </w:pPr>
      <w:r>
        <w:rPr>
          <w:i/>
          <w:color w:val="666666"/>
          <w:sz w:val="16"/>
        </w:rPr>
        <w:t>Usage: VELOCITY Data — bleeding safety tab</w:t>
      </w:r>
    </w:p>
    <w:p>
      <w:r>
        <w:rPr>
          <w:b/>
          <w:sz w:val="20"/>
        </w:rPr>
        <w:t xml:space="preserve">Heading: </w:t>
      </w:r>
      <w:r>
        <w:rPr>
          <w:sz w:val="20"/>
        </w:rPr>
        <w:t>VELOCITY-BLEED: Superior bleeding safety in high-risk AF patients</w:t>
      </w:r>
    </w:p>
    <w:p>
      <w:r>
        <w:rPr>
          <w:b/>
        </w:rPr>
        <w:t xml:space="preserve">Body text: </w:t>
      </w:r>
      <w:r>
        <w:t>VELOCITY-BLEED was a randomised, double-blind, active-controlled trial comparing VELOX 40 mg once daily with apixaban (5 mg or 2.5 mg twice daily per label) in 4,612 adults with NVAF and at least one additional bleeding risk factor (age ≥80; CrCl 30–49 mL/min; history of GI bleeding; concomitant antiplatelet; HAS-BLED ≥3) over 52 weeks.²</w:t>
      </w:r>
    </w:p>
    <w:p/>
    <w:p>
      <w:r>
        <w:rPr>
          <w:b/>
        </w:rPr>
        <w:t xml:space="preserve">Body text (continued): </w:t>
      </w:r>
      <w:r>
        <w:t>VELOX demonstrated a 41% reduction in the primary endpoint of ISTH major or clinically relevant non-major bleeding versus apixaban (4.12% vs 6.97%; HR 0.59; 95% CI: 0.49–0.71; P&lt;0.001). Major bleeding alone was reduced by 41% (HR 0.59; P=0.002). Intracranial haemorrhage was reduced by 54% (HR 0.46; P=0.024). Stroke and systemic embolism rates were non-inferior to apixaban (1.82% vs 1.74%; HR 1.05; 95% CI: 0.77–1.42). The net clinical benefit favoured VELOX (HR 0.76; P&lt;0.001).²</w:t>
      </w:r>
    </w:p>
    <w:p>
      <w:r>
        <w:rPr>
          <w:b/>
          <w:i w:val="0"/>
          <w:color w:val="363B3B"/>
          <w:sz w:val="20"/>
        </w:rPr>
        <w:t>Data table: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VELOX (n=2,306)</w:t>
            </w:r>
          </w:p>
        </w:tc>
        <w:tc>
          <w:tcPr>
            <w:tcW w:type="dxa" w:w="2268"/>
            <w:shd w:fill="830051"/>
          </w:tcPr>
          <w:p>
            <w:r/>
            <w:r>
              <w:rPr>
                <w:b/>
                <w:color w:val="FFFFFF"/>
                <w:sz w:val="18"/>
              </w:rPr>
              <w:t>Apixaban (n=2,306)</w:t>
            </w:r>
          </w:p>
        </w:tc>
        <w:tc>
          <w:tcPr>
            <w:tcW w:type="dxa" w:w="2268"/>
            <w:shd w:fill="830051"/>
          </w:tcPr>
          <w:p>
            <w:r/>
            <w:r>
              <w:rPr>
                <w:b/>
                <w:color w:val="FFFFFF"/>
                <w:sz w:val="18"/>
              </w:rPr>
              <w:t>Treatment effect</w:t>
            </w:r>
          </w:p>
        </w:tc>
      </w:tr>
      <w:tr>
        <w:tc>
          <w:tcPr>
            <w:tcW w:type="dxa" w:w="2268"/>
          </w:tcPr>
          <w:p>
            <w:r/>
            <w:r>
              <w:rPr>
                <w:color w:val="363B3B"/>
                <w:sz w:val="18"/>
              </w:rPr>
              <w:t>Major or CRNM bleeding</w:t>
            </w:r>
          </w:p>
        </w:tc>
        <w:tc>
          <w:tcPr>
            <w:tcW w:type="dxa" w:w="2268"/>
          </w:tcPr>
          <w:p>
            <w:r/>
            <w:r>
              <w:rPr>
                <w:color w:val="363B3B"/>
                <w:sz w:val="18"/>
              </w:rPr>
              <w:t>4.12%</w:t>
            </w:r>
          </w:p>
        </w:tc>
        <w:tc>
          <w:tcPr>
            <w:tcW w:type="dxa" w:w="2268"/>
          </w:tcPr>
          <w:p>
            <w:r/>
            <w:r>
              <w:rPr>
                <w:color w:val="363B3B"/>
                <w:sz w:val="18"/>
              </w:rPr>
              <w:t>6.97%</w:t>
            </w:r>
          </w:p>
        </w:tc>
        <w:tc>
          <w:tcPr>
            <w:tcW w:type="dxa" w:w="2268"/>
          </w:tcPr>
          <w:p>
            <w:r/>
            <w:r>
              <w:rPr>
                <w:color w:val="363B3B"/>
                <w:sz w:val="18"/>
              </w:rPr>
              <w:t>HR 0.59 (0.49–0.71); P&lt;0.001</w:t>
            </w:r>
          </w:p>
        </w:tc>
      </w:tr>
      <w:tr>
        <w:tc>
          <w:tcPr>
            <w:tcW w:type="dxa" w:w="2268"/>
            <w:shd w:fill="F8F8F8"/>
          </w:tcPr>
          <w:p>
            <w:r/>
            <w:r>
              <w:rPr>
                <w:color w:val="363B3B"/>
                <w:sz w:val="18"/>
              </w:rPr>
              <w:t>ISTH major bleeding</w:t>
            </w:r>
          </w:p>
        </w:tc>
        <w:tc>
          <w:tcPr>
            <w:tcW w:type="dxa" w:w="2268"/>
            <w:shd w:fill="F8F8F8"/>
          </w:tcPr>
          <w:p>
            <w:r/>
            <w:r>
              <w:rPr>
                <w:color w:val="363B3B"/>
                <w:sz w:val="18"/>
              </w:rPr>
              <w:t>1.34%</w:t>
            </w:r>
          </w:p>
        </w:tc>
        <w:tc>
          <w:tcPr>
            <w:tcW w:type="dxa" w:w="2268"/>
            <w:shd w:fill="F8F8F8"/>
          </w:tcPr>
          <w:p>
            <w:r/>
            <w:r>
              <w:rPr>
                <w:color w:val="363B3B"/>
                <w:sz w:val="18"/>
              </w:rPr>
              <w:t>2.28%</w:t>
            </w:r>
          </w:p>
        </w:tc>
        <w:tc>
          <w:tcPr>
            <w:tcW w:type="dxa" w:w="2268"/>
            <w:shd w:fill="F8F8F8"/>
          </w:tcPr>
          <w:p>
            <w:r/>
            <w:r>
              <w:rPr>
                <w:color w:val="363B3B"/>
                <w:sz w:val="18"/>
              </w:rPr>
              <w:t>HR 0.59 (0.42–0.82); P=0.002</w:t>
            </w:r>
          </w:p>
        </w:tc>
      </w:tr>
      <w:tr>
        <w:tc>
          <w:tcPr>
            <w:tcW w:type="dxa" w:w="2268"/>
          </w:tcPr>
          <w:p>
            <w:r/>
            <w:r>
              <w:rPr>
                <w:color w:val="363B3B"/>
                <w:sz w:val="18"/>
              </w:rPr>
              <w:t>Stroke or SE</w:t>
            </w:r>
          </w:p>
        </w:tc>
        <w:tc>
          <w:tcPr>
            <w:tcW w:type="dxa" w:w="2268"/>
          </w:tcPr>
          <w:p>
            <w:r/>
            <w:r>
              <w:rPr>
                <w:color w:val="363B3B"/>
                <w:sz w:val="18"/>
              </w:rPr>
              <w:t>1.82%</w:t>
            </w:r>
          </w:p>
        </w:tc>
        <w:tc>
          <w:tcPr>
            <w:tcW w:type="dxa" w:w="2268"/>
          </w:tcPr>
          <w:p>
            <w:r/>
            <w:r>
              <w:rPr>
                <w:color w:val="363B3B"/>
                <w:sz w:val="18"/>
              </w:rPr>
              <w:t>1.74%</w:t>
            </w:r>
          </w:p>
        </w:tc>
        <w:tc>
          <w:tcPr>
            <w:tcW w:type="dxa" w:w="2268"/>
          </w:tcPr>
          <w:p>
            <w:r/>
            <w:r>
              <w:rPr>
                <w:color w:val="363B3B"/>
                <w:sz w:val="18"/>
              </w:rPr>
              <w:t>HR 1.05 (0.77–1.42); non-inferior</w:t>
            </w:r>
          </w:p>
        </w:tc>
      </w:tr>
      <w:tr>
        <w:tc>
          <w:tcPr>
            <w:tcW w:type="dxa" w:w="2268"/>
            <w:shd w:fill="F8F8F8"/>
          </w:tcPr>
          <w:p>
            <w:r/>
            <w:r>
              <w:rPr>
                <w:color w:val="363B3B"/>
                <w:sz w:val="18"/>
              </w:rPr>
              <w:t>Intracranial haemorrhage</w:t>
            </w:r>
          </w:p>
        </w:tc>
        <w:tc>
          <w:tcPr>
            <w:tcW w:type="dxa" w:w="2268"/>
            <w:shd w:fill="F8F8F8"/>
          </w:tcPr>
          <w:p>
            <w:r/>
            <w:r>
              <w:rPr>
                <w:color w:val="363B3B"/>
                <w:sz w:val="18"/>
              </w:rPr>
              <w:t>0.22%</w:t>
            </w:r>
          </w:p>
        </w:tc>
        <w:tc>
          <w:tcPr>
            <w:tcW w:type="dxa" w:w="2268"/>
            <w:shd w:fill="F8F8F8"/>
          </w:tcPr>
          <w:p>
            <w:r/>
            <w:r>
              <w:rPr>
                <w:color w:val="363B3B"/>
                <w:sz w:val="18"/>
              </w:rPr>
              <w:t>0.48%</w:t>
            </w:r>
          </w:p>
        </w:tc>
        <w:tc>
          <w:tcPr>
            <w:tcW w:type="dxa" w:w="2268"/>
            <w:shd w:fill="F8F8F8"/>
          </w:tcPr>
          <w:p>
            <w:r/>
            <w:r>
              <w:rPr>
                <w:color w:val="363B3B"/>
                <w:sz w:val="18"/>
              </w:rPr>
              <w:t>HR 0.46 (0.23–0.90); P=0.024</w:t>
            </w:r>
          </w:p>
        </w:tc>
      </w:tr>
      <w:tr>
        <w:tc>
          <w:tcPr>
            <w:tcW w:type="dxa" w:w="2268"/>
          </w:tcPr>
          <w:p>
            <w:r/>
            <w:r>
              <w:rPr>
                <w:color w:val="363B3B"/>
                <w:sz w:val="18"/>
              </w:rPr>
              <w:t>Net clinical benefit</w:t>
            </w:r>
          </w:p>
        </w:tc>
        <w:tc>
          <w:tcPr>
            <w:tcW w:type="dxa" w:w="2268"/>
          </w:tcPr>
          <w:p>
            <w:r/>
            <w:r>
              <w:rPr>
                <w:color w:val="363B3B"/>
                <w:sz w:val="18"/>
              </w:rPr>
              <w:t>6.81%</w:t>
            </w:r>
          </w:p>
        </w:tc>
        <w:tc>
          <w:tcPr>
            <w:tcW w:type="dxa" w:w="2268"/>
          </w:tcPr>
          <w:p>
            <w:r/>
            <w:r>
              <w:rPr>
                <w:color w:val="363B3B"/>
                <w:sz w:val="18"/>
              </w:rPr>
              <w:t>8.92%</w:t>
            </w:r>
          </w:p>
        </w:tc>
        <w:tc>
          <w:tcPr>
            <w:tcW w:type="dxa" w:w="2268"/>
          </w:tcPr>
          <w:p>
            <w:r/>
            <w:r>
              <w:rPr>
                <w:color w:val="363B3B"/>
                <w:sz w:val="18"/>
              </w:rPr>
              <w:t>HR 0.76 (0.66–0.88); P&lt;0.001</w:t>
            </w:r>
          </w:p>
        </w:tc>
      </w:tr>
    </w:tbl>
    <w:p>
      <w:pPr>
        <w:jc w:val="center"/>
      </w:pPr>
      <w:r>
        <w:rPr>
          <w:color w:val="CCCCCC"/>
          <w:sz w:val="16"/>
        </w:rPr>
        <w:t>────────────────────────────────────────────────────────────</w:t>
      </w:r>
    </w:p>
    <w:p>
      <w:pPr>
        <w:pStyle w:val="Heading3"/>
      </w:pPr>
      <w:r>
        <w:rPr>
          <w:color w:val="1A365D"/>
        </w:rPr>
        <w:t>Section 4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VELOCITY Data | VELOX (veloxaban) | Stroke Prevention &amp; Bleeding Safety | AstraZeneca UK</w:t>
      </w:r>
    </w:p>
    <w:p>
      <w:r>
        <w:rPr>
          <w:b w:val="0"/>
          <w:i w:val="0"/>
          <w:color w:val="363B3B"/>
          <w:sz w:val="20"/>
        </w:rPr>
        <w:t>Description: Explore the VELOCITY clinical programme for VELOX (veloxaban) — Phase III stroke prevention and bleeding safety data in patients with non-valvular atrial fibrillation.</w:t>
      </w:r>
    </w:p>
    <w:p>
      <w:r>
        <w:br w:type="page"/>
      </w:r>
    </w:p>
    <w:p>
      <w:pPr>
        <w:pStyle w:val="Heading2"/>
      </w:pPr>
      <w:r>
        <w:rPr>
          <w:color w:val="830051"/>
        </w:rPr>
        <w:t>PAGE 3: Safety</w:t>
      </w:r>
    </w:p>
    <w:p>
      <w:r>
        <w:rPr>
          <w:b/>
          <w:sz w:val="20"/>
        </w:rPr>
        <w:t xml:space="preserve">URL path: </w:t>
      </w:r>
      <w:r>
        <w:rPr>
          <w:sz w:val="20"/>
        </w:rPr>
        <w:t>/velox/safety</w:t>
      </w:r>
    </w:p>
    <w:p>
      <w:pPr>
        <w:jc w:val="center"/>
      </w:pPr>
      <w:r>
        <w:rPr>
          <w:color w:val="CCCCCC"/>
          <w:sz w:val="16"/>
        </w:rPr>
        <w:t>────────────────────────────────────────────────────────────</w:t>
      </w:r>
    </w:p>
    <w:p>
      <w:pPr>
        <w:pStyle w:val="Heading3"/>
      </w:pPr>
      <w:r>
        <w:rPr>
          <w:color w:val="1A365D"/>
        </w:rPr>
        <w:t>Section 1 — Page header (text only, no image)</w:t>
      </w:r>
    </w:p>
    <w:p>
      <w:r>
        <w:rPr>
          <w:b/>
          <w:sz w:val="20"/>
        </w:rPr>
        <w:t xml:space="preserve">Block: </w:t>
      </w:r>
      <w:r>
        <w:rPr>
          <w:sz w:val="20"/>
        </w:rPr>
        <w:t>title</w:t>
      </w:r>
    </w:p>
    <w:p>
      <w:r>
        <w:rPr>
          <w:b/>
          <w:sz w:val="20"/>
        </w:rPr>
        <w:t xml:space="preserve">Heading: </w:t>
      </w:r>
      <w:r>
        <w:rPr>
          <w:sz w:val="20"/>
        </w:rPr>
        <w:t>Safety profile of VELOX</w:t>
      </w:r>
    </w:p>
    <w:p>
      <w:r>
        <w:rPr>
          <w:b/>
        </w:rPr>
        <w:t xml:space="preserve">Body text: </w:t>
      </w:r>
      <w:r>
        <w:t>VELOX® (veloxaban) has been evaluated in over 9,400 patients across the VELOCITY clinical programme, with treatment durations of up to 24 months.¹ ² ³</w:t>
      </w:r>
    </w:p>
    <w:p>
      <w:pPr>
        <w:jc w:val="center"/>
      </w:pPr>
      <w:r>
        <w:rPr>
          <w:color w:val="CCCCCC"/>
          <w:sz w:val="16"/>
        </w:rPr>
        <w:t>────────────────────────────────────────────────────────────</w:t>
      </w:r>
    </w:p>
    <w:p>
      <w:pPr>
        <w:pStyle w:val="Heading3"/>
      </w:pPr>
      <w:r>
        <w:rPr>
          <w:color w:val="1A365D"/>
        </w:rPr>
        <w:t>Section 2 — Key safety message (centred text) | highlight background</w:t>
      </w:r>
    </w:p>
    <w:p>
      <w:r>
        <w:rPr>
          <w:b/>
          <w:sz w:val="20"/>
        </w:rPr>
        <w:t xml:space="preserve">Block: </w:t>
      </w:r>
      <w:r>
        <w:rPr>
          <w:sz w:val="20"/>
        </w:rPr>
        <w:t>introduction</w:t>
      </w:r>
    </w:p>
    <w:p>
      <w:r>
        <w:rPr>
          <w:b/>
        </w:rPr>
        <w:t xml:space="preserve">Section metadata: </w:t>
      </w:r>
      <w:r>
        <w:rPr>
          <w:color w:val="666666"/>
        </w:rPr>
        <w:t>Style: highlight</w:t>
      </w:r>
    </w:p>
    <w:p>
      <w:r>
        <w:rPr>
          <w:b/>
          <w:sz w:val="20"/>
        </w:rPr>
        <w:t xml:space="preserve">Heading: </w:t>
      </w:r>
      <w:r>
        <w:rPr>
          <w:sz w:val="20"/>
        </w:rPr>
        <w:t>A new safety paradigm in anticoagulation</w:t>
      </w:r>
    </w:p>
    <w:p>
      <w:r>
        <w:rPr>
          <w:b/>
        </w:rPr>
        <w:t xml:space="preserve">Body text: </w:t>
      </w:r>
      <w:r>
        <w:t>By targeting Factor XIa — a key driver of pathological thrombus formation that plays a limited role in normal haemostasis — VELOX achieves a fundamentally different safety profile from established anticoagulants. In VELOCITY-AF, serious adverse events were lower with VELOX than rivaroxaban (12.4% vs 13.8%), driven primarily by fewer bleeding-related hospitalisations. Treatment discontinuation due to adverse events was low (4.8% vs 5.4%).¹ ² ³</w:t>
      </w:r>
    </w:p>
    <w:p>
      <w:pPr>
        <w:jc w:val="center"/>
      </w:pPr>
      <w:r>
        <w:rPr>
          <w:color w:val="CCCCCC"/>
          <w:sz w:val="16"/>
        </w:rPr>
        <w:t>────────────────────────────────────────────────────────────</w:t>
      </w:r>
    </w:p>
    <w:p>
      <w:pPr>
        <w:pStyle w:val="Heading3"/>
      </w:pPr>
      <w:r>
        <w:rPr>
          <w:color w:val="1A365D"/>
        </w:rPr>
        <w:t>Section 3 — Safety topic cards (three equal columns)</w:t>
      </w:r>
    </w:p>
    <w:p>
      <w:r>
        <w:rPr>
          <w:b/>
          <w:sz w:val="20"/>
        </w:rPr>
        <w:t xml:space="preserve">Block: </w:t>
      </w:r>
      <w:r>
        <w:rPr>
          <w:sz w:val="20"/>
        </w:rPr>
        <w:t>cards-teaser</w:t>
      </w:r>
    </w:p>
    <w:p/>
    <w:p>
      <w:pPr>
        <w:jc w:val="center"/>
      </w:pPr>
      <w:r>
        <w:drawing>
          <wp:inline xmlns:a="http://schemas.openxmlformats.org/drawingml/2006/main" xmlns:pic="http://schemas.openxmlformats.org/drawingml/2006/picture">
            <wp:extent cx="2743200" cy="2048256"/>
            <wp:docPr id="9" name="Picture 9"/>
            <wp:cNvGraphicFramePr>
              <a:graphicFrameLocks noChangeAspect="1"/>
            </wp:cNvGraphicFramePr>
            <a:graphic>
              <a:graphicData uri="http://schemas.openxmlformats.org/drawingml/2006/picture">
                <pic:pic>
                  <pic:nvPicPr>
                    <pic:cNvPr id="0" name="card-bleeding-events.jpeg"/>
                    <pic:cNvPicPr/>
                  </pic:nvPicPr>
                  <pic:blipFill>
                    <a:blip r:embed="rId17"/>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https://velox-images.pages.dev/card-bleeding-events.jpeg</w:t>
      </w:r>
    </w:p>
    <w:p>
      <w:pPr>
        <w:jc w:val="center"/>
      </w:pPr>
      <w:r>
        <w:rPr>
          <w:i/>
          <w:color w:val="666666"/>
          <w:sz w:val="16"/>
        </w:rPr>
        <w:t>Usage: Safety — bleeding events card</w:t>
      </w:r>
    </w:p>
    <w:p>
      <w:r>
        <w:rPr>
          <w:b/>
          <w:sz w:val="20"/>
        </w:rPr>
        <w:t xml:space="preserve">Card heading: </w:t>
      </w:r>
      <w:r>
        <w:rPr>
          <w:sz w:val="20"/>
        </w:rPr>
        <w:t>Bleeding events</w:t>
      </w:r>
    </w:p>
    <w:p>
      <w:r>
        <w:rPr>
          <w:b/>
        </w:rPr>
        <w:t xml:space="preserve">Card body: </w:t>
      </w:r>
      <w:r>
        <w:t>ISTH major bleeding: 1.52%/year (VELOX) vs 2.58%/year (rivaroxaban) in VELOCITY-AF (HR 0.59; P&lt;0.001). In the high-bleeding-risk VELOCITY-BLEED population, major or CRNM bleeding was 4.12% vs 6.97% vs apixaban (HR 0.59; P&lt;0.001). Intracranial haemorrhage was reduced by 54–60% across both trials.¹ ²</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10" name="Picture 10"/>
            <wp:cNvGraphicFramePr>
              <a:graphicFrameLocks noChangeAspect="1"/>
            </wp:cNvGraphicFramePr>
            <a:graphic>
              <a:graphicData uri="http://schemas.openxmlformats.org/drawingml/2006/picture">
                <pic:pic>
                  <pic:nvPicPr>
                    <pic:cNvPr id="0" name="card-hepatic.jpeg"/>
                    <pic:cNvPicPr/>
                  </pic:nvPicPr>
                  <pic:blipFill>
                    <a:blip r:embed="rId18"/>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https://velox-images.pages.dev/card-hepatic.jpeg</w:t>
      </w:r>
    </w:p>
    <w:p>
      <w:pPr>
        <w:jc w:val="center"/>
      </w:pPr>
      <w:r>
        <w:rPr>
          <w:i/>
          <w:color w:val="666666"/>
          <w:sz w:val="16"/>
        </w:rPr>
        <w:t>Usage: Safety — hepatic monitoring card</w:t>
      </w:r>
    </w:p>
    <w:p>
      <w:r>
        <w:rPr>
          <w:b/>
          <w:sz w:val="20"/>
        </w:rPr>
        <w:t xml:space="preserve">Card heading: </w:t>
      </w:r>
      <w:r>
        <w:rPr>
          <w:sz w:val="20"/>
        </w:rPr>
        <w:t>Hepatic safety</w:t>
      </w:r>
    </w:p>
    <w:p>
      <w:r>
        <w:rPr>
          <w:b/>
        </w:rPr>
        <w:t xml:space="preserve">Card body: </w:t>
      </w:r>
      <w:r>
        <w:t>ALT elevations &gt;3× ULN occurred in 1.1% of VELOX-treated patients across pooled VELOCITY data, comparable to 0.9% with comparators. No cases meeting Hy’s Law criteria were observed. Routine hepatic monitoring is not required; assess liver function before initiation and as clinically indicated.³</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11" name="Picture 11"/>
            <wp:cNvGraphicFramePr>
              <a:graphicFrameLocks noChangeAspect="1"/>
            </wp:cNvGraphicFramePr>
            <a:graphic>
              <a:graphicData uri="http://schemas.openxmlformats.org/drawingml/2006/picture">
                <pic:pic>
                  <pic:nvPicPr>
                    <pic:cNvPr id="0" name="card-gi-events.jpeg"/>
                    <pic:cNvPicPr/>
                  </pic:nvPicPr>
                  <pic:blipFill>
                    <a:blip r:embed="rId19"/>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https://velox-images.pages.dev/card-gi-events.jpeg</w:t>
      </w:r>
    </w:p>
    <w:p>
      <w:pPr>
        <w:jc w:val="center"/>
      </w:pPr>
      <w:r>
        <w:rPr>
          <w:i/>
          <w:color w:val="666666"/>
          <w:sz w:val="16"/>
        </w:rPr>
        <w:t>Usage: Safety — GI events card</w:t>
      </w:r>
    </w:p>
    <w:p>
      <w:r>
        <w:rPr>
          <w:b/>
          <w:sz w:val="20"/>
        </w:rPr>
        <w:t xml:space="preserve">Card heading: </w:t>
      </w:r>
      <w:r>
        <w:rPr>
          <w:sz w:val="20"/>
        </w:rPr>
        <w:t>Gastrointestinal events</w:t>
      </w:r>
    </w:p>
    <w:p>
      <w:r>
        <w:rPr>
          <w:b/>
        </w:rPr>
        <w:t xml:space="preserve">Card body: </w:t>
      </w:r>
      <w:r>
        <w:t>Dyspepsia (2.3%) and diarrhoea (2.1%) were the most common non-bleeding GI adverse events. GI major bleeding was reduced by 40% versus rivaroxaban in VELOCITY-AF (0.62%/year vs 1.04%/year; HR 0.60; P&lt;0.001) and by 40% versus apixaban in VELOCITY-BLEED (HR 0.60; P=0.001).¹ ²</w:t>
      </w:r>
    </w:p>
    <w:p>
      <w:pPr>
        <w:jc w:val="center"/>
      </w:pPr>
      <w:r>
        <w:rPr>
          <w:color w:val="CCCCCC"/>
          <w:sz w:val="16"/>
        </w:rPr>
        <w:t>────────────────────────────────────────────────────────────</w:t>
      </w:r>
    </w:p>
    <w:p>
      <w:pPr>
        <w:pStyle w:val="Heading3"/>
      </w:pPr>
      <w:r>
        <w:rPr>
          <w:color w:val="1A365D"/>
        </w:rPr>
        <w:t>Section 4 — Adverse events table | light background</w:t>
      </w:r>
    </w:p>
    <w:p>
      <w:r>
        <w:rPr>
          <w:b/>
          <w:sz w:val="20"/>
        </w:rPr>
        <w:t xml:space="preserve">Block: </w:t>
      </w:r>
      <w:r>
        <w:rPr>
          <w:sz w:val="20"/>
        </w:rPr>
        <w:t>table-data</w:t>
      </w:r>
    </w:p>
    <w:p>
      <w:r>
        <w:rPr>
          <w:b/>
        </w:rPr>
        <w:t xml:space="preserve">Section metadata: </w:t>
      </w:r>
      <w:r>
        <w:rPr>
          <w:color w:val="666666"/>
        </w:rPr>
        <w:t>Style: light</w:t>
      </w:r>
    </w:p>
    <w:p>
      <w:r>
        <w:rPr>
          <w:b/>
          <w:sz w:val="20"/>
        </w:rPr>
        <w:t xml:space="preserve">Heading: </w:t>
      </w:r>
      <w:r>
        <w:rPr>
          <w:sz w:val="20"/>
        </w:rPr>
        <w:t>Most common adverse events (≥2%) — pooled VELOCITY data</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30051"/>
          </w:tcPr>
          <w:p>
            <w:r/>
            <w:r>
              <w:rPr>
                <w:b/>
                <w:color w:val="FFFFFF"/>
                <w:sz w:val="18"/>
              </w:rPr>
              <w:t>Adverse event</w:t>
            </w:r>
          </w:p>
        </w:tc>
        <w:tc>
          <w:tcPr>
            <w:tcW w:type="dxa" w:w="3024"/>
            <w:shd w:fill="830051"/>
          </w:tcPr>
          <w:p>
            <w:r/>
            <w:r>
              <w:rPr>
                <w:b/>
                <w:color w:val="FFFFFF"/>
                <w:sz w:val="18"/>
              </w:rPr>
              <w:t>VELOX (%)</w:t>
            </w:r>
          </w:p>
        </w:tc>
        <w:tc>
          <w:tcPr>
            <w:tcW w:type="dxa" w:w="3024"/>
            <w:shd w:fill="830051"/>
          </w:tcPr>
          <w:p>
            <w:r/>
            <w:r>
              <w:rPr>
                <w:b/>
                <w:color w:val="FFFFFF"/>
                <w:sz w:val="18"/>
              </w:rPr>
              <w:t>Comparator (%)</w:t>
            </w:r>
          </w:p>
        </w:tc>
      </w:tr>
      <w:tr>
        <w:tc>
          <w:tcPr>
            <w:tcW w:type="dxa" w:w="3024"/>
          </w:tcPr>
          <w:p>
            <w:r/>
            <w:r>
              <w:rPr>
                <w:color w:val="363B3B"/>
                <w:sz w:val="18"/>
              </w:rPr>
              <w:t>Nasopharyngitis</w:t>
            </w:r>
          </w:p>
        </w:tc>
        <w:tc>
          <w:tcPr>
            <w:tcW w:type="dxa" w:w="3024"/>
          </w:tcPr>
          <w:p>
            <w:r/>
            <w:r>
              <w:rPr>
                <w:color w:val="363B3B"/>
                <w:sz w:val="18"/>
              </w:rPr>
              <w:t>7.2</w:t>
            </w:r>
          </w:p>
        </w:tc>
        <w:tc>
          <w:tcPr>
            <w:tcW w:type="dxa" w:w="3024"/>
          </w:tcPr>
          <w:p>
            <w:r/>
            <w:r>
              <w:rPr>
                <w:color w:val="363B3B"/>
                <w:sz w:val="18"/>
              </w:rPr>
              <w:t>7.0</w:t>
            </w:r>
          </w:p>
        </w:tc>
      </w:tr>
      <w:tr>
        <w:tc>
          <w:tcPr>
            <w:tcW w:type="dxa" w:w="3024"/>
            <w:shd w:fill="F8F8F8"/>
          </w:tcPr>
          <w:p>
            <w:r/>
            <w:r>
              <w:rPr>
                <w:color w:val="363B3B"/>
                <w:sz w:val="18"/>
              </w:rPr>
              <w:t>Epistaxis</w:t>
            </w:r>
          </w:p>
        </w:tc>
        <w:tc>
          <w:tcPr>
            <w:tcW w:type="dxa" w:w="3024"/>
            <w:shd w:fill="F8F8F8"/>
          </w:tcPr>
          <w:p>
            <w:r/>
            <w:r>
              <w:rPr>
                <w:color w:val="363B3B"/>
                <w:sz w:val="18"/>
              </w:rPr>
              <w:t>4.8</w:t>
            </w:r>
          </w:p>
        </w:tc>
        <w:tc>
          <w:tcPr>
            <w:tcW w:type="dxa" w:w="3024"/>
            <w:shd w:fill="F8F8F8"/>
          </w:tcPr>
          <w:p>
            <w:r/>
            <w:r>
              <w:rPr>
                <w:color w:val="363B3B"/>
                <w:sz w:val="18"/>
              </w:rPr>
              <w:t>5.6</w:t>
            </w:r>
          </w:p>
        </w:tc>
      </w:tr>
      <w:tr>
        <w:tc>
          <w:tcPr>
            <w:tcW w:type="dxa" w:w="3024"/>
          </w:tcPr>
          <w:p>
            <w:r/>
            <w:r>
              <w:rPr>
                <w:color w:val="363B3B"/>
                <w:sz w:val="18"/>
              </w:rPr>
              <w:t>Contusion/bruising</w:t>
            </w:r>
          </w:p>
        </w:tc>
        <w:tc>
          <w:tcPr>
            <w:tcW w:type="dxa" w:w="3024"/>
          </w:tcPr>
          <w:p>
            <w:r/>
            <w:r>
              <w:rPr>
                <w:color w:val="363B3B"/>
                <w:sz w:val="18"/>
              </w:rPr>
              <w:t>4.1</w:t>
            </w:r>
          </w:p>
        </w:tc>
        <w:tc>
          <w:tcPr>
            <w:tcW w:type="dxa" w:w="3024"/>
          </w:tcPr>
          <w:p>
            <w:r/>
            <w:r>
              <w:rPr>
                <w:color w:val="363B3B"/>
                <w:sz w:val="18"/>
              </w:rPr>
              <w:t>5.9</w:t>
            </w:r>
          </w:p>
        </w:tc>
      </w:tr>
      <w:tr>
        <w:tc>
          <w:tcPr>
            <w:tcW w:type="dxa" w:w="3024"/>
            <w:shd w:fill="F8F8F8"/>
          </w:tcPr>
          <w:p>
            <w:r/>
            <w:r>
              <w:rPr>
                <w:color w:val="363B3B"/>
                <w:sz w:val="18"/>
              </w:rPr>
              <w:t>Gingival bleeding</w:t>
            </w:r>
          </w:p>
        </w:tc>
        <w:tc>
          <w:tcPr>
            <w:tcW w:type="dxa" w:w="3024"/>
            <w:shd w:fill="F8F8F8"/>
          </w:tcPr>
          <w:p>
            <w:r/>
            <w:r>
              <w:rPr>
                <w:color w:val="363B3B"/>
                <w:sz w:val="18"/>
              </w:rPr>
              <w:t>3.4</w:t>
            </w:r>
          </w:p>
        </w:tc>
        <w:tc>
          <w:tcPr>
            <w:tcW w:type="dxa" w:w="3024"/>
            <w:shd w:fill="F8F8F8"/>
          </w:tcPr>
          <w:p>
            <w:r/>
            <w:r>
              <w:rPr>
                <w:color w:val="363B3B"/>
                <w:sz w:val="18"/>
              </w:rPr>
              <w:t>4.2</w:t>
            </w:r>
          </w:p>
        </w:tc>
      </w:tr>
      <w:tr>
        <w:tc>
          <w:tcPr>
            <w:tcW w:type="dxa" w:w="3024"/>
          </w:tcPr>
          <w:p>
            <w:r/>
            <w:r>
              <w:rPr>
                <w:color w:val="363B3B"/>
                <w:sz w:val="18"/>
              </w:rPr>
              <w:t>Haematuria</w:t>
            </w:r>
          </w:p>
        </w:tc>
        <w:tc>
          <w:tcPr>
            <w:tcW w:type="dxa" w:w="3024"/>
          </w:tcPr>
          <w:p>
            <w:r/>
            <w:r>
              <w:rPr>
                <w:color w:val="363B3B"/>
                <w:sz w:val="18"/>
              </w:rPr>
              <w:t>2.8</w:t>
            </w:r>
          </w:p>
        </w:tc>
        <w:tc>
          <w:tcPr>
            <w:tcW w:type="dxa" w:w="3024"/>
          </w:tcPr>
          <w:p>
            <w:r/>
            <w:r>
              <w:rPr>
                <w:color w:val="363B3B"/>
                <w:sz w:val="18"/>
              </w:rPr>
              <w:t>3.7</w:t>
            </w:r>
          </w:p>
        </w:tc>
      </w:tr>
      <w:tr>
        <w:tc>
          <w:tcPr>
            <w:tcW w:type="dxa" w:w="3024"/>
            <w:shd w:fill="F8F8F8"/>
          </w:tcPr>
          <w:p>
            <w:r/>
            <w:r>
              <w:rPr>
                <w:color w:val="363B3B"/>
                <w:sz w:val="18"/>
              </w:rPr>
              <w:t>Dizziness</w:t>
            </w:r>
          </w:p>
        </w:tc>
        <w:tc>
          <w:tcPr>
            <w:tcW w:type="dxa" w:w="3024"/>
            <w:shd w:fill="F8F8F8"/>
          </w:tcPr>
          <w:p>
            <w:r/>
            <w:r>
              <w:rPr>
                <w:color w:val="363B3B"/>
                <w:sz w:val="18"/>
              </w:rPr>
              <w:t>2.6</w:t>
            </w:r>
          </w:p>
        </w:tc>
        <w:tc>
          <w:tcPr>
            <w:tcW w:type="dxa" w:w="3024"/>
            <w:shd w:fill="F8F8F8"/>
          </w:tcPr>
          <w:p>
            <w:r/>
            <w:r>
              <w:rPr>
                <w:color w:val="363B3B"/>
                <w:sz w:val="18"/>
              </w:rPr>
              <w:t>2.4</w:t>
            </w:r>
          </w:p>
        </w:tc>
      </w:tr>
      <w:tr>
        <w:tc>
          <w:tcPr>
            <w:tcW w:type="dxa" w:w="3024"/>
          </w:tcPr>
          <w:p>
            <w:r/>
            <w:r>
              <w:rPr>
                <w:color w:val="363B3B"/>
                <w:sz w:val="18"/>
              </w:rPr>
              <w:t>Dyspepsia</w:t>
            </w:r>
          </w:p>
        </w:tc>
        <w:tc>
          <w:tcPr>
            <w:tcW w:type="dxa" w:w="3024"/>
          </w:tcPr>
          <w:p>
            <w:r/>
            <w:r>
              <w:rPr>
                <w:color w:val="363B3B"/>
                <w:sz w:val="18"/>
              </w:rPr>
              <w:t>2.3</w:t>
            </w:r>
          </w:p>
        </w:tc>
        <w:tc>
          <w:tcPr>
            <w:tcW w:type="dxa" w:w="3024"/>
          </w:tcPr>
          <w:p>
            <w:r/>
            <w:r>
              <w:rPr>
                <w:color w:val="363B3B"/>
                <w:sz w:val="18"/>
              </w:rPr>
              <w:t>2.1</w:t>
            </w:r>
          </w:p>
        </w:tc>
      </w:tr>
      <w:tr>
        <w:tc>
          <w:tcPr>
            <w:tcW w:type="dxa" w:w="3024"/>
            <w:shd w:fill="F8F8F8"/>
          </w:tcPr>
          <w:p>
            <w:r/>
            <w:r>
              <w:rPr>
                <w:color w:val="363B3B"/>
                <w:sz w:val="18"/>
              </w:rPr>
              <w:t>Diarrhoea</w:t>
            </w:r>
          </w:p>
        </w:tc>
        <w:tc>
          <w:tcPr>
            <w:tcW w:type="dxa" w:w="3024"/>
            <w:shd w:fill="F8F8F8"/>
          </w:tcPr>
          <w:p>
            <w:r/>
            <w:r>
              <w:rPr>
                <w:color w:val="363B3B"/>
                <w:sz w:val="18"/>
              </w:rPr>
              <w:t>2.1</w:t>
            </w:r>
          </w:p>
        </w:tc>
        <w:tc>
          <w:tcPr>
            <w:tcW w:type="dxa" w:w="3024"/>
            <w:shd w:fill="F8F8F8"/>
          </w:tcPr>
          <w:p>
            <w:r/>
            <w:r>
              <w:rPr>
                <w:color w:val="363B3B"/>
                <w:sz w:val="18"/>
              </w:rPr>
              <w:t>1.9</w:t>
            </w:r>
          </w:p>
        </w:tc>
      </w:tr>
    </w:tbl>
    <w:p>
      <w:pPr>
        <w:jc w:val="center"/>
      </w:pPr>
      <w:r>
        <w:rPr>
          <w:color w:val="CCCCCC"/>
          <w:sz w:val="16"/>
        </w:rPr>
        <w:t>────────────────────────────────────────────────────────────</w:t>
      </w:r>
    </w:p>
    <w:p>
      <w:pPr>
        <w:pStyle w:val="Heading3"/>
      </w:pPr>
      <w:r>
        <w:rPr>
          <w:color w:val="1A365D"/>
        </w:rPr>
        <w:t>Section 5 — Special populations (two-column: image left, text right)</w:t>
      </w:r>
    </w:p>
    <w:p>
      <w:r>
        <w:rPr>
          <w:b/>
          <w:sz w:val="20"/>
        </w:rPr>
        <w:t xml:space="preserve">Block: </w:t>
      </w:r>
      <w:r>
        <w:rPr>
          <w:sz w:val="20"/>
        </w:rPr>
        <w:t>columns-teaser</w:t>
      </w:r>
    </w:p>
    <w:p>
      <w:r>
        <w:rPr>
          <w:b/>
          <w:sz w:val="20"/>
        </w:rPr>
        <w:t xml:space="preserve">Heading: </w:t>
      </w:r>
      <w:r>
        <w:rPr>
          <w:sz w:val="20"/>
        </w:rPr>
        <w:t>Consistent safety across key subgroups</w:t>
      </w:r>
    </w:p>
    <w:p>
      <w:r>
        <w:rPr>
          <w:b/>
        </w:rPr>
        <w:t xml:space="preserve">Body text: </w:t>
      </w:r>
      <w:r>
        <w:t>In VELOCITY-AF, the bleeding benefit of VELOX over rivaroxaban was consistent across pre-specified subgroups including patients aged ≥75 years, those with moderate renal impairment (CrCl 30–49 mL/min), patients receiving concomitant antiplatelet therapy, and those with prior GI bleeding. In every subgroup, major bleeding rates were numerically or significantly lower with VELOX while stroke prevention efficacy was maintained.¹ ³</w:t>
      </w:r>
    </w:p>
    <w:p>
      <w:pPr>
        <w:jc w:val="center"/>
      </w:pPr>
      <w:r>
        <w:rPr>
          <w:color w:val="CCCCCC"/>
          <w:sz w:val="16"/>
        </w:rPr>
        <w:t>────────────────────────────────────────────────────────────</w:t>
      </w:r>
    </w:p>
    <w:p>
      <w:pPr>
        <w:pStyle w:val="Heading3"/>
      </w:pPr>
      <w:r>
        <w:rPr>
          <w:color w:val="1A365D"/>
        </w:rPr>
        <w:t>Section 6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Safety Profile | VELOX (veloxaban) | Bleeding &amp; Adverse Events | AstraZeneca UK</w:t>
      </w:r>
    </w:p>
    <w:p>
      <w:r>
        <w:rPr>
          <w:b w:val="0"/>
          <w:i w:val="0"/>
          <w:color w:val="363B3B"/>
          <w:sz w:val="20"/>
        </w:rPr>
        <w:t>Description: Review the safety profile of VELOX (veloxaban), including bleeding events, hepatic safety, and adverse event data from the VELOCITY clinical programme in over 9,400 patients with atrial fibrillation.</w:t>
      </w:r>
    </w:p>
    <w:p>
      <w:r>
        <w:br w:type="page"/>
      </w:r>
    </w:p>
    <w:p>
      <w:pPr>
        <w:pStyle w:val="Heading2"/>
      </w:pPr>
      <w:r>
        <w:rPr>
          <w:color w:val="830051"/>
        </w:rPr>
        <w:t>PAGE 4: Dosing &amp; Administration</w:t>
      </w:r>
    </w:p>
    <w:p>
      <w:r>
        <w:rPr>
          <w:b/>
          <w:sz w:val="20"/>
        </w:rPr>
        <w:t xml:space="preserve">URL path: </w:t>
      </w:r>
      <w:r>
        <w:rPr>
          <w:sz w:val="20"/>
        </w:rPr>
        <w:t>/velox/dosing</w:t>
      </w:r>
    </w:p>
    <w:p>
      <w:pPr>
        <w:jc w:val="center"/>
      </w:pPr>
      <w:r>
        <w:rPr>
          <w:color w:val="CCCCCC"/>
          <w:sz w:val="16"/>
        </w:rPr>
        <w:t>────────────────────────────────────────────────────────────</w:t>
      </w:r>
    </w:p>
    <w:p>
      <w:pPr>
        <w:pStyle w:val="Heading3"/>
      </w:pPr>
      <w:r>
        <w:rPr>
          <w:color w:val="1A365D"/>
        </w:rPr>
        <w:t>Section 1 — Page header (text only, no image)</w:t>
      </w:r>
    </w:p>
    <w:p>
      <w:r>
        <w:rPr>
          <w:b/>
          <w:sz w:val="20"/>
        </w:rPr>
        <w:t xml:space="preserve">Block: </w:t>
      </w:r>
      <w:r>
        <w:rPr>
          <w:sz w:val="20"/>
        </w:rPr>
        <w:t>title</w:t>
      </w:r>
    </w:p>
    <w:p>
      <w:r>
        <w:rPr>
          <w:b/>
          <w:sz w:val="20"/>
        </w:rPr>
        <w:t xml:space="preserve">Heading: </w:t>
      </w:r>
      <w:r>
        <w:rPr>
          <w:sz w:val="20"/>
        </w:rPr>
        <w:t>Dosing and administration</w:t>
      </w:r>
    </w:p>
    <w:p>
      <w:r>
        <w:rPr>
          <w:b/>
        </w:rPr>
        <w:t xml:space="preserve">Body text: </w:t>
      </w:r>
      <w:r>
        <w:t>VELOX® (veloxaban) offers a simplified dosing regimen with no routine dose adjustments required for age, body weight, or renal function (CrCl ≥30 mL/min).³</w:t>
      </w:r>
    </w:p>
    <w:p>
      <w:pPr>
        <w:jc w:val="center"/>
      </w:pPr>
      <w:r>
        <w:rPr>
          <w:color w:val="CCCCCC"/>
          <w:sz w:val="16"/>
        </w:rPr>
        <w:t>────────────────────────────────────────────────────────────</w:t>
      </w:r>
    </w:p>
    <w:p>
      <w:pPr>
        <w:pStyle w:val="Heading3"/>
      </w:pPr>
      <w:r>
        <w:rPr>
          <w:color w:val="1A365D"/>
        </w:rPr>
        <w:t>Section 2 — Key dosing message (centred text) | highlight background</w:t>
      </w:r>
    </w:p>
    <w:p>
      <w:r>
        <w:rPr>
          <w:b/>
          <w:sz w:val="20"/>
        </w:rPr>
        <w:t xml:space="preserve">Block: </w:t>
      </w:r>
      <w:r>
        <w:rPr>
          <w:sz w:val="20"/>
        </w:rPr>
        <w:t>introduction</w:t>
      </w:r>
    </w:p>
    <w:p>
      <w:r>
        <w:rPr>
          <w:b/>
        </w:rPr>
        <w:t xml:space="preserve">Section metadata: </w:t>
      </w:r>
      <w:r>
        <w:rPr>
          <w:color w:val="666666"/>
        </w:rPr>
        <w:t>Style: highlight</w:t>
      </w:r>
    </w:p>
    <w:p>
      <w:r>
        <w:rPr>
          <w:b/>
          <w:sz w:val="20"/>
        </w:rPr>
        <w:t xml:space="preserve">Heading: </w:t>
      </w:r>
      <w:r>
        <w:rPr>
          <w:sz w:val="20"/>
        </w:rPr>
        <w:t>One dose. Once daily. No routine adjustments.</w:t>
      </w:r>
    </w:p>
    <w:p>
      <w:r>
        <w:rPr>
          <w:b/>
        </w:rPr>
        <w:t xml:space="preserve">Body text: </w:t>
      </w:r>
      <w:r>
        <w:t>VELOX 40 mg once daily — taken with or without food. Unlike current DOACs, no dose reduction is required for moderate renal impairment, advanced age, or low body weight, reducing prescribing complexity and the risk of inappropriate dose modifications.³</w:t>
      </w:r>
    </w:p>
    <w:p>
      <w:pPr>
        <w:jc w:val="center"/>
      </w:pPr>
      <w:r>
        <w:rPr>
          <w:color w:val="CCCCCC"/>
          <w:sz w:val="16"/>
        </w:rPr>
        <w:t>────────────────────────────────────────────────────────────</w:t>
      </w:r>
    </w:p>
    <w:p>
      <w:pPr>
        <w:pStyle w:val="Heading3"/>
      </w:pPr>
      <w:r>
        <w:rPr>
          <w:color w:val="1A365D"/>
        </w:rPr>
        <w:t>Section 3 — Dosing details (two-column: image left, text right)</w:t>
      </w:r>
    </w:p>
    <w:p>
      <w:r>
        <w:rPr>
          <w:b/>
          <w:sz w:val="20"/>
        </w:rPr>
        <w:t xml:space="preserve">Block: </w:t>
      </w:r>
      <w:r>
        <w:rPr>
          <w:sz w:val="20"/>
        </w:rPr>
        <w:t>columns-teaser</w:t>
      </w:r>
    </w:p>
    <w:p/>
    <w:p>
      <w:pPr>
        <w:jc w:val="center"/>
      </w:pPr>
      <w:r>
        <w:drawing>
          <wp:inline xmlns:a="http://schemas.openxmlformats.org/drawingml/2006/main" xmlns:pic="http://schemas.openxmlformats.org/drawingml/2006/picture">
            <wp:extent cx="3200400" cy="2389632"/>
            <wp:docPr id="12" name="Picture 12"/>
            <wp:cNvGraphicFramePr>
              <a:graphicFrameLocks noChangeAspect="1"/>
            </wp:cNvGraphicFramePr>
            <a:graphic>
              <a:graphicData uri="http://schemas.openxmlformats.org/drawingml/2006/picture">
                <pic:pic>
                  <pic:nvPicPr>
                    <pic:cNvPr id="0" name="columns-dosing.jpeg"/>
                    <pic:cNvPicPr/>
                  </pic:nvPicPr>
                  <pic:blipFill>
                    <a:blip r:embed="rId20"/>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https://velox-images.pages.dev/columns-dosing.jpeg</w:t>
      </w:r>
    </w:p>
    <w:p>
      <w:pPr>
        <w:jc w:val="center"/>
      </w:pPr>
      <w:r>
        <w:rPr>
          <w:i/>
          <w:color w:val="666666"/>
          <w:sz w:val="16"/>
        </w:rPr>
        <w:t>Usage: Dosing — once-daily regimen</w:t>
      </w:r>
    </w:p>
    <w:p>
      <w:r>
        <w:rPr>
          <w:b/>
          <w:sz w:val="20"/>
        </w:rPr>
        <w:t xml:space="preserve">Heading: </w:t>
      </w:r>
      <w:r>
        <w:rPr>
          <w:sz w:val="20"/>
        </w:rPr>
        <w:t>Recommended dose</w:t>
      </w:r>
    </w:p>
    <w:p>
      <w:r>
        <w:rPr>
          <w:b/>
        </w:rPr>
        <w:t xml:space="preserve">Body text: </w:t>
      </w:r>
      <w:r>
        <w:t>The recommended dose of VELOX is 40 mg (one tablet) taken orally once daily, with or without food. Tablets should be swallowed whole and must not be crushed, split, or chewed. If a dose is missed, it should be taken as soon as remembered on the same day. Do not take a double dose to make up for a missed dose.³</w:t>
      </w:r>
    </w:p>
    <w:p/>
    <w:p>
      <w:r>
        <w:rPr>
          <w:b/>
        </w:rPr>
        <w:t xml:space="preserve">Body text (continued): </w:t>
      </w:r>
      <w:r>
        <w:t>No dose adjustment is required for: age (including patients ≥75 and ≥80 years); body weight (including &lt;60 kg and &gt;120 kg); moderate renal impairment (CrCl 30–49 mL/min); mild to moderate hepatic impairment (Child-Pugh A or B). VELOX is contraindicated in patients with CrCl &lt;15 mL/min and is not recommended in CrCl 15–29 mL/min due to lack of clinical data.³</w:t>
      </w:r>
    </w:p>
    <w:p>
      <w:pPr>
        <w:jc w:val="center"/>
      </w:pPr>
      <w:r>
        <w:rPr>
          <w:color w:val="CCCCCC"/>
          <w:sz w:val="16"/>
        </w:rPr>
        <w:t>────────────────────────────────────────────────────────────</w:t>
      </w:r>
    </w:p>
    <w:p>
      <w:pPr>
        <w:pStyle w:val="Heading3"/>
      </w:pPr>
      <w:r>
        <w:rPr>
          <w:color w:val="1A365D"/>
        </w:rPr>
        <w:t>Section 4 — Monitoring (two-column: image left, text right) | light background</w:t>
      </w:r>
    </w:p>
    <w:p>
      <w:r>
        <w:rPr>
          <w:b/>
          <w:sz w:val="20"/>
        </w:rPr>
        <w:t xml:space="preserve">Block: </w:t>
      </w:r>
      <w:r>
        <w:rPr>
          <w:sz w:val="20"/>
        </w:rPr>
        <w:t>columns-teaser</w:t>
      </w:r>
    </w:p>
    <w:p>
      <w:r>
        <w:rPr>
          <w:b/>
        </w:rPr>
        <w:t xml:space="preserve">Section metadata: </w:t>
      </w:r>
      <w:r>
        <w:rPr>
          <w:color w:val="666666"/>
        </w:rPr>
        <w:t>Style: light</w:t>
      </w:r>
    </w:p>
    <w:p/>
    <w:p>
      <w:pPr>
        <w:jc w:val="center"/>
      </w:pPr>
      <w:r>
        <w:drawing>
          <wp:inline xmlns:a="http://schemas.openxmlformats.org/drawingml/2006/main" xmlns:pic="http://schemas.openxmlformats.org/drawingml/2006/picture">
            <wp:extent cx="3200400" cy="2389632"/>
            <wp:docPr id="13" name="Picture 13"/>
            <wp:cNvGraphicFramePr>
              <a:graphicFrameLocks noChangeAspect="1"/>
            </wp:cNvGraphicFramePr>
            <a:graphic>
              <a:graphicData uri="http://schemas.openxmlformats.org/drawingml/2006/picture">
                <pic:pic>
                  <pic:nvPicPr>
                    <pic:cNvPr id="0" name="columns-monitoring.jpeg"/>
                    <pic:cNvPicPr/>
                  </pic:nvPicPr>
                  <pic:blipFill>
                    <a:blip r:embed="rId21"/>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https://velox-images.pages.dev/columns-monitoring.jpeg</w:t>
      </w:r>
    </w:p>
    <w:p>
      <w:pPr>
        <w:jc w:val="center"/>
      </w:pPr>
      <w:r>
        <w:rPr>
          <w:i/>
          <w:color w:val="666666"/>
          <w:sz w:val="16"/>
        </w:rPr>
        <w:t>Usage: Dosing — monitoring</w:t>
      </w:r>
    </w:p>
    <w:p>
      <w:r>
        <w:rPr>
          <w:b/>
          <w:sz w:val="20"/>
        </w:rPr>
        <w:t xml:space="preserve">Heading: </w:t>
      </w:r>
      <w:r>
        <w:rPr>
          <w:sz w:val="20"/>
        </w:rPr>
        <w:t>Monitoring and practical considerations</w:t>
      </w:r>
    </w:p>
    <w:p>
      <w:r>
        <w:rPr>
          <w:b/>
        </w:rPr>
        <w:t xml:space="preserve">Body text: </w:t>
      </w:r>
      <w:r>
        <w:t>Routine coagulation monitoring is not required with VELOX. Assess renal function (CrCl) before initiation and at least annually during treatment, or more frequently if clinically indicated (acute illness, dehydration, intercurrent renal disease). Assess hepatic function before initiation; routine hepatic monitoring during treatment is not required.³</w:t>
      </w:r>
    </w:p>
    <w:p/>
    <w:p>
      <w:r>
        <w:rPr>
          <w:b/>
        </w:rPr>
        <w:t xml:space="preserve">Body text (continued): </w:t>
      </w:r>
      <w:r>
        <w:t>Switching from warfarin: Discontinue warfarin and start VELOX when INR falls below 2.0. Switching from rivaroxaban, apixaban, edoxaban, or dabigatran: Start VELOX at the time of the next scheduled dose of the previous anticoagulant. Perioperative management: Discontinue VELOX at least 24 hours before elective surgery with standard bleeding risk, or 48 hours for high-bleeding-risk procedures. Resume when adequate haemostasis is established, typically within 24 hours post-procedure.³</w:t>
      </w:r>
    </w:p>
    <w:p>
      <w:pPr>
        <w:jc w:val="center"/>
      </w:pPr>
      <w:r>
        <w:rPr>
          <w:color w:val="CCCCCC"/>
          <w:sz w:val="16"/>
        </w:rPr>
        <w:t>────────────────────────────────────────────────────────────</w:t>
      </w:r>
    </w:p>
    <w:p>
      <w:pPr>
        <w:pStyle w:val="Heading3"/>
      </w:pPr>
      <w:r>
        <w:rPr>
          <w:color w:val="1A365D"/>
        </w:rPr>
        <w:t>Section 5 — Drug interactions (centred text)</w:t>
      </w:r>
    </w:p>
    <w:p>
      <w:r>
        <w:rPr>
          <w:b/>
          <w:sz w:val="20"/>
        </w:rPr>
        <w:t xml:space="preserve">Block: </w:t>
      </w:r>
      <w:r>
        <w:rPr>
          <w:sz w:val="20"/>
        </w:rPr>
        <w:t>introduction</w:t>
      </w:r>
    </w:p>
    <w:p>
      <w:r>
        <w:rPr>
          <w:b/>
          <w:sz w:val="20"/>
        </w:rPr>
        <w:t xml:space="preserve">Heading: </w:t>
      </w:r>
      <w:r>
        <w:rPr>
          <w:sz w:val="20"/>
        </w:rPr>
        <w:t>Key drug interactions</w:t>
      </w:r>
    </w:p>
    <w:p>
      <w:r>
        <w:rPr>
          <w:b/>
        </w:rPr>
        <w:t xml:space="preserve">Body text: </w:t>
      </w:r>
      <w:r>
        <w:t>Avoid concomitant use with strong dual CYP3A4/P-gp inhibitors (ketoconazole, itraconazole, ritonavir, lopinavir) — these increase veloxaban exposure approximately 2.1-fold. Avoid strong CYP3A4/P-gp inducers (rifampicin, carbamazepine, phenytoin, St John’s wort) as these may reduce efficacy. No dose adjustment is required with moderate CYP3A4 inhibitors (diltiazem, verapamil, erythromycin) or with PPIs, H₂-receptor antagonists, or antacids.³</w:t>
      </w:r>
    </w:p>
    <w:p>
      <w:pPr>
        <w:jc w:val="center"/>
      </w:pPr>
      <w:r>
        <w:rPr>
          <w:color w:val="CCCCCC"/>
          <w:sz w:val="16"/>
        </w:rPr>
        <w:t>────────────────────────────────────────────────────────────</w:t>
      </w:r>
    </w:p>
    <w:p>
      <w:pPr>
        <w:pStyle w:val="Heading3"/>
      </w:pPr>
      <w:r>
        <w:rPr>
          <w:color w:val="1A365D"/>
        </w:rPr>
        <w:t>Section 6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Dosing &amp; Administration | VELOX (veloxaban) | Once Daily, No Adjustments | AstraZeneca UK</w:t>
      </w:r>
    </w:p>
    <w:p>
      <w:r>
        <w:rPr>
          <w:b w:val="0"/>
          <w:i w:val="0"/>
          <w:color w:val="363B3B"/>
          <w:sz w:val="20"/>
        </w:rPr>
        <w:t>Description: VELOX (veloxaban) dosing and administration guide: 40 mg once daily with no routine dose adjustments for age, weight, or renal function. Switching, monitoring, and drug interaction guidance for UK healthcare professionals.</w:t>
      </w:r>
    </w:p>
    <w:p>
      <w:r>
        <w:br w:type="page"/>
      </w:r>
    </w:p>
    <w:p>
      <w:pPr>
        <w:pStyle w:val="Heading2"/>
      </w:pPr>
      <w:r>
        <w:rPr>
          <w:color w:val="830051"/>
        </w:rPr>
        <w:t>PAGE 5: How VELOX Works</w:t>
      </w:r>
    </w:p>
    <w:p>
      <w:r>
        <w:rPr>
          <w:b/>
          <w:sz w:val="20"/>
        </w:rPr>
        <w:t xml:space="preserve">URL path: </w:t>
      </w:r>
      <w:r>
        <w:rPr>
          <w:sz w:val="20"/>
        </w:rPr>
        <w:t>/velox/how-velox-works</w:t>
      </w:r>
    </w:p>
    <w:p>
      <w:pPr>
        <w:jc w:val="center"/>
      </w:pPr>
      <w:r>
        <w:rPr>
          <w:color w:val="CCCCCC"/>
          <w:sz w:val="16"/>
        </w:rPr>
        <w:t>────────────────────────────────────────────────────────────</w:t>
      </w:r>
    </w:p>
    <w:p>
      <w:pPr>
        <w:pStyle w:val="Heading3"/>
      </w:pPr>
      <w:r>
        <w:rPr>
          <w:color w:val="1A365D"/>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14" name="Picture 14"/>
            <wp:cNvGraphicFramePr>
              <a:graphicFrameLocks noChangeAspect="1"/>
            </wp:cNvGraphicFramePr>
            <a:graphic>
              <a:graphicData uri="http://schemas.openxmlformats.org/drawingml/2006/picture">
                <pic:pic>
                  <pic:nvPicPr>
                    <pic:cNvPr id="0" name="hero-moa.jpeg"/>
                    <pic:cNvPicPr/>
                  </pic:nvPicPr>
                  <pic:blipFill>
                    <a:blip r:embed="rId22"/>
                    <a:stretch>
                      <a:fillRect/>
                    </a:stretch>
                  </pic:blipFill>
                  <pic:spPr>
                    <a:xfrm>
                      <a:off x="0" y="0"/>
                      <a:ext cx="5029200" cy="2806995"/>
                    </a:xfrm>
                    <a:prstGeom prst="rect"/>
                  </pic:spPr>
                </pic:pic>
              </a:graphicData>
            </a:graphic>
          </wp:inline>
        </w:drawing>
      </w:r>
    </w:p>
    <w:p>
      <w:pPr>
        <w:jc w:val="center"/>
      </w:pPr>
      <w:r>
        <w:rPr>
          <w:color w:val="005599"/>
          <w:sz w:val="16"/>
          <w:u w:val="single"/>
        </w:rPr>
        <w:t>https://velox-images.pages.dev/hero-moa.jpeg</w:t>
      </w:r>
    </w:p>
    <w:p>
      <w:pPr>
        <w:jc w:val="center"/>
      </w:pPr>
      <w:r>
        <w:rPr>
          <w:i/>
          <w:color w:val="666666"/>
          <w:sz w:val="16"/>
        </w:rPr>
        <w:t>Usage: How VELOX Works — hero</w:t>
      </w:r>
    </w:p>
    <w:p>
      <w:r>
        <w:rPr>
          <w:b/>
          <w:sz w:val="20"/>
        </w:rPr>
        <w:t xml:space="preserve">Heading: </w:t>
      </w:r>
      <w:r>
        <w:rPr>
          <w:sz w:val="20"/>
        </w:rPr>
        <w:t>How VELOX works</w:t>
      </w:r>
    </w:p>
    <w:p>
      <w:r>
        <w:rPr>
          <w:b/>
        </w:rPr>
        <w:t xml:space="preserve">Body text: </w:t>
      </w:r>
      <w:r>
        <w:t>VELOX® (veloxaban) is a first-in-class selective oral Factor XIa inhibitor that separates antithrombotic efficacy from haemostatic impairment — a new approach to anticoagulation.³ ⁵</w:t>
      </w:r>
    </w:p>
    <w:p>
      <w:pPr>
        <w:jc w:val="center"/>
      </w:pPr>
      <w:r>
        <w:rPr>
          <w:color w:val="CCCCCC"/>
          <w:sz w:val="16"/>
        </w:rPr>
        <w:t>────────────────────────────────────────────────────────────</w:t>
      </w:r>
    </w:p>
    <w:p>
      <w:pPr>
        <w:pStyle w:val="Heading3"/>
      </w:pPr>
      <w:r>
        <w:rPr>
          <w:color w:val="1A365D"/>
        </w:rPr>
        <w:t>Section 2 — Disease context (centred text) | light background</w:t>
      </w:r>
    </w:p>
    <w:p>
      <w:r>
        <w:rPr>
          <w:b/>
          <w:sz w:val="20"/>
        </w:rPr>
        <w:t xml:space="preserve">Block: </w:t>
      </w:r>
      <w:r>
        <w:rPr>
          <w:sz w:val="20"/>
        </w:rPr>
        <w:t>introduction</w:t>
      </w:r>
    </w:p>
    <w:p>
      <w:r>
        <w:rPr>
          <w:b/>
        </w:rPr>
        <w:t xml:space="preserve">Section metadata: </w:t>
      </w:r>
      <w:r>
        <w:rPr>
          <w:color w:val="666666"/>
        </w:rPr>
        <w:t>Style: light</w:t>
      </w:r>
    </w:p>
    <w:p>
      <w:r>
        <w:rPr>
          <w:b/>
          <w:sz w:val="20"/>
        </w:rPr>
        <w:t xml:space="preserve">Heading: </w:t>
      </w:r>
      <w:r>
        <w:rPr>
          <w:sz w:val="20"/>
        </w:rPr>
        <w:t>The coagulation cascade: two pathways, one clinical dilemma</w:t>
      </w:r>
    </w:p>
    <w:p>
      <w:r>
        <w:rPr>
          <w:b/>
        </w:rPr>
        <w:t xml:space="preserve">Body text: </w:t>
      </w:r>
      <w:r>
        <w:t>Current anticoagulants (Factor Xa and direct thrombin inhibitors) target components shared by both pathological thrombosis and physiological haemostasis, inherently coupling antithrombotic efficacy to bleeding risk. The intrinsic coagulation pathway — amplified by Factor XIa — contributes disproportionately to pathological thrombus formation (as seen in AF, VTE, and arterial thrombosis) while playing a limited role in the haemostatic response to vascular injury. Clinical genetic evidence confirms this: inherited Factor XI deficiency protects against thrombotic events with only mild bleeding tendency.⁴ ⁵</w:t>
      </w:r>
    </w:p>
    <w:p>
      <w:pPr>
        <w:jc w:val="center"/>
      </w:pPr>
      <w:r>
        <w:rPr>
          <w:color w:val="CCCCCC"/>
          <w:sz w:val="16"/>
        </w:rPr>
        <w:t>────────────────────────────────────────────────────────────</w:t>
      </w:r>
    </w:p>
    <w:p>
      <w:pPr>
        <w:pStyle w:val="Heading3"/>
      </w:pPr>
      <w:r>
        <w:rPr>
          <w:color w:val="1A365D"/>
        </w:rPr>
        <w:t>Section 3 — Mechanism detail (two-column: image left, text right)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15" name="Picture 15"/>
            <wp:cNvGraphicFramePr>
              <a:graphicFrameLocks noChangeAspect="1"/>
            </wp:cNvGraphicFramePr>
            <a:graphic>
              <a:graphicData uri="http://schemas.openxmlformats.org/drawingml/2006/picture">
                <pic:pic>
                  <pic:nvPicPr>
                    <pic:cNvPr id="0" name="columns-moa-preview.jpeg"/>
                    <pic:cNvPicPr/>
                  </pic:nvPicPr>
                  <pic:blipFill>
                    <a:blip r:embed="rId13"/>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https://velox-images.pages.dev/columns-moa-preview.jpeg</w:t>
      </w:r>
    </w:p>
    <w:p>
      <w:pPr>
        <w:jc w:val="center"/>
      </w:pPr>
      <w:r>
        <w:rPr>
          <w:i/>
          <w:color w:val="666666"/>
          <w:sz w:val="16"/>
        </w:rPr>
        <w:t>Usage: Home — MoA teaser</w:t>
      </w:r>
    </w:p>
    <w:p>
      <w:r>
        <w:rPr>
          <w:b/>
          <w:sz w:val="20"/>
        </w:rPr>
        <w:t xml:space="preserve">Heading: </w:t>
      </w:r>
      <w:r>
        <w:rPr>
          <w:sz w:val="20"/>
        </w:rPr>
        <w:t>Selective Factor XIa inhibition: targeting the amplification loop</w:t>
      </w:r>
    </w:p>
    <w:p>
      <w:r>
        <w:rPr>
          <w:b/>
        </w:rPr>
        <w:t xml:space="preserve">Body text: </w:t>
      </w:r>
      <w:r>
        <w:t>Veloxaban binds selectively to the active site of Factor XIa with high affinity (Ki = 0.2 nM), suppressing thrombin amplification through the intrinsic pathway without affecting Factor Xa, thrombin, or other serine proteases in the coagulation cascade. This selective inhibition reduces fibrin-rich thrombus propagation in the low-shear environment of the left atrial appendage — the primary site of thrombus formation in AF — and attenuates Factor XIa-driven platelet activation.³ ⁵</w:t>
      </w:r>
    </w:p>
    <w:p/>
    <w:p>
      <w:r>
        <w:rPr>
          <w:b/>
        </w:rPr>
        <w:t xml:space="preserve">Body text (continued): </w:t>
      </w:r>
      <w:r>
        <w:t>Critically, veloxaban preserves the extrinsic (tissue factor) pathway, which is responsible for initiating haemostasis at sites of vascular injury. This mechanistic separation is the pharmacological basis for the reduced bleeding observed across the VELOCITY programme, including the clinically important categories of intracranial haemorrhage and gastrointestinal bleeding.³ ⁵</w:t>
      </w:r>
    </w:p>
    <w:p>
      <w:r>
        <w:rPr>
          <w:b/>
          <w:sz w:val="20"/>
        </w:rPr>
        <w:t xml:space="preserve">Call to action: </w:t>
      </w:r>
      <w:r>
        <w:rPr>
          <w:sz w:val="20"/>
        </w:rPr>
        <w:t>View the VELOCITY bleeding data → /velox/safety</w:t>
      </w:r>
    </w:p>
    <w:p>
      <w:pPr>
        <w:jc w:val="center"/>
      </w:pPr>
      <w:r>
        <w:rPr>
          <w:color w:val="CCCCCC"/>
          <w:sz w:val="16"/>
        </w:rPr>
        <w:t>────────────────────────────────────────────────────────────</w:t>
      </w:r>
    </w:p>
    <w:p>
      <w:pPr>
        <w:pStyle w:val="Heading3"/>
      </w:pPr>
      <w:r>
        <w:rPr>
          <w:color w:val="1A365D"/>
        </w:rPr>
        <w:t>Section 4 — Key pharmacological properties (centred text)</w:t>
      </w:r>
    </w:p>
    <w:p>
      <w:r>
        <w:rPr>
          <w:b/>
          <w:sz w:val="20"/>
        </w:rPr>
        <w:t xml:space="preserve">Block: </w:t>
      </w:r>
      <w:r>
        <w:rPr>
          <w:sz w:val="20"/>
        </w:rPr>
        <w:t>introduction</w:t>
      </w:r>
    </w:p>
    <w:p>
      <w:r>
        <w:rPr>
          <w:b/>
          <w:sz w:val="20"/>
        </w:rPr>
        <w:t xml:space="preserve">Heading: </w:t>
      </w:r>
      <w:r>
        <w:rPr>
          <w:sz w:val="20"/>
        </w:rPr>
        <w:t>Pharmacological profile</w:t>
      </w:r>
    </w:p>
    <w:p>
      <w:r>
        <w:rPr>
          <w:b/>
        </w:rPr>
        <w:t xml:space="preserve">Body text: </w:t>
      </w:r>
      <w:r>
        <w:t>Oral bioavailability: ~72%, not significantly affected by food. Time to peak plasma concentration (Tmax): 2–3 hours. Elimination half-life: 10–14 hours, supporting once-daily dosing. Metabolism: Primarily hepatic via CYP3A4, with minor renal excretion (~25% of administered dose). Protein binding: 92%. No clinically significant effect on PT, aPTT, or anti-Factor Xa assays at therapeutic concentrations, minimising interference with routine coagulation monitoring.³</w:t>
      </w:r>
    </w:p>
    <w:p>
      <w:pPr>
        <w:jc w:val="center"/>
      </w:pPr>
      <w:r>
        <w:rPr>
          <w:color w:val="CCCCCC"/>
          <w:sz w:val="16"/>
        </w:rPr>
        <w:t>────────────────────────────────────────────────────────────</w:t>
      </w:r>
    </w:p>
    <w:p>
      <w:pPr>
        <w:pStyle w:val="Heading3"/>
      </w:pPr>
      <w:r>
        <w:rPr>
          <w:color w:val="1A365D"/>
        </w:rPr>
        <w:t>Section 5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How VELOX Works | Factor XIa Inhibition | Mechanism of Action | AstraZeneca UK</w:t>
      </w:r>
    </w:p>
    <w:p>
      <w:r>
        <w:rPr>
          <w:b w:val="0"/>
          <w:i w:val="0"/>
          <w:color w:val="363B3B"/>
          <w:sz w:val="20"/>
        </w:rPr>
        <w:t>Description: Understand how VELOX (veloxaban) selectively inhibits Factor XIa to separate antithrombotic efficacy from bleeding risk — a new mechanism of action in anticoagulation for atrial fibrillation.</w:t>
      </w:r>
    </w:p>
    <w:p>
      <w:r>
        <w:br w:type="page"/>
      </w:r>
    </w:p>
    <w:p>
      <w:pPr>
        <w:pStyle w:val="Heading2"/>
      </w:pPr>
      <w:r>
        <w:rPr>
          <w:color w:val="830051"/>
        </w:rPr>
        <w:t>PAGE 6: Resources</w:t>
      </w:r>
    </w:p>
    <w:p>
      <w:r>
        <w:rPr>
          <w:b/>
          <w:sz w:val="20"/>
        </w:rPr>
        <w:t xml:space="preserve">URL path: </w:t>
      </w:r>
      <w:r>
        <w:rPr>
          <w:sz w:val="20"/>
        </w:rPr>
        <w:t>/velox/resources</w:t>
      </w:r>
    </w:p>
    <w:p>
      <w:pPr>
        <w:jc w:val="center"/>
      </w:pPr>
      <w:r>
        <w:rPr>
          <w:color w:val="CCCCCC"/>
          <w:sz w:val="16"/>
        </w:rPr>
        <w:t>────────────────────────────────────────────────────────────</w:t>
      </w:r>
    </w:p>
    <w:p>
      <w:pPr>
        <w:pStyle w:val="Heading3"/>
      </w:pPr>
      <w:r>
        <w:rPr>
          <w:color w:val="1A365D"/>
        </w:rPr>
        <w:t>Section 1 — Page header (text only, no image)</w:t>
      </w:r>
    </w:p>
    <w:p>
      <w:r>
        <w:rPr>
          <w:b/>
          <w:sz w:val="20"/>
        </w:rPr>
        <w:t xml:space="preserve">Block: </w:t>
      </w:r>
      <w:r>
        <w:rPr>
          <w:sz w:val="20"/>
        </w:rPr>
        <w:t>title</w:t>
      </w:r>
    </w:p>
    <w:p>
      <w:r>
        <w:rPr>
          <w:b/>
          <w:sz w:val="20"/>
        </w:rPr>
        <w:t xml:space="preserve">Heading: </w:t>
      </w:r>
      <w:r>
        <w:rPr>
          <w:sz w:val="20"/>
        </w:rPr>
        <w:t>Resources for healthcare professionals</w:t>
      </w:r>
    </w:p>
    <w:p>
      <w:r>
        <w:rPr>
          <w:b/>
        </w:rPr>
        <w:t xml:space="preserve">Body text: </w:t>
      </w:r>
      <w:r>
        <w:t>Access prescribing guides, clinical data summaries, and patient support materials for VELOX® (veloxaban). All materials are provided for UK healthcare professionals only.³</w:t>
      </w:r>
    </w:p>
    <w:p>
      <w:pPr>
        <w:jc w:val="center"/>
      </w:pPr>
      <w:r>
        <w:rPr>
          <w:color w:val="CCCCCC"/>
          <w:sz w:val="16"/>
        </w:rPr>
        <w:t>────────────────────────────────────────────────────────────</w:t>
      </w:r>
    </w:p>
    <w:p>
      <w:pPr>
        <w:pStyle w:val="Heading3"/>
      </w:pPr>
      <w:r>
        <w:rPr>
          <w:color w:val="1A365D"/>
        </w:rPr>
        <w:t>Section 2 — Resource cards (three equal columns)</w:t>
      </w:r>
    </w:p>
    <w:p>
      <w:r>
        <w:rPr>
          <w:b/>
          <w:sz w:val="20"/>
        </w:rPr>
        <w:t xml:space="preserve">Block: </w:t>
      </w:r>
      <w:r>
        <w:rPr>
          <w:sz w:val="20"/>
        </w:rPr>
        <w:t>cards-teaser</w:t>
      </w:r>
    </w:p>
    <w:p/>
    <w:p>
      <w:pPr>
        <w:jc w:val="center"/>
      </w:pPr>
      <w:r>
        <w:drawing>
          <wp:inline xmlns:a="http://schemas.openxmlformats.org/drawingml/2006/main" xmlns:pic="http://schemas.openxmlformats.org/drawingml/2006/picture">
            <wp:extent cx="2743200" cy="2048256"/>
            <wp:docPr id="16" name="Picture 16"/>
            <wp:cNvGraphicFramePr>
              <a:graphicFrameLocks noChangeAspect="1"/>
            </wp:cNvGraphicFramePr>
            <a:graphic>
              <a:graphicData uri="http://schemas.openxmlformats.org/drawingml/2006/picture">
                <pic:pic>
                  <pic:nvPicPr>
                    <pic:cNvPr id="0" name="card-prescribing.jpeg"/>
                    <pic:cNvPicPr/>
                  </pic:nvPicPr>
                  <pic:blipFill>
                    <a:blip r:embed="rId23"/>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https://velox-images.pages.dev/card-prescribing.jpeg</w:t>
      </w:r>
    </w:p>
    <w:p>
      <w:pPr>
        <w:jc w:val="center"/>
      </w:pPr>
      <w:r>
        <w:rPr>
          <w:i/>
          <w:color w:val="666666"/>
          <w:sz w:val="16"/>
        </w:rPr>
        <w:t>Usage: Resources — prescribing guide card</w:t>
      </w:r>
    </w:p>
    <w:p>
      <w:r>
        <w:rPr>
          <w:b/>
          <w:sz w:val="20"/>
        </w:rPr>
        <w:t xml:space="preserve">Card heading: </w:t>
      </w:r>
      <w:r>
        <w:rPr>
          <w:sz w:val="20"/>
        </w:rPr>
        <w:t>Prescribing guide</w:t>
      </w:r>
    </w:p>
    <w:p>
      <w:r>
        <w:rPr>
          <w:b/>
        </w:rPr>
        <w:t xml:space="preserve">Card body: </w:t>
      </w:r>
      <w:r>
        <w:t>A concise clinical guide covering indication, dosing, switching, monitoring, drug interactions, special populations, and perioperative management. Designed for quick reference in clinical practice.³</w:t>
      </w:r>
    </w:p>
    <w:p>
      <w:r>
        <w:rPr>
          <w:b/>
          <w:sz w:val="20"/>
        </w:rPr>
        <w:t xml:space="preserve">Card link: </w:t>
      </w:r>
      <w:r>
        <w:rPr>
          <w:sz w:val="20"/>
        </w:rPr>
        <w:t>Download prescribing guide → [PDF link]</w:t>
      </w:r>
    </w:p>
    <w:p>
      <w:pPr>
        <w:jc w:val="center"/>
      </w:pPr>
      <w:r>
        <w:rPr>
          <w:color w:val="CCCCCC"/>
          <w:sz w:val="16"/>
        </w:rPr>
        <w:t>────────────────────────────────────────────────────────────</w:t>
      </w:r>
    </w:p>
    <w:p>
      <w:r>
        <w:rPr>
          <w:b/>
          <w:sz w:val="20"/>
        </w:rPr>
        <w:t xml:space="preserve">Card heading: </w:t>
      </w:r>
      <w:r>
        <w:rPr>
          <w:sz w:val="20"/>
        </w:rPr>
        <w:t>VELOCITY clinical data summary</w:t>
      </w:r>
    </w:p>
    <w:p>
      <w:r>
        <w:rPr>
          <w:b/>
        </w:rPr>
        <w:t xml:space="preserve">Card body: </w:t>
      </w:r>
      <w:r>
        <w:t>Summary of key efficacy and safety results from VELOCITY-AF and VELOCITY-BLEED, including headline statistics, data tables, and subgroup analyses. A comprehensive overview of the clinical evidence supporting VELOX.¹ ²</w:t>
      </w:r>
    </w:p>
    <w:p>
      <w:r>
        <w:rPr>
          <w:b/>
          <w:sz w:val="20"/>
        </w:rPr>
        <w:t xml:space="preserve">Card link: </w:t>
      </w:r>
      <w:r>
        <w:rPr>
          <w:sz w:val="20"/>
        </w:rPr>
        <w:t>Download data summary → [PDF link]</w:t>
      </w:r>
    </w:p>
    <w:p>
      <w:pPr>
        <w:jc w:val="center"/>
      </w:pPr>
      <w:r>
        <w:rPr>
          <w:color w:val="CCCCCC"/>
          <w:sz w:val="16"/>
        </w:rPr>
        <w:t>────────────────────────────────────────────────────────────</w:t>
      </w:r>
    </w:p>
    <w:p>
      <w:r>
        <w:rPr>
          <w:b/>
          <w:sz w:val="20"/>
        </w:rPr>
        <w:t xml:space="preserve">Card heading: </w:t>
      </w:r>
      <w:r>
        <w:rPr>
          <w:sz w:val="20"/>
        </w:rPr>
        <w:t>Patient support materials</w:t>
      </w:r>
    </w:p>
    <w:p>
      <w:r>
        <w:rPr>
          <w:b/>
        </w:rPr>
        <w:t xml:space="preserve">Card body: </w:t>
      </w:r>
      <w:r>
        <w:t>Patient-facing materials to support treatment initiation conversations, including a VELOX patient information leaflet, dosing reminder card, and switching guidance card for patients transitioning from other anticoagulants.</w:t>
      </w:r>
    </w:p>
    <w:p>
      <w:r>
        <w:rPr>
          <w:b/>
          <w:sz w:val="20"/>
        </w:rPr>
        <w:t xml:space="preserve">Card link: </w:t>
      </w:r>
      <w:r>
        <w:rPr>
          <w:sz w:val="20"/>
        </w:rPr>
        <w:t>Download patient materials → [PDF link]</w:t>
      </w:r>
    </w:p>
    <w:p>
      <w:pPr>
        <w:jc w:val="center"/>
      </w:pPr>
      <w:r>
        <w:rPr>
          <w:color w:val="CCCCCC"/>
          <w:sz w:val="16"/>
        </w:rPr>
        <w:t>────────────────────────────────────────────────────────────</w:t>
      </w:r>
    </w:p>
    <w:p>
      <w:pPr>
        <w:pStyle w:val="Heading3"/>
      </w:pPr>
      <w:r>
        <w:rPr>
          <w:color w:val="1A365D"/>
        </w:rPr>
        <w:t>Section 3 — Contact (centred text) | light background</w:t>
      </w:r>
    </w:p>
    <w:p>
      <w:r>
        <w:rPr>
          <w:b/>
          <w:sz w:val="20"/>
        </w:rPr>
        <w:t xml:space="preserve">Block: </w:t>
      </w:r>
      <w:r>
        <w:rPr>
          <w:sz w:val="20"/>
        </w:rPr>
        <w:t>introduction</w:t>
      </w:r>
    </w:p>
    <w:p>
      <w:r>
        <w:rPr>
          <w:b/>
        </w:rPr>
        <w:t xml:space="preserve">Section metadata: </w:t>
      </w:r>
      <w:r>
        <w:rPr>
          <w:color w:val="666666"/>
        </w:rPr>
        <w:t>Style: light</w:t>
      </w:r>
    </w:p>
    <w:p>
      <w:r>
        <w:rPr>
          <w:b/>
          <w:sz w:val="20"/>
        </w:rPr>
        <w:t xml:space="preserve">Heading: </w:t>
      </w:r>
      <w:r>
        <w:rPr>
          <w:sz w:val="20"/>
        </w:rPr>
        <w:t>Medical information and support</w:t>
      </w:r>
    </w:p>
    <w:p>
      <w:r>
        <w:rPr>
          <w:b/>
        </w:rPr>
        <w:t xml:space="preserve">Body text: </w:t>
      </w:r>
      <w:r>
        <w:t>For medical information enquiries about VELOX, please contact AstraZeneca Medical Information: Telephone: 0800 783 0033 | Email: medicalinformationuk@astrazeneca.com | Online: contactazmedical.astrazeneca.com</w:t>
      </w:r>
    </w:p>
    <w:p>
      <w:pPr>
        <w:jc w:val="center"/>
      </w:pPr>
      <w:r>
        <w:rPr>
          <w:color w:val="CCCCCC"/>
          <w:sz w:val="16"/>
        </w:rPr>
        <w:t>────────────────────────────────────────────────────────────</w:t>
      </w:r>
    </w:p>
    <w:p>
      <w:pPr>
        <w:pStyle w:val="Heading3"/>
      </w:pPr>
      <w:r>
        <w:rPr>
          <w:color w:val="1A365D"/>
        </w:rPr>
        <w:t>Section 4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Resources | VELOX (veloxaban) | Prescribing Guides &amp; Patient Materials | AstraZeneca UK</w:t>
      </w:r>
    </w:p>
    <w:p>
      <w:r>
        <w:rPr>
          <w:b w:val="0"/>
          <w:i w:val="0"/>
          <w:color w:val="363B3B"/>
          <w:sz w:val="20"/>
        </w:rPr>
        <w:t>Description: Access prescribing guides, VELOCITY clinical data summaries, and patient support materials for VELOX (veloxaban). For UK healthcare professionals only.</w:t>
      </w:r>
    </w:p>
    <w:p>
      <w:r>
        <w:br w:type="page"/>
      </w:r>
    </w:p>
    <w:p>
      <w:pPr>
        <w:pStyle w:val="Heading1"/>
      </w:pPr>
      <w:r>
        <w:rPr>
          <w:color w:val="830051"/>
        </w:rPr>
        <w:t>10. Footer Content</w:t>
      </w:r>
    </w:p>
    <w:p>
      <w:r>
        <w:rPr>
          <w:b/>
          <w:i w:val="0"/>
          <w:color w:val="363B3B"/>
          <w:sz w:val="20"/>
        </w:rPr>
        <w:t>The footer must appear on every page and contain the following elements:</w:t>
      </w:r>
    </w:p>
    <w:p>
      <w:r>
        <w:rPr>
          <w:b/>
          <w:sz w:val="20"/>
        </w:rPr>
        <w:t xml:space="preserve">Logo: </w:t>
      </w:r>
      <w:r>
        <w:rPr>
          <w:sz w:val="20"/>
        </w:rPr>
        <w:t>AstraZeneca logo (linked to /velox/)</w:t>
      </w:r>
    </w:p>
    <w:p>
      <w:r>
        <w:rPr>
          <w:b/>
          <w:sz w:val="20"/>
        </w:rPr>
        <w:t xml:space="preserve">Approval code: </w:t>
      </w:r>
      <w:r>
        <w:rPr>
          <w:sz w:val="20"/>
        </w:rPr>
        <w:t>GB-10247 | DOP: March 2026</w:t>
      </w:r>
    </w:p>
    <w:p>
      <w:r>
        <w:rPr>
          <w:b/>
          <w:sz w:val="20"/>
        </w:rPr>
        <w:t xml:space="preserve">Copyright: </w:t>
      </w:r>
      <w:r>
        <w:rPr>
          <w:sz w:val="20"/>
        </w:rPr>
        <w:t>© 2026 AstraZeneca. All rights reserved. VELOX is a registered trademark of the AstraZeneca group of companies.</w:t>
      </w:r>
    </w:p>
    <w:p>
      <w:r>
        <w:rPr>
          <w:b/>
          <w:sz w:val="20"/>
        </w:rPr>
        <w:t xml:space="preserve">Page links: </w:t>
      </w:r>
      <w:r>
        <w:rPr>
          <w:sz w:val="20"/>
        </w:rPr>
        <w:t>VELOCITY Data | Safety | Dosing &amp; Administration | How VELOX Works | Resources</w:t>
      </w:r>
    </w:p>
    <w:p>
      <w:r>
        <w:rPr>
          <w:b/>
          <w:sz w:val="20"/>
        </w:rPr>
        <w:t xml:space="preserve">Regulatory links: </w:t>
      </w:r>
      <w:r>
        <w:rPr>
          <w:sz w:val="20"/>
        </w:rPr>
        <w:t>Report Adverse Event (https://yellowcard.mhra.gov.uk/) | Medical Information (https://contactazmedical.astrazeneca.com/) | Privacy Policy (https://www.astrazeneca.co.uk/our-company/privacy-notice.html) | Terms of Use (https://www.astrazeneca.co.uk/our-company/terms-of-use.html) | Accessibility (https://www.astrazeneca.co.uk/accessibility.html)</w:t>
      </w:r>
    </w:p>
    <w:p>
      <w:r>
        <w:rPr>
          <w:b/>
          <w:sz w:val="20"/>
        </w:rPr>
        <w:t xml:space="preserve">Date of preparation: </w:t>
      </w:r>
      <w:r>
        <w:rPr>
          <w:sz w:val="20"/>
        </w:rPr>
        <w:t>Date of Preparation: March 2026</w:t>
      </w:r>
    </w:p>
    <w:p>
      <w:pPr>
        <w:jc w:val="center"/>
      </w:pPr>
      <w:r>
        <w:rPr>
          <w:color w:val="CCCCCC"/>
          <w:sz w:val="16"/>
        </w:rPr>
        <w:t>────────────────────────────────────────────────────────────</w:t>
      </w:r>
    </w:p>
    <w:p>
      <w:pPr>
        <w:pStyle w:val="Heading1"/>
      </w:pPr>
      <w:r>
        <w:rPr>
          <w:color w:val="830051"/>
        </w:rPr>
        <w:t>11. Image Assets</w:t>
      </w:r>
    </w:p>
    <w:p>
      <w:r>
        <w:rPr>
          <w:b w:val="0"/>
          <w:i w:val="0"/>
          <w:color w:val="363B3B"/>
          <w:sz w:val="20"/>
        </w:rPr>
        <w:t>All images are hosted on the VELOX CDN: https://velox-images.pages.dev/</w:t>
      </w:r>
    </w:p>
    <w:p/>
    <w:p>
      <w:r>
        <w:rPr>
          <w:b/>
          <w:i w:val="0"/>
          <w:color w:val="363B3B"/>
          <w:sz w:val="20"/>
        </w:rPr>
        <w:t>Complete image manifest:</w:t>
      </w:r>
    </w:p>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30051"/>
          </w:tcPr>
          <w:p>
            <w:r/>
            <w:r>
              <w:rPr>
                <w:b/>
                <w:color w:val="FFFFFF"/>
                <w:sz w:val="18"/>
              </w:rPr>
              <w:t>Filename</w:t>
            </w:r>
          </w:p>
        </w:tc>
        <w:tc>
          <w:tcPr>
            <w:tcW w:type="dxa" w:w="3024"/>
            <w:shd w:fill="830051"/>
          </w:tcPr>
          <w:p>
            <w:r/>
            <w:r>
              <w:rPr>
                <w:b/>
                <w:color w:val="FFFFFF"/>
                <w:sz w:val="18"/>
              </w:rPr>
              <w:t>Usage</w:t>
            </w:r>
          </w:p>
        </w:tc>
        <w:tc>
          <w:tcPr>
            <w:tcW w:type="dxa" w:w="3024"/>
            <w:shd w:fill="830051"/>
          </w:tcPr>
          <w:p>
            <w:r/>
            <w:r>
              <w:rPr>
                <w:b/>
                <w:color w:val="FFFFFF"/>
                <w:sz w:val="18"/>
              </w:rPr>
              <w:t>CDN URL</w:t>
            </w:r>
          </w:p>
        </w:tc>
      </w:tr>
      <w:tr>
        <w:tc>
          <w:tcPr>
            <w:tcW w:type="dxa" w:w="3024"/>
          </w:tcPr>
          <w:p>
            <w:r/>
            <w:r>
              <w:rPr>
                <w:color w:val="363B3B"/>
                <w:sz w:val="18"/>
              </w:rPr>
              <w:t>hero-home.jpeg</w:t>
            </w:r>
          </w:p>
        </w:tc>
        <w:tc>
          <w:tcPr>
            <w:tcW w:type="dxa" w:w="3024"/>
          </w:tcPr>
          <w:p>
            <w:r/>
            <w:r>
              <w:rPr>
                <w:color w:val="363B3B"/>
                <w:sz w:val="18"/>
              </w:rPr>
              <w:t>Home — hero</w:t>
            </w:r>
          </w:p>
        </w:tc>
        <w:tc>
          <w:tcPr>
            <w:tcW w:type="dxa" w:w="3024"/>
          </w:tcPr>
          <w:p>
            <w:r/>
            <w:r>
              <w:rPr>
                <w:color w:val="363B3B"/>
                <w:sz w:val="18"/>
              </w:rPr>
              <w:t>https://velox-images.pages.dev/hero-home.jpeg</w:t>
            </w:r>
          </w:p>
        </w:tc>
      </w:tr>
      <w:tr>
        <w:tc>
          <w:tcPr>
            <w:tcW w:type="dxa" w:w="3024"/>
            <w:shd w:fill="F8F8F8"/>
          </w:tcPr>
          <w:p>
            <w:r/>
            <w:r>
              <w:rPr>
                <w:color w:val="363B3B"/>
                <w:sz w:val="18"/>
              </w:rPr>
              <w:t>hero-efficacy.jpeg</w:t>
            </w:r>
          </w:p>
        </w:tc>
        <w:tc>
          <w:tcPr>
            <w:tcW w:type="dxa" w:w="3024"/>
            <w:shd w:fill="F8F8F8"/>
          </w:tcPr>
          <w:p>
            <w:r/>
            <w:r>
              <w:rPr>
                <w:color w:val="363B3B"/>
                <w:sz w:val="18"/>
              </w:rPr>
              <w:t>VELOCITY Data — hero</w:t>
            </w:r>
          </w:p>
        </w:tc>
        <w:tc>
          <w:tcPr>
            <w:tcW w:type="dxa" w:w="3024"/>
            <w:shd w:fill="F8F8F8"/>
          </w:tcPr>
          <w:p>
            <w:r/>
            <w:r>
              <w:rPr>
                <w:color w:val="363B3B"/>
                <w:sz w:val="18"/>
              </w:rPr>
              <w:t>https://velox-images.pages.dev/hero-efficacy.jpeg</w:t>
            </w:r>
          </w:p>
        </w:tc>
      </w:tr>
      <w:tr>
        <w:tc>
          <w:tcPr>
            <w:tcW w:type="dxa" w:w="3024"/>
          </w:tcPr>
          <w:p>
            <w:r/>
            <w:r>
              <w:rPr>
                <w:color w:val="363B3B"/>
                <w:sz w:val="18"/>
              </w:rPr>
              <w:t>hero-moa.jpeg</w:t>
            </w:r>
          </w:p>
        </w:tc>
        <w:tc>
          <w:tcPr>
            <w:tcW w:type="dxa" w:w="3024"/>
          </w:tcPr>
          <w:p>
            <w:r/>
            <w:r>
              <w:rPr>
                <w:color w:val="363B3B"/>
                <w:sz w:val="18"/>
              </w:rPr>
              <w:t>How VELOX Works — hero</w:t>
            </w:r>
          </w:p>
        </w:tc>
        <w:tc>
          <w:tcPr>
            <w:tcW w:type="dxa" w:w="3024"/>
          </w:tcPr>
          <w:p>
            <w:r/>
            <w:r>
              <w:rPr>
                <w:color w:val="363B3B"/>
                <w:sz w:val="18"/>
              </w:rPr>
              <w:t>https://velox-images.pages.dev/hero-moa.jpeg</w:t>
            </w:r>
          </w:p>
        </w:tc>
      </w:tr>
      <w:tr>
        <w:tc>
          <w:tcPr>
            <w:tcW w:type="dxa" w:w="3024"/>
            <w:shd w:fill="F8F8F8"/>
          </w:tcPr>
          <w:p>
            <w:r/>
            <w:r>
              <w:rPr>
                <w:color w:val="363B3B"/>
                <w:sz w:val="18"/>
              </w:rPr>
              <w:t>card-stroke.jpeg</w:t>
            </w:r>
          </w:p>
        </w:tc>
        <w:tc>
          <w:tcPr>
            <w:tcW w:type="dxa" w:w="3024"/>
            <w:shd w:fill="F8F8F8"/>
          </w:tcPr>
          <w:p>
            <w:r/>
            <w:r>
              <w:rPr>
                <w:color w:val="363B3B"/>
                <w:sz w:val="18"/>
              </w:rPr>
              <w:t>Home — stroke reduction card</w:t>
            </w:r>
          </w:p>
        </w:tc>
        <w:tc>
          <w:tcPr>
            <w:tcW w:type="dxa" w:w="3024"/>
            <w:shd w:fill="F8F8F8"/>
          </w:tcPr>
          <w:p>
            <w:r/>
            <w:r>
              <w:rPr>
                <w:color w:val="363B3B"/>
                <w:sz w:val="18"/>
              </w:rPr>
              <w:t>https://velox-images.pages.dev/card-stroke.jpeg</w:t>
            </w:r>
          </w:p>
        </w:tc>
      </w:tr>
      <w:tr>
        <w:tc>
          <w:tcPr>
            <w:tcW w:type="dxa" w:w="3024"/>
          </w:tcPr>
          <w:p>
            <w:r/>
            <w:r>
              <w:rPr>
                <w:color w:val="363B3B"/>
                <w:sz w:val="18"/>
              </w:rPr>
              <w:t>card-bleeding.jpeg</w:t>
            </w:r>
          </w:p>
        </w:tc>
        <w:tc>
          <w:tcPr>
            <w:tcW w:type="dxa" w:w="3024"/>
          </w:tcPr>
          <w:p>
            <w:r/>
            <w:r>
              <w:rPr>
                <w:color w:val="363B3B"/>
                <w:sz w:val="18"/>
              </w:rPr>
              <w:t>Home — bleeding safety card</w:t>
            </w:r>
          </w:p>
        </w:tc>
        <w:tc>
          <w:tcPr>
            <w:tcW w:type="dxa" w:w="3024"/>
          </w:tcPr>
          <w:p>
            <w:r/>
            <w:r>
              <w:rPr>
                <w:color w:val="363B3B"/>
                <w:sz w:val="18"/>
              </w:rPr>
              <w:t>https://velox-images.pages.dev/card-bleeding.jpeg</w:t>
            </w:r>
          </w:p>
        </w:tc>
      </w:tr>
      <w:tr>
        <w:tc>
          <w:tcPr>
            <w:tcW w:type="dxa" w:w="3024"/>
            <w:shd w:fill="F8F8F8"/>
          </w:tcPr>
          <w:p>
            <w:r/>
            <w:r>
              <w:rPr>
                <w:color w:val="363B3B"/>
                <w:sz w:val="18"/>
              </w:rPr>
              <w:t>card-dosing.jpeg</w:t>
            </w:r>
          </w:p>
        </w:tc>
        <w:tc>
          <w:tcPr>
            <w:tcW w:type="dxa" w:w="3024"/>
            <w:shd w:fill="F8F8F8"/>
          </w:tcPr>
          <w:p>
            <w:r/>
            <w:r>
              <w:rPr>
                <w:color w:val="363B3B"/>
                <w:sz w:val="18"/>
              </w:rPr>
              <w:t>Home — dosing simplicity card</w:t>
            </w:r>
          </w:p>
        </w:tc>
        <w:tc>
          <w:tcPr>
            <w:tcW w:type="dxa" w:w="3024"/>
            <w:shd w:fill="F8F8F8"/>
          </w:tcPr>
          <w:p>
            <w:r/>
            <w:r>
              <w:rPr>
                <w:color w:val="363B3B"/>
                <w:sz w:val="18"/>
              </w:rPr>
              <w:t>https://velox-images.pages.dev/card-dosing.jpeg</w:t>
            </w:r>
          </w:p>
        </w:tc>
      </w:tr>
      <w:tr>
        <w:tc>
          <w:tcPr>
            <w:tcW w:type="dxa" w:w="3024"/>
          </w:tcPr>
          <w:p>
            <w:r/>
            <w:r>
              <w:rPr>
                <w:color w:val="363B3B"/>
                <w:sz w:val="18"/>
              </w:rPr>
              <w:t>columns-moa-preview.jpeg</w:t>
            </w:r>
          </w:p>
        </w:tc>
        <w:tc>
          <w:tcPr>
            <w:tcW w:type="dxa" w:w="3024"/>
          </w:tcPr>
          <w:p>
            <w:r/>
            <w:r>
              <w:rPr>
                <w:color w:val="363B3B"/>
                <w:sz w:val="18"/>
              </w:rPr>
              <w:t>Home — MoA teaser</w:t>
            </w:r>
          </w:p>
        </w:tc>
        <w:tc>
          <w:tcPr>
            <w:tcW w:type="dxa" w:w="3024"/>
          </w:tcPr>
          <w:p>
            <w:r/>
            <w:r>
              <w:rPr>
                <w:color w:val="363B3B"/>
                <w:sz w:val="18"/>
              </w:rPr>
              <w:t>https://velox-images.pages.dev/columns-moa-preview.jpeg</w:t>
            </w:r>
          </w:p>
        </w:tc>
      </w:tr>
      <w:tr>
        <w:tc>
          <w:tcPr>
            <w:tcW w:type="dxa" w:w="3024"/>
            <w:shd w:fill="F8F8F8"/>
          </w:tcPr>
          <w:p>
            <w:r/>
            <w:r>
              <w:rPr>
                <w:color w:val="363B3B"/>
                <w:sz w:val="18"/>
              </w:rPr>
              <w:t>tab-velocity-af.jpeg</w:t>
            </w:r>
          </w:p>
        </w:tc>
        <w:tc>
          <w:tcPr>
            <w:tcW w:type="dxa" w:w="3024"/>
            <w:shd w:fill="F8F8F8"/>
          </w:tcPr>
          <w:p>
            <w:r/>
            <w:r>
              <w:rPr>
                <w:color w:val="363B3B"/>
                <w:sz w:val="18"/>
              </w:rPr>
              <w:t>VELOCITY Data — AF stroke tab</w:t>
            </w:r>
          </w:p>
        </w:tc>
        <w:tc>
          <w:tcPr>
            <w:tcW w:type="dxa" w:w="3024"/>
            <w:shd w:fill="F8F8F8"/>
          </w:tcPr>
          <w:p>
            <w:r/>
            <w:r>
              <w:rPr>
                <w:color w:val="363B3B"/>
                <w:sz w:val="18"/>
              </w:rPr>
              <w:t>https://velox-images.pages.dev/tab-velocity-af.jpeg</w:t>
            </w:r>
          </w:p>
        </w:tc>
      </w:tr>
      <w:tr>
        <w:tc>
          <w:tcPr>
            <w:tcW w:type="dxa" w:w="3024"/>
          </w:tcPr>
          <w:p>
            <w:r/>
            <w:r>
              <w:rPr>
                <w:color w:val="363B3B"/>
                <w:sz w:val="18"/>
              </w:rPr>
              <w:t>tab-velocity-bleed.jpeg</w:t>
            </w:r>
          </w:p>
        </w:tc>
        <w:tc>
          <w:tcPr>
            <w:tcW w:type="dxa" w:w="3024"/>
          </w:tcPr>
          <w:p>
            <w:r/>
            <w:r>
              <w:rPr>
                <w:color w:val="363B3B"/>
                <w:sz w:val="18"/>
              </w:rPr>
              <w:t>VELOCITY Data — bleeding safety tab</w:t>
            </w:r>
          </w:p>
        </w:tc>
        <w:tc>
          <w:tcPr>
            <w:tcW w:type="dxa" w:w="3024"/>
          </w:tcPr>
          <w:p>
            <w:r/>
            <w:r>
              <w:rPr>
                <w:color w:val="363B3B"/>
                <w:sz w:val="18"/>
              </w:rPr>
              <w:t>https://velox-images.pages.dev/tab-velocity-bleed.jpeg</w:t>
            </w:r>
          </w:p>
        </w:tc>
      </w:tr>
      <w:tr>
        <w:tc>
          <w:tcPr>
            <w:tcW w:type="dxa" w:w="3024"/>
            <w:shd w:fill="F8F8F8"/>
          </w:tcPr>
          <w:p>
            <w:r/>
            <w:r>
              <w:rPr>
                <w:color w:val="363B3B"/>
                <w:sz w:val="18"/>
              </w:rPr>
              <w:t>card-bleeding-events.jpeg</w:t>
            </w:r>
          </w:p>
        </w:tc>
        <w:tc>
          <w:tcPr>
            <w:tcW w:type="dxa" w:w="3024"/>
            <w:shd w:fill="F8F8F8"/>
          </w:tcPr>
          <w:p>
            <w:r/>
            <w:r>
              <w:rPr>
                <w:color w:val="363B3B"/>
                <w:sz w:val="18"/>
              </w:rPr>
              <w:t>Safety — bleeding events card</w:t>
            </w:r>
          </w:p>
        </w:tc>
        <w:tc>
          <w:tcPr>
            <w:tcW w:type="dxa" w:w="3024"/>
            <w:shd w:fill="F8F8F8"/>
          </w:tcPr>
          <w:p>
            <w:r/>
            <w:r>
              <w:rPr>
                <w:color w:val="363B3B"/>
                <w:sz w:val="18"/>
              </w:rPr>
              <w:t>https://velox-images.pages.dev/card-bleeding-events.jpeg</w:t>
            </w:r>
          </w:p>
        </w:tc>
      </w:tr>
      <w:tr>
        <w:tc>
          <w:tcPr>
            <w:tcW w:type="dxa" w:w="3024"/>
          </w:tcPr>
          <w:p>
            <w:r/>
            <w:r>
              <w:rPr>
                <w:color w:val="363B3B"/>
                <w:sz w:val="18"/>
              </w:rPr>
              <w:t>card-hepatic.jpeg</w:t>
            </w:r>
          </w:p>
        </w:tc>
        <w:tc>
          <w:tcPr>
            <w:tcW w:type="dxa" w:w="3024"/>
          </w:tcPr>
          <w:p>
            <w:r/>
            <w:r>
              <w:rPr>
                <w:color w:val="363B3B"/>
                <w:sz w:val="18"/>
              </w:rPr>
              <w:t>Safety — hepatic monitoring card</w:t>
            </w:r>
          </w:p>
        </w:tc>
        <w:tc>
          <w:tcPr>
            <w:tcW w:type="dxa" w:w="3024"/>
          </w:tcPr>
          <w:p>
            <w:r/>
            <w:r>
              <w:rPr>
                <w:color w:val="363B3B"/>
                <w:sz w:val="18"/>
              </w:rPr>
              <w:t>https://velox-images.pages.dev/card-hepatic.jpeg</w:t>
            </w:r>
          </w:p>
        </w:tc>
      </w:tr>
      <w:tr>
        <w:tc>
          <w:tcPr>
            <w:tcW w:type="dxa" w:w="3024"/>
            <w:shd w:fill="F8F8F8"/>
          </w:tcPr>
          <w:p>
            <w:r/>
            <w:r>
              <w:rPr>
                <w:color w:val="363B3B"/>
                <w:sz w:val="18"/>
              </w:rPr>
              <w:t>card-gi-events.jpeg</w:t>
            </w:r>
          </w:p>
        </w:tc>
        <w:tc>
          <w:tcPr>
            <w:tcW w:type="dxa" w:w="3024"/>
            <w:shd w:fill="F8F8F8"/>
          </w:tcPr>
          <w:p>
            <w:r/>
            <w:r>
              <w:rPr>
                <w:color w:val="363B3B"/>
                <w:sz w:val="18"/>
              </w:rPr>
              <w:t>Safety — GI events card</w:t>
            </w:r>
          </w:p>
        </w:tc>
        <w:tc>
          <w:tcPr>
            <w:tcW w:type="dxa" w:w="3024"/>
            <w:shd w:fill="F8F8F8"/>
          </w:tcPr>
          <w:p>
            <w:r/>
            <w:r>
              <w:rPr>
                <w:color w:val="363B3B"/>
                <w:sz w:val="18"/>
              </w:rPr>
              <w:t>https://velox-images.pages.dev/card-gi-events.jpeg</w:t>
            </w:r>
          </w:p>
        </w:tc>
      </w:tr>
      <w:tr>
        <w:tc>
          <w:tcPr>
            <w:tcW w:type="dxa" w:w="3024"/>
          </w:tcPr>
          <w:p>
            <w:r/>
            <w:r>
              <w:rPr>
                <w:color w:val="363B3B"/>
                <w:sz w:val="18"/>
              </w:rPr>
              <w:t>columns-dosing.jpeg</w:t>
            </w:r>
          </w:p>
        </w:tc>
        <w:tc>
          <w:tcPr>
            <w:tcW w:type="dxa" w:w="3024"/>
          </w:tcPr>
          <w:p>
            <w:r/>
            <w:r>
              <w:rPr>
                <w:color w:val="363B3B"/>
                <w:sz w:val="18"/>
              </w:rPr>
              <w:t>Dosing — once-daily regimen</w:t>
            </w:r>
          </w:p>
        </w:tc>
        <w:tc>
          <w:tcPr>
            <w:tcW w:type="dxa" w:w="3024"/>
          </w:tcPr>
          <w:p>
            <w:r/>
            <w:r>
              <w:rPr>
                <w:color w:val="363B3B"/>
                <w:sz w:val="18"/>
              </w:rPr>
              <w:t>https://velox-images.pages.dev/columns-dosing.jpeg</w:t>
            </w:r>
          </w:p>
        </w:tc>
      </w:tr>
      <w:tr>
        <w:tc>
          <w:tcPr>
            <w:tcW w:type="dxa" w:w="3024"/>
            <w:shd w:fill="F8F8F8"/>
          </w:tcPr>
          <w:p>
            <w:r/>
            <w:r>
              <w:rPr>
                <w:color w:val="363B3B"/>
                <w:sz w:val="18"/>
              </w:rPr>
              <w:t>columns-monitoring.jpeg</w:t>
            </w:r>
          </w:p>
        </w:tc>
        <w:tc>
          <w:tcPr>
            <w:tcW w:type="dxa" w:w="3024"/>
            <w:shd w:fill="F8F8F8"/>
          </w:tcPr>
          <w:p>
            <w:r/>
            <w:r>
              <w:rPr>
                <w:color w:val="363B3B"/>
                <w:sz w:val="18"/>
              </w:rPr>
              <w:t>Dosing — monitoring</w:t>
            </w:r>
          </w:p>
        </w:tc>
        <w:tc>
          <w:tcPr>
            <w:tcW w:type="dxa" w:w="3024"/>
            <w:shd w:fill="F8F8F8"/>
          </w:tcPr>
          <w:p>
            <w:r/>
            <w:r>
              <w:rPr>
                <w:color w:val="363B3B"/>
                <w:sz w:val="18"/>
              </w:rPr>
              <w:t>https://velox-images.pages.dev/columns-monitoring.jpeg</w:t>
            </w:r>
          </w:p>
        </w:tc>
      </w:tr>
      <w:tr>
        <w:tc>
          <w:tcPr>
            <w:tcW w:type="dxa" w:w="3024"/>
          </w:tcPr>
          <w:p>
            <w:r/>
            <w:r>
              <w:rPr>
                <w:color w:val="363B3B"/>
                <w:sz w:val="18"/>
              </w:rPr>
              <w:t>card-prescribing.jpeg</w:t>
            </w:r>
          </w:p>
        </w:tc>
        <w:tc>
          <w:tcPr>
            <w:tcW w:type="dxa" w:w="3024"/>
          </w:tcPr>
          <w:p>
            <w:r/>
            <w:r>
              <w:rPr>
                <w:color w:val="363B3B"/>
                <w:sz w:val="18"/>
              </w:rPr>
              <w:t>Resources — prescribing guide card</w:t>
            </w:r>
          </w:p>
        </w:tc>
        <w:tc>
          <w:tcPr>
            <w:tcW w:type="dxa" w:w="3024"/>
          </w:tcPr>
          <w:p>
            <w:r/>
            <w:r>
              <w:rPr>
                <w:color w:val="363B3B"/>
                <w:sz w:val="18"/>
              </w:rPr>
              <w:t>https://velox-images.pages.dev/card-prescribing.jpeg</w:t>
            </w:r>
          </w:p>
        </w:tc>
      </w:tr>
    </w:tbl>
    <w:p/>
    <w:p>
      <w:pPr>
        <w:pStyle w:val="Heading2"/>
      </w:pPr>
      <w:r>
        <w:rPr>
          <w:color w:val="830051"/>
        </w:rPr>
        <w:t>Image previews</w:t>
      </w:r>
    </w:p>
    <w:p>
      <w:r>
        <w:rPr>
          <w:b w:val="0"/>
          <w:i/>
          <w:color w:val="363B3B"/>
          <w:sz w:val="20"/>
        </w:rPr>
        <w:t>Visual previews of all 15 generated images:</w:t>
      </w:r>
    </w:p>
    <w:p/>
    <w:p>
      <w:r>
        <w:rPr>
          <w:b/>
          <w:i w:val="0"/>
          <w:color w:val="363B3B"/>
          <w:sz w:val="18"/>
        </w:rPr>
        <w:t>hero-home.jpeg — Home — hero</w:t>
      </w:r>
    </w:p>
    <w:p>
      <w:pPr>
        <w:jc w:val="center"/>
      </w:pPr>
      <w:r>
        <w:drawing>
          <wp:inline xmlns:a="http://schemas.openxmlformats.org/drawingml/2006/main" xmlns:pic="http://schemas.openxmlformats.org/drawingml/2006/picture">
            <wp:extent cx="3657600" cy="2041451"/>
            <wp:docPr id="17" name="Picture 17"/>
            <wp:cNvGraphicFramePr>
              <a:graphicFrameLocks noChangeAspect="1"/>
            </wp:cNvGraphicFramePr>
            <a:graphic>
              <a:graphicData uri="http://schemas.openxmlformats.org/drawingml/2006/picture">
                <pic:pic>
                  <pic:nvPicPr>
                    <pic:cNvPr id="0" name="hero-home.jpeg"/>
                    <pic:cNvPicPr/>
                  </pic:nvPicPr>
                  <pic:blipFill>
                    <a:blip r:embed="rId9"/>
                    <a:stretch>
                      <a:fillRect/>
                    </a:stretch>
                  </pic:blipFill>
                  <pic:spPr>
                    <a:xfrm>
                      <a:off x="0" y="0"/>
                      <a:ext cx="3657600" cy="2041451"/>
                    </a:xfrm>
                    <a:prstGeom prst="rect"/>
                  </pic:spPr>
                </pic:pic>
              </a:graphicData>
            </a:graphic>
          </wp:inline>
        </w:drawing>
      </w:r>
    </w:p>
    <w:p>
      <w:pPr>
        <w:jc w:val="center"/>
      </w:pPr>
      <w:r>
        <w:rPr>
          <w:color w:val="005599"/>
          <w:sz w:val="16"/>
          <w:u w:val="single"/>
        </w:rPr>
        <w:t>https://velox-images.pages.dev/hero-home.jpeg</w:t>
      </w:r>
    </w:p>
    <w:p>
      <w:pPr>
        <w:jc w:val="center"/>
      </w:pPr>
      <w:r>
        <w:rPr>
          <w:i/>
          <w:color w:val="666666"/>
          <w:sz w:val="16"/>
        </w:rPr>
        <w:t>Usage: Home — hero</w:t>
      </w:r>
    </w:p>
    <w:p/>
    <w:p>
      <w:r>
        <w:rPr>
          <w:b/>
          <w:i w:val="0"/>
          <w:color w:val="363B3B"/>
          <w:sz w:val="18"/>
        </w:rPr>
        <w:t>hero-efficacy.jpeg — VELOCITY Data — hero</w:t>
      </w:r>
    </w:p>
    <w:p>
      <w:pPr>
        <w:jc w:val="center"/>
      </w:pPr>
      <w:r>
        <w:drawing>
          <wp:inline xmlns:a="http://schemas.openxmlformats.org/drawingml/2006/main" xmlns:pic="http://schemas.openxmlformats.org/drawingml/2006/picture">
            <wp:extent cx="3657600" cy="2041451"/>
            <wp:docPr id="18" name="Picture 18"/>
            <wp:cNvGraphicFramePr>
              <a:graphicFrameLocks noChangeAspect="1"/>
            </wp:cNvGraphicFramePr>
            <a:graphic>
              <a:graphicData uri="http://schemas.openxmlformats.org/drawingml/2006/picture">
                <pic:pic>
                  <pic:nvPicPr>
                    <pic:cNvPr id="0" name="hero-efficacy.jpeg"/>
                    <pic:cNvPicPr/>
                  </pic:nvPicPr>
                  <pic:blipFill>
                    <a:blip r:embed="rId14"/>
                    <a:stretch>
                      <a:fillRect/>
                    </a:stretch>
                  </pic:blipFill>
                  <pic:spPr>
                    <a:xfrm>
                      <a:off x="0" y="0"/>
                      <a:ext cx="3657600" cy="2041451"/>
                    </a:xfrm>
                    <a:prstGeom prst="rect"/>
                  </pic:spPr>
                </pic:pic>
              </a:graphicData>
            </a:graphic>
          </wp:inline>
        </w:drawing>
      </w:r>
    </w:p>
    <w:p>
      <w:pPr>
        <w:jc w:val="center"/>
      </w:pPr>
      <w:r>
        <w:rPr>
          <w:color w:val="005599"/>
          <w:sz w:val="16"/>
          <w:u w:val="single"/>
        </w:rPr>
        <w:t>https://velox-images.pages.dev/hero-efficacy.jpeg</w:t>
      </w:r>
    </w:p>
    <w:p>
      <w:pPr>
        <w:jc w:val="center"/>
      </w:pPr>
      <w:r>
        <w:rPr>
          <w:i/>
          <w:color w:val="666666"/>
          <w:sz w:val="16"/>
        </w:rPr>
        <w:t>Usage: VELOCITY Data — hero</w:t>
      </w:r>
    </w:p>
    <w:p/>
    <w:p>
      <w:r>
        <w:rPr>
          <w:b/>
          <w:i w:val="0"/>
          <w:color w:val="363B3B"/>
          <w:sz w:val="18"/>
        </w:rPr>
        <w:t>hero-moa.jpeg — How VELOX Works — hero</w:t>
      </w:r>
    </w:p>
    <w:p>
      <w:pPr>
        <w:jc w:val="center"/>
      </w:pPr>
      <w:r>
        <w:drawing>
          <wp:inline xmlns:a="http://schemas.openxmlformats.org/drawingml/2006/main" xmlns:pic="http://schemas.openxmlformats.org/drawingml/2006/picture">
            <wp:extent cx="3657600" cy="2041451"/>
            <wp:docPr id="19" name="Picture 19"/>
            <wp:cNvGraphicFramePr>
              <a:graphicFrameLocks noChangeAspect="1"/>
            </wp:cNvGraphicFramePr>
            <a:graphic>
              <a:graphicData uri="http://schemas.openxmlformats.org/drawingml/2006/picture">
                <pic:pic>
                  <pic:nvPicPr>
                    <pic:cNvPr id="0" name="hero-moa.jpeg"/>
                    <pic:cNvPicPr/>
                  </pic:nvPicPr>
                  <pic:blipFill>
                    <a:blip r:embed="rId22"/>
                    <a:stretch>
                      <a:fillRect/>
                    </a:stretch>
                  </pic:blipFill>
                  <pic:spPr>
                    <a:xfrm>
                      <a:off x="0" y="0"/>
                      <a:ext cx="3657600" cy="2041451"/>
                    </a:xfrm>
                    <a:prstGeom prst="rect"/>
                  </pic:spPr>
                </pic:pic>
              </a:graphicData>
            </a:graphic>
          </wp:inline>
        </w:drawing>
      </w:r>
    </w:p>
    <w:p>
      <w:pPr>
        <w:jc w:val="center"/>
      </w:pPr>
      <w:r>
        <w:rPr>
          <w:color w:val="005599"/>
          <w:sz w:val="16"/>
          <w:u w:val="single"/>
        </w:rPr>
        <w:t>https://velox-images.pages.dev/hero-moa.jpeg</w:t>
      </w:r>
    </w:p>
    <w:p>
      <w:pPr>
        <w:jc w:val="center"/>
      </w:pPr>
      <w:r>
        <w:rPr>
          <w:i/>
          <w:color w:val="666666"/>
          <w:sz w:val="16"/>
        </w:rPr>
        <w:t>Usage: How VELOX Works — hero</w:t>
      </w:r>
    </w:p>
    <w:p/>
    <w:p>
      <w:r>
        <w:rPr>
          <w:b/>
          <w:i w:val="0"/>
          <w:color w:val="363B3B"/>
          <w:sz w:val="18"/>
        </w:rPr>
        <w:t>card-stroke.jpeg — Home — stroke reduction card</w:t>
      </w:r>
    </w:p>
    <w:p>
      <w:pPr>
        <w:jc w:val="center"/>
      </w:pPr>
      <w:r>
        <w:drawing>
          <wp:inline xmlns:a="http://schemas.openxmlformats.org/drawingml/2006/main" xmlns:pic="http://schemas.openxmlformats.org/drawingml/2006/picture">
            <wp:extent cx="3657600" cy="2731008"/>
            <wp:docPr id="20" name="Picture 20"/>
            <wp:cNvGraphicFramePr>
              <a:graphicFrameLocks noChangeAspect="1"/>
            </wp:cNvGraphicFramePr>
            <a:graphic>
              <a:graphicData uri="http://schemas.openxmlformats.org/drawingml/2006/picture">
                <pic:pic>
                  <pic:nvPicPr>
                    <pic:cNvPr id="0" name="card-stroke.jpeg"/>
                    <pic:cNvPicPr/>
                  </pic:nvPicPr>
                  <pic:blipFill>
                    <a:blip r:embed="rId10"/>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https://velox-images.pages.dev/card-stroke.jpeg</w:t>
      </w:r>
    </w:p>
    <w:p>
      <w:pPr>
        <w:jc w:val="center"/>
      </w:pPr>
      <w:r>
        <w:rPr>
          <w:i/>
          <w:color w:val="666666"/>
          <w:sz w:val="16"/>
        </w:rPr>
        <w:t>Usage: Home — stroke reduction card</w:t>
      </w:r>
    </w:p>
    <w:p/>
    <w:p>
      <w:r>
        <w:rPr>
          <w:b/>
          <w:i w:val="0"/>
          <w:color w:val="363B3B"/>
          <w:sz w:val="18"/>
        </w:rPr>
        <w:t>card-bleeding.jpeg — Home — bleeding safety card</w:t>
      </w:r>
    </w:p>
    <w:p>
      <w:pPr>
        <w:jc w:val="center"/>
      </w:pPr>
      <w:r>
        <w:drawing>
          <wp:inline xmlns:a="http://schemas.openxmlformats.org/drawingml/2006/main" xmlns:pic="http://schemas.openxmlformats.org/drawingml/2006/picture">
            <wp:extent cx="3657600" cy="2731008"/>
            <wp:docPr id="21" name="Picture 21"/>
            <wp:cNvGraphicFramePr>
              <a:graphicFrameLocks noChangeAspect="1"/>
            </wp:cNvGraphicFramePr>
            <a:graphic>
              <a:graphicData uri="http://schemas.openxmlformats.org/drawingml/2006/picture">
                <pic:pic>
                  <pic:nvPicPr>
                    <pic:cNvPr id="0" name="card-bleeding.jpeg"/>
                    <pic:cNvPicPr/>
                  </pic:nvPicPr>
                  <pic:blipFill>
                    <a:blip r:embed="rId11"/>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https://velox-images.pages.dev/card-bleeding.jpeg</w:t>
      </w:r>
    </w:p>
    <w:p>
      <w:pPr>
        <w:jc w:val="center"/>
      </w:pPr>
      <w:r>
        <w:rPr>
          <w:i/>
          <w:color w:val="666666"/>
          <w:sz w:val="16"/>
        </w:rPr>
        <w:t>Usage: Home — bleeding safety card</w:t>
      </w:r>
    </w:p>
    <w:p/>
    <w:p>
      <w:r>
        <w:rPr>
          <w:b/>
          <w:i w:val="0"/>
          <w:color w:val="363B3B"/>
          <w:sz w:val="18"/>
        </w:rPr>
        <w:t>card-dosing.jpeg — Home — dosing simplicity card</w:t>
      </w:r>
    </w:p>
    <w:p>
      <w:pPr>
        <w:jc w:val="center"/>
      </w:pPr>
      <w:r>
        <w:drawing>
          <wp:inline xmlns:a="http://schemas.openxmlformats.org/drawingml/2006/main" xmlns:pic="http://schemas.openxmlformats.org/drawingml/2006/picture">
            <wp:extent cx="3657600" cy="2731008"/>
            <wp:docPr id="22" name="Picture 22"/>
            <wp:cNvGraphicFramePr>
              <a:graphicFrameLocks noChangeAspect="1"/>
            </wp:cNvGraphicFramePr>
            <a:graphic>
              <a:graphicData uri="http://schemas.openxmlformats.org/drawingml/2006/picture">
                <pic:pic>
                  <pic:nvPicPr>
                    <pic:cNvPr id="0" name="card-dosing.jpeg"/>
                    <pic:cNvPicPr/>
                  </pic:nvPicPr>
                  <pic:blipFill>
                    <a:blip r:embed="rId12"/>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https://velox-images.pages.dev/card-dosing.jpeg</w:t>
      </w:r>
    </w:p>
    <w:p>
      <w:pPr>
        <w:jc w:val="center"/>
      </w:pPr>
      <w:r>
        <w:rPr>
          <w:i/>
          <w:color w:val="666666"/>
          <w:sz w:val="16"/>
        </w:rPr>
        <w:t>Usage: Home — dosing simplicity card</w:t>
      </w:r>
    </w:p>
    <w:p/>
    <w:p>
      <w:r>
        <w:rPr>
          <w:b/>
          <w:i w:val="0"/>
          <w:color w:val="363B3B"/>
          <w:sz w:val="18"/>
        </w:rPr>
        <w:t>columns-moa-preview.jpeg — Home — MoA teaser</w:t>
      </w:r>
    </w:p>
    <w:p>
      <w:pPr>
        <w:jc w:val="center"/>
      </w:pPr>
      <w:r>
        <w:drawing>
          <wp:inline xmlns:a="http://schemas.openxmlformats.org/drawingml/2006/main" xmlns:pic="http://schemas.openxmlformats.org/drawingml/2006/picture">
            <wp:extent cx="3657600" cy="2731008"/>
            <wp:docPr id="23" name="Picture 23"/>
            <wp:cNvGraphicFramePr>
              <a:graphicFrameLocks noChangeAspect="1"/>
            </wp:cNvGraphicFramePr>
            <a:graphic>
              <a:graphicData uri="http://schemas.openxmlformats.org/drawingml/2006/picture">
                <pic:pic>
                  <pic:nvPicPr>
                    <pic:cNvPr id="0" name="columns-moa-preview.jpeg"/>
                    <pic:cNvPicPr/>
                  </pic:nvPicPr>
                  <pic:blipFill>
                    <a:blip r:embed="rId13"/>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https://velox-images.pages.dev/columns-moa-preview.jpeg</w:t>
      </w:r>
    </w:p>
    <w:p>
      <w:pPr>
        <w:jc w:val="center"/>
      </w:pPr>
      <w:r>
        <w:rPr>
          <w:i/>
          <w:color w:val="666666"/>
          <w:sz w:val="16"/>
        </w:rPr>
        <w:t>Usage: Home — MoA teaser</w:t>
      </w:r>
    </w:p>
    <w:p/>
    <w:p>
      <w:r>
        <w:rPr>
          <w:b/>
          <w:i w:val="0"/>
          <w:color w:val="363B3B"/>
          <w:sz w:val="18"/>
        </w:rPr>
        <w:t>tab-velocity-af.jpeg — VELOCITY Data — AF stroke tab</w:t>
      </w:r>
    </w:p>
    <w:p>
      <w:pPr>
        <w:jc w:val="center"/>
      </w:pPr>
      <w:r>
        <w:drawing>
          <wp:inline xmlns:a="http://schemas.openxmlformats.org/drawingml/2006/main" xmlns:pic="http://schemas.openxmlformats.org/drawingml/2006/picture">
            <wp:extent cx="3657600" cy="2731008"/>
            <wp:docPr id="24" name="Picture 24"/>
            <wp:cNvGraphicFramePr>
              <a:graphicFrameLocks noChangeAspect="1"/>
            </wp:cNvGraphicFramePr>
            <a:graphic>
              <a:graphicData uri="http://schemas.openxmlformats.org/drawingml/2006/picture">
                <pic:pic>
                  <pic:nvPicPr>
                    <pic:cNvPr id="0" name="tab-velocity-af.jpeg"/>
                    <pic:cNvPicPr/>
                  </pic:nvPicPr>
                  <pic:blipFill>
                    <a:blip r:embed="rId15"/>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https://velox-images.pages.dev/tab-velocity-af.jpeg</w:t>
      </w:r>
    </w:p>
    <w:p>
      <w:pPr>
        <w:jc w:val="center"/>
      </w:pPr>
      <w:r>
        <w:rPr>
          <w:i/>
          <w:color w:val="666666"/>
          <w:sz w:val="16"/>
        </w:rPr>
        <w:t>Usage: VELOCITY Data — AF stroke tab</w:t>
      </w:r>
    </w:p>
    <w:p/>
    <w:p>
      <w:r>
        <w:rPr>
          <w:b/>
          <w:i w:val="0"/>
          <w:color w:val="363B3B"/>
          <w:sz w:val="18"/>
        </w:rPr>
        <w:t>tab-velocity-bleed.jpeg — VELOCITY Data — bleeding safety tab</w:t>
      </w:r>
    </w:p>
    <w:p>
      <w:pPr>
        <w:jc w:val="center"/>
      </w:pPr>
      <w:r>
        <w:drawing>
          <wp:inline xmlns:a="http://schemas.openxmlformats.org/drawingml/2006/main" xmlns:pic="http://schemas.openxmlformats.org/drawingml/2006/picture">
            <wp:extent cx="3657600" cy="2731008"/>
            <wp:docPr id="25" name="Picture 25"/>
            <wp:cNvGraphicFramePr>
              <a:graphicFrameLocks noChangeAspect="1"/>
            </wp:cNvGraphicFramePr>
            <a:graphic>
              <a:graphicData uri="http://schemas.openxmlformats.org/drawingml/2006/picture">
                <pic:pic>
                  <pic:nvPicPr>
                    <pic:cNvPr id="0" name="tab-velocity-bleed.jpeg"/>
                    <pic:cNvPicPr/>
                  </pic:nvPicPr>
                  <pic:blipFill>
                    <a:blip r:embed="rId16"/>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https://velox-images.pages.dev/tab-velocity-bleed.jpeg</w:t>
      </w:r>
    </w:p>
    <w:p>
      <w:pPr>
        <w:jc w:val="center"/>
      </w:pPr>
      <w:r>
        <w:rPr>
          <w:i/>
          <w:color w:val="666666"/>
          <w:sz w:val="16"/>
        </w:rPr>
        <w:t>Usage: VELOCITY Data — bleeding safety tab</w:t>
      </w:r>
    </w:p>
    <w:p/>
    <w:p>
      <w:r>
        <w:rPr>
          <w:b/>
          <w:i w:val="0"/>
          <w:color w:val="363B3B"/>
          <w:sz w:val="18"/>
        </w:rPr>
        <w:t>card-bleeding-events.jpeg — Safety — bleeding events card</w:t>
      </w:r>
    </w:p>
    <w:p>
      <w:pPr>
        <w:jc w:val="center"/>
      </w:pPr>
      <w:r>
        <w:drawing>
          <wp:inline xmlns:a="http://schemas.openxmlformats.org/drawingml/2006/main" xmlns:pic="http://schemas.openxmlformats.org/drawingml/2006/picture">
            <wp:extent cx="3657600" cy="2731008"/>
            <wp:docPr id="26" name="Picture 26"/>
            <wp:cNvGraphicFramePr>
              <a:graphicFrameLocks noChangeAspect="1"/>
            </wp:cNvGraphicFramePr>
            <a:graphic>
              <a:graphicData uri="http://schemas.openxmlformats.org/drawingml/2006/picture">
                <pic:pic>
                  <pic:nvPicPr>
                    <pic:cNvPr id="0" name="card-bleeding-events.jpeg"/>
                    <pic:cNvPicPr/>
                  </pic:nvPicPr>
                  <pic:blipFill>
                    <a:blip r:embed="rId17"/>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https://velox-images.pages.dev/card-bleeding-events.jpeg</w:t>
      </w:r>
    </w:p>
    <w:p>
      <w:pPr>
        <w:jc w:val="center"/>
      </w:pPr>
      <w:r>
        <w:rPr>
          <w:i/>
          <w:color w:val="666666"/>
          <w:sz w:val="16"/>
        </w:rPr>
        <w:t>Usage: Safety — bleeding events card</w:t>
      </w:r>
    </w:p>
    <w:p/>
    <w:p>
      <w:r>
        <w:rPr>
          <w:b/>
          <w:i w:val="0"/>
          <w:color w:val="363B3B"/>
          <w:sz w:val="18"/>
        </w:rPr>
        <w:t>card-hepatic.jpeg — Safety — hepatic monitoring card</w:t>
      </w:r>
    </w:p>
    <w:p>
      <w:pPr>
        <w:jc w:val="center"/>
      </w:pPr>
      <w:r>
        <w:drawing>
          <wp:inline xmlns:a="http://schemas.openxmlformats.org/drawingml/2006/main" xmlns:pic="http://schemas.openxmlformats.org/drawingml/2006/picture">
            <wp:extent cx="3657600" cy="2731008"/>
            <wp:docPr id="27" name="Picture 27"/>
            <wp:cNvGraphicFramePr>
              <a:graphicFrameLocks noChangeAspect="1"/>
            </wp:cNvGraphicFramePr>
            <a:graphic>
              <a:graphicData uri="http://schemas.openxmlformats.org/drawingml/2006/picture">
                <pic:pic>
                  <pic:nvPicPr>
                    <pic:cNvPr id="0" name="card-hepatic.jpeg"/>
                    <pic:cNvPicPr/>
                  </pic:nvPicPr>
                  <pic:blipFill>
                    <a:blip r:embed="rId18"/>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https://velox-images.pages.dev/card-hepatic.jpeg</w:t>
      </w:r>
    </w:p>
    <w:p>
      <w:pPr>
        <w:jc w:val="center"/>
      </w:pPr>
      <w:r>
        <w:rPr>
          <w:i/>
          <w:color w:val="666666"/>
          <w:sz w:val="16"/>
        </w:rPr>
        <w:t>Usage: Safety — hepatic monitoring card</w:t>
      </w:r>
    </w:p>
    <w:p/>
    <w:p>
      <w:r>
        <w:rPr>
          <w:b/>
          <w:i w:val="0"/>
          <w:color w:val="363B3B"/>
          <w:sz w:val="18"/>
        </w:rPr>
        <w:t>card-gi-events.jpeg — Safety — GI events card</w:t>
      </w:r>
    </w:p>
    <w:p>
      <w:pPr>
        <w:jc w:val="center"/>
      </w:pPr>
      <w:r>
        <w:drawing>
          <wp:inline xmlns:a="http://schemas.openxmlformats.org/drawingml/2006/main" xmlns:pic="http://schemas.openxmlformats.org/drawingml/2006/picture">
            <wp:extent cx="3657600" cy="2731008"/>
            <wp:docPr id="28" name="Picture 28"/>
            <wp:cNvGraphicFramePr>
              <a:graphicFrameLocks noChangeAspect="1"/>
            </wp:cNvGraphicFramePr>
            <a:graphic>
              <a:graphicData uri="http://schemas.openxmlformats.org/drawingml/2006/picture">
                <pic:pic>
                  <pic:nvPicPr>
                    <pic:cNvPr id="0" name="card-gi-events.jpeg"/>
                    <pic:cNvPicPr/>
                  </pic:nvPicPr>
                  <pic:blipFill>
                    <a:blip r:embed="rId19"/>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https://velox-images.pages.dev/card-gi-events.jpeg</w:t>
      </w:r>
    </w:p>
    <w:p>
      <w:pPr>
        <w:jc w:val="center"/>
      </w:pPr>
      <w:r>
        <w:rPr>
          <w:i/>
          <w:color w:val="666666"/>
          <w:sz w:val="16"/>
        </w:rPr>
        <w:t>Usage: Safety — GI events card</w:t>
      </w:r>
    </w:p>
    <w:p/>
    <w:p>
      <w:r>
        <w:rPr>
          <w:b/>
          <w:i w:val="0"/>
          <w:color w:val="363B3B"/>
          <w:sz w:val="18"/>
        </w:rPr>
        <w:t>columns-dosing.jpeg — Dosing — once-daily regimen</w:t>
      </w:r>
    </w:p>
    <w:p>
      <w:pPr>
        <w:jc w:val="center"/>
      </w:pPr>
      <w:r>
        <w:drawing>
          <wp:inline xmlns:a="http://schemas.openxmlformats.org/drawingml/2006/main" xmlns:pic="http://schemas.openxmlformats.org/drawingml/2006/picture">
            <wp:extent cx="3657600" cy="2731008"/>
            <wp:docPr id="29" name="Picture 29"/>
            <wp:cNvGraphicFramePr>
              <a:graphicFrameLocks noChangeAspect="1"/>
            </wp:cNvGraphicFramePr>
            <a:graphic>
              <a:graphicData uri="http://schemas.openxmlformats.org/drawingml/2006/picture">
                <pic:pic>
                  <pic:nvPicPr>
                    <pic:cNvPr id="0" name="columns-dosing.jpeg"/>
                    <pic:cNvPicPr/>
                  </pic:nvPicPr>
                  <pic:blipFill>
                    <a:blip r:embed="rId20"/>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https://velox-images.pages.dev/columns-dosing.jpeg</w:t>
      </w:r>
    </w:p>
    <w:p>
      <w:pPr>
        <w:jc w:val="center"/>
      </w:pPr>
      <w:r>
        <w:rPr>
          <w:i/>
          <w:color w:val="666666"/>
          <w:sz w:val="16"/>
        </w:rPr>
        <w:t>Usage: Dosing — once-daily regimen</w:t>
      </w:r>
    </w:p>
    <w:p/>
    <w:p>
      <w:r>
        <w:rPr>
          <w:b/>
          <w:i w:val="0"/>
          <w:color w:val="363B3B"/>
          <w:sz w:val="18"/>
        </w:rPr>
        <w:t>columns-monitoring.jpeg — Dosing — monitoring</w:t>
      </w:r>
    </w:p>
    <w:p>
      <w:pPr>
        <w:jc w:val="center"/>
      </w:pPr>
      <w:r>
        <w:drawing>
          <wp:inline xmlns:a="http://schemas.openxmlformats.org/drawingml/2006/main" xmlns:pic="http://schemas.openxmlformats.org/drawingml/2006/picture">
            <wp:extent cx="3657600" cy="2731008"/>
            <wp:docPr id="30" name="Picture 30"/>
            <wp:cNvGraphicFramePr>
              <a:graphicFrameLocks noChangeAspect="1"/>
            </wp:cNvGraphicFramePr>
            <a:graphic>
              <a:graphicData uri="http://schemas.openxmlformats.org/drawingml/2006/picture">
                <pic:pic>
                  <pic:nvPicPr>
                    <pic:cNvPr id="0" name="columns-monitoring.jpeg"/>
                    <pic:cNvPicPr/>
                  </pic:nvPicPr>
                  <pic:blipFill>
                    <a:blip r:embed="rId21"/>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https://velox-images.pages.dev/columns-monitoring.jpeg</w:t>
      </w:r>
    </w:p>
    <w:p>
      <w:pPr>
        <w:jc w:val="center"/>
      </w:pPr>
      <w:r>
        <w:rPr>
          <w:i/>
          <w:color w:val="666666"/>
          <w:sz w:val="16"/>
        </w:rPr>
        <w:t>Usage: Dosing — monitoring</w:t>
      </w:r>
    </w:p>
    <w:p/>
    <w:p>
      <w:r>
        <w:rPr>
          <w:b/>
          <w:i w:val="0"/>
          <w:color w:val="363B3B"/>
          <w:sz w:val="18"/>
        </w:rPr>
        <w:t>card-prescribing.jpeg — Resources — prescribing guide card</w:t>
      </w:r>
    </w:p>
    <w:p>
      <w:pPr>
        <w:jc w:val="center"/>
      </w:pPr>
      <w:r>
        <w:drawing>
          <wp:inline xmlns:a="http://schemas.openxmlformats.org/drawingml/2006/main" xmlns:pic="http://schemas.openxmlformats.org/drawingml/2006/picture">
            <wp:extent cx="3657600" cy="2731008"/>
            <wp:docPr id="31" name="Picture 31"/>
            <wp:cNvGraphicFramePr>
              <a:graphicFrameLocks noChangeAspect="1"/>
            </wp:cNvGraphicFramePr>
            <a:graphic>
              <a:graphicData uri="http://schemas.openxmlformats.org/drawingml/2006/picture">
                <pic:pic>
                  <pic:nvPicPr>
                    <pic:cNvPr id="0" name="card-prescribing.jpeg"/>
                    <pic:cNvPicPr/>
                  </pic:nvPicPr>
                  <pic:blipFill>
                    <a:blip r:embed="rId23"/>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https://velox-images.pages.dev/card-prescribing.jpeg</w:t>
      </w:r>
    </w:p>
    <w:p>
      <w:pPr>
        <w:jc w:val="center"/>
      </w:pPr>
      <w:r>
        <w:rPr>
          <w:i/>
          <w:color w:val="666666"/>
          <w:sz w:val="16"/>
        </w:rPr>
        <w:t>Usage: Resources — prescribing guide card</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63B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300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300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3005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83005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