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830051"/>
          <w:sz w:val="72"/>
        </w:rPr>
        <w:t>AXURA®▼</w:t>
      </w:r>
    </w:p>
    <w:p>
      <w:pPr>
        <w:jc w:val="center"/>
      </w:pPr>
      <w:r>
        <w:rPr>
          <w:color w:val="363B3B"/>
          <w:sz w:val="36"/>
        </w:rPr>
        <w:t>(axurelimab)</w:t>
      </w:r>
    </w:p>
    <w:p/>
    <w:p>
      <w:pPr>
        <w:jc w:val="center"/>
      </w:pPr>
      <w:r>
        <w:rPr>
          <w:b/>
          <w:color w:val="006D6F"/>
          <w:sz w:val="48"/>
        </w:rPr>
        <w:t>Website Briefing</w:t>
      </w:r>
    </w:p>
    <w:p/>
    <w:p>
      <w:pPr>
        <w:jc w:val="center"/>
      </w:pPr>
      <w:r>
        <w:rPr>
          <w:i/>
          <w:color w:val="006D6F"/>
          <w:sz w:val="28"/>
        </w:rPr>
        <w:t>Reclaim your days.</w:t>
      </w:r>
    </w:p>
    <w:p/>
    <w:p>
      <w:pPr>
        <w:jc w:val="center"/>
      </w:pPr>
      <w:r>
        <w:rPr>
          <w:color w:val="666666"/>
          <w:sz w:val="20"/>
        </w:rPr>
        <w:t>Document type: Final approved marketing brief for HCP website build</w:t>
      </w:r>
    </w:p>
    <w:p>
      <w:pPr>
        <w:jc w:val="center"/>
      </w:pPr>
      <w:r>
        <w:rPr>
          <w:color w:val="666666"/>
          <w:sz w:val="20"/>
        </w:rPr>
        <w:t>Prepared by: Marketing — UK Immunology Franchise</w:t>
      </w:r>
    </w:p>
    <w:p>
      <w:pPr>
        <w:jc w:val="center"/>
      </w:pPr>
      <w:r>
        <w:rPr>
          <w:color w:val="666666"/>
          <w:sz w:val="20"/>
        </w:rPr>
        <w:t>Approval status: MLR-approved copy — do not modify</w:t>
      </w:r>
    </w:p>
    <w:p>
      <w:pPr>
        <w:jc w:val="center"/>
      </w:pPr>
      <w:r>
        <w:rPr>
          <w:color w:val="666666"/>
          <w:sz w:val="20"/>
        </w:rPr>
        <w:t>Date: March 2026</w:t>
      </w:r>
    </w:p>
    <w:p>
      <w:pPr>
        <w:jc w:val="center"/>
      </w:pPr>
      <w:r>
        <w:rPr>
          <w:color w:val="666666"/>
          <w:sz w:val="20"/>
        </w:rPr>
        <w:t>Approval code: GB-12091 | DOP: March 2026</w:t>
      </w:r>
    </w:p>
    <w:p>
      <w:r>
        <w:br w:type="page"/>
      </w:r>
    </w:p>
    <w:p>
      <w:pPr>
        <w:pStyle w:val="Heading1"/>
      </w:pPr>
      <w:r>
        <w:rPr>
          <w:color w:val="830051"/>
        </w:rPr>
        <w:t>Contents</w:t>
      </w:r>
    </w:p>
    <w:p>
      <w:r>
        <w:rPr>
          <w:color w:val="363B3B"/>
          <w:sz w:val="20"/>
        </w:rPr>
        <w:t>1. Drug Profile</w:t>
      </w:r>
    </w:p>
    <w:p>
      <w:r>
        <w:rPr>
          <w:color w:val="363B3B"/>
          <w:sz w:val="20"/>
        </w:rPr>
        <w:t>2. Mechanism of Action</w:t>
      </w:r>
    </w:p>
    <w:p>
      <w:r>
        <w:rPr>
          <w:color w:val="363B3B"/>
          <w:sz w:val="20"/>
        </w:rPr>
        <w:t>3. Clinical Programme: AURORA</w:t>
      </w:r>
    </w:p>
    <w:p>
      <w:r>
        <w:rPr>
          <w:color w:val="363B3B"/>
          <w:sz w:val="20"/>
        </w:rPr>
        <w:t>4. Safety Profile</w:t>
      </w:r>
    </w:p>
    <w:p>
      <w:r>
        <w:rPr>
          <w:color w:val="363B3B"/>
          <w:sz w:val="20"/>
        </w:rPr>
        <w:t>5. Prescribing Information</w:t>
      </w:r>
    </w:p>
    <w:p>
      <w:r>
        <w:rPr>
          <w:color w:val="363B3B"/>
          <w:sz w:val="20"/>
        </w:rPr>
        <w:t>6. Adverse Event Reporting</w:t>
      </w:r>
    </w:p>
    <w:p>
      <w:r>
        <w:rPr>
          <w:color w:val="363B3B"/>
          <w:sz w:val="20"/>
        </w:rPr>
        <w:t>7. References</w:t>
      </w:r>
    </w:p>
    <w:p>
      <w:r>
        <w:rPr>
          <w:color w:val="363B3B"/>
          <w:sz w:val="20"/>
        </w:rPr>
        <w:t>8. Site Navigation</w:t>
      </w:r>
    </w:p>
    <w:p>
      <w:r>
        <w:rPr>
          <w:color w:val="363B3B"/>
          <w:sz w:val="20"/>
        </w:rPr>
        <w:t>9. Page Content</w:t>
      </w:r>
    </w:p>
    <w:p>
      <w:r>
        <w:rPr>
          <w:color w:val="363B3B"/>
          <w:sz w:val="20"/>
        </w:rPr>
        <w:t xml:space="preserve">   Page 1: Home</w:t>
      </w:r>
    </w:p>
    <w:p>
      <w:r>
        <w:rPr>
          <w:color w:val="363B3B"/>
          <w:sz w:val="20"/>
        </w:rPr>
        <w:t xml:space="preserve">   Page 2: AURORA Data</w:t>
      </w:r>
    </w:p>
    <w:p>
      <w:r>
        <w:rPr>
          <w:color w:val="363B3B"/>
          <w:sz w:val="20"/>
        </w:rPr>
        <w:t xml:space="preserve">   Page 3: Living with Lupus</w:t>
      </w:r>
    </w:p>
    <w:p>
      <w:r>
        <w:rPr>
          <w:color w:val="363B3B"/>
          <w:sz w:val="20"/>
        </w:rPr>
        <w:t xml:space="preserve">   Page 4: Safety &amp; Monitoring</w:t>
      </w:r>
    </w:p>
    <w:p>
      <w:r>
        <w:rPr>
          <w:color w:val="363B3B"/>
          <w:sz w:val="20"/>
        </w:rPr>
        <w:t xml:space="preserve">   Page 5: How AXURA Works</w:t>
      </w:r>
    </w:p>
    <w:p>
      <w:r>
        <w:rPr>
          <w:color w:val="363B3B"/>
          <w:sz w:val="20"/>
        </w:rPr>
        <w:t xml:space="preserve">   Page 6: HCP Resources</w:t>
      </w:r>
    </w:p>
    <w:p>
      <w:r>
        <w:rPr>
          <w:color w:val="363B3B"/>
          <w:sz w:val="20"/>
        </w:rPr>
        <w:t>10. Footer Content</w:t>
      </w:r>
    </w:p>
    <w:p>
      <w:r>
        <w:rPr>
          <w:color w:val="363B3B"/>
          <w:sz w:val="20"/>
        </w:rPr>
        <w:t>11. Image Assets</w:t>
      </w:r>
    </w:p>
    <w:p>
      <w:r>
        <w:br w:type="page"/>
      </w:r>
    </w:p>
    <w:p>
      <w:pPr>
        <w:pStyle w:val="Heading1"/>
      </w:pPr>
      <w:r>
        <w:rPr>
          <w:color w:val="830051"/>
        </w:rPr>
        <w:t>1. Drug Profile</w:t>
      </w:r>
    </w:p>
    <w:tbl>
      <w:tblPr>
        <w:tblStyle w:val="TableGrid"/>
        <w:tblW w:type="auto" w:w="0"/>
        <w:jc w:val="center"/>
        <w:tblLook w:firstColumn="1" w:firstRow="1" w:lastColumn="0" w:lastRow="0" w:noHBand="0" w:noVBand="1" w:val="04A0"/>
      </w:tblPr>
      <w:tblGrid>
        <w:gridCol w:w="4536"/>
        <w:gridCol w:w="4536"/>
      </w:tblGrid>
      <w:tr>
        <w:tc>
          <w:tcPr>
            <w:tcW w:type="dxa" w:w="4536"/>
            <w:shd w:fill="830051"/>
          </w:tcPr>
          <w:p>
            <w:r/>
            <w:r>
              <w:rPr>
                <w:b/>
                <w:color w:val="FFFFFF"/>
                <w:sz w:val="18"/>
              </w:rPr>
              <w:t>Field</w:t>
            </w:r>
          </w:p>
        </w:tc>
        <w:tc>
          <w:tcPr>
            <w:tcW w:type="dxa" w:w="4536"/>
            <w:shd w:fill="830051"/>
          </w:tcPr>
          <w:p>
            <w:r/>
            <w:r>
              <w:rPr>
                <w:b/>
                <w:color w:val="FFFFFF"/>
                <w:sz w:val="18"/>
              </w:rPr>
              <w:t>Detail</w:t>
            </w:r>
          </w:p>
        </w:tc>
      </w:tr>
      <w:tr>
        <w:tc>
          <w:tcPr>
            <w:tcW w:type="dxa" w:w="4536"/>
          </w:tcPr>
          <w:p>
            <w:r/>
            <w:r>
              <w:rPr>
                <w:color w:val="363B3B"/>
                <w:sz w:val="18"/>
              </w:rPr>
              <w:t>Brand name</w:t>
            </w:r>
          </w:p>
        </w:tc>
        <w:tc>
          <w:tcPr>
            <w:tcW w:type="dxa" w:w="4536"/>
          </w:tcPr>
          <w:p>
            <w:r/>
            <w:r>
              <w:rPr>
                <w:color w:val="363B3B"/>
                <w:sz w:val="18"/>
              </w:rPr>
              <w:t>AXURA®▼</w:t>
            </w:r>
          </w:p>
        </w:tc>
      </w:tr>
      <w:tr>
        <w:tc>
          <w:tcPr>
            <w:tcW w:type="dxa" w:w="4536"/>
            <w:shd w:fill="F8F8F8"/>
          </w:tcPr>
          <w:p>
            <w:r/>
            <w:r>
              <w:rPr>
                <w:color w:val="363B3B"/>
                <w:sz w:val="18"/>
              </w:rPr>
              <w:t>Generic name</w:t>
            </w:r>
          </w:p>
        </w:tc>
        <w:tc>
          <w:tcPr>
            <w:tcW w:type="dxa" w:w="4536"/>
            <w:shd w:fill="F8F8F8"/>
          </w:tcPr>
          <w:p>
            <w:r/>
            <w:r>
              <w:rPr>
                <w:color w:val="363B3B"/>
                <w:sz w:val="18"/>
              </w:rPr>
              <w:t>axurelimab</w:t>
            </w:r>
          </w:p>
        </w:tc>
      </w:tr>
      <w:tr>
        <w:tc>
          <w:tcPr>
            <w:tcW w:type="dxa" w:w="4536"/>
          </w:tcPr>
          <w:p>
            <w:r/>
            <w:r>
              <w:rPr>
                <w:color w:val="363B3B"/>
                <w:sz w:val="18"/>
              </w:rPr>
              <w:t>Drug class</w:t>
            </w:r>
          </w:p>
        </w:tc>
        <w:tc>
          <w:tcPr>
            <w:tcW w:type="dxa" w:w="4536"/>
          </w:tcPr>
          <w:p>
            <w:r/>
            <w:r>
              <w:rPr>
                <w:color w:val="363B3B"/>
                <w:sz w:val="18"/>
              </w:rPr>
              <w:t>Humanised anti-CD38 monoclonal antibody (IgG1κ)</w:t>
            </w:r>
          </w:p>
        </w:tc>
      </w:tr>
      <w:tr>
        <w:tc>
          <w:tcPr>
            <w:tcW w:type="dxa" w:w="4536"/>
            <w:shd w:fill="F8F8F8"/>
          </w:tcPr>
          <w:p>
            <w:r/>
            <w:r>
              <w:rPr>
                <w:color w:val="363B3B"/>
                <w:sz w:val="18"/>
              </w:rPr>
              <w:t>Indication</w:t>
            </w:r>
          </w:p>
        </w:tc>
        <w:tc>
          <w:tcPr>
            <w:tcW w:type="dxa" w:w="4536"/>
            <w:shd w:fill="F8F8F8"/>
          </w:tcPr>
          <w:p>
            <w:r/>
            <w:r>
              <w:rPr>
                <w:color w:val="363B3B"/>
                <w:sz w:val="18"/>
              </w:rPr>
              <w:t>Add-on therapy for the treatment of adult patients with active systemic lupus erythematosus (SLE) who are seropositive (anti-dsDNA positive and/or low complement) and have an inadequate response to standard therapy</w:t>
            </w:r>
          </w:p>
        </w:tc>
      </w:tr>
      <w:tr>
        <w:tc>
          <w:tcPr>
            <w:tcW w:type="dxa" w:w="4536"/>
          </w:tcPr>
          <w:p>
            <w:r/>
            <w:r>
              <w:rPr>
                <w:color w:val="363B3B"/>
                <w:sz w:val="18"/>
              </w:rPr>
              <w:t>Secondary indication</w:t>
            </w:r>
          </w:p>
        </w:tc>
        <w:tc>
          <w:tcPr>
            <w:tcW w:type="dxa" w:w="4536"/>
          </w:tcPr>
          <w:p>
            <w:r/>
            <w:r>
              <w:rPr>
                <w:color w:val="363B3B"/>
                <w:sz w:val="18"/>
              </w:rPr>
              <w:t>Add-on therapy for adult patients with active lupus nephritis (Class III, IV, or V) who are receiving standard immunosuppressive treatment</w:t>
            </w:r>
          </w:p>
        </w:tc>
      </w:tr>
      <w:tr>
        <w:tc>
          <w:tcPr>
            <w:tcW w:type="dxa" w:w="4536"/>
            <w:shd w:fill="F8F8F8"/>
          </w:tcPr>
          <w:p>
            <w:r/>
            <w:r>
              <w:rPr>
                <w:color w:val="363B3B"/>
                <w:sz w:val="18"/>
              </w:rPr>
              <w:t>Formulation</w:t>
            </w:r>
          </w:p>
        </w:tc>
        <w:tc>
          <w:tcPr>
            <w:tcW w:type="dxa" w:w="4536"/>
            <w:shd w:fill="F8F8F8"/>
          </w:tcPr>
          <w:p>
            <w:r/>
            <w:r>
              <w:rPr>
                <w:color w:val="363B3B"/>
                <w:sz w:val="18"/>
              </w:rPr>
              <w:t>300 mg/2 mL solution for subcutaneous injection in pre-filled syringe</w:t>
            </w:r>
          </w:p>
        </w:tc>
      </w:tr>
      <w:tr>
        <w:tc>
          <w:tcPr>
            <w:tcW w:type="dxa" w:w="4536"/>
          </w:tcPr>
          <w:p>
            <w:r/>
            <w:r>
              <w:rPr>
                <w:color w:val="363B3B"/>
                <w:sz w:val="18"/>
              </w:rPr>
              <w:t>Dosing</w:t>
            </w:r>
          </w:p>
        </w:tc>
        <w:tc>
          <w:tcPr>
            <w:tcW w:type="dxa" w:w="4536"/>
          </w:tcPr>
          <w:p>
            <w:r/>
            <w:r>
              <w:rPr>
                <w:color w:val="363B3B"/>
                <w:sz w:val="18"/>
              </w:rPr>
              <w:t>300 mg subcutaneous injection once every 2 weeks for the first 3 doses, then 300 mg every 4 weeks</w:t>
            </w:r>
          </w:p>
        </w:tc>
      </w:tr>
      <w:tr>
        <w:tc>
          <w:tcPr>
            <w:tcW w:type="dxa" w:w="4536"/>
            <w:shd w:fill="F8F8F8"/>
          </w:tcPr>
          <w:p>
            <w:r/>
            <w:r>
              <w:rPr>
                <w:color w:val="363B3B"/>
                <w:sz w:val="18"/>
              </w:rPr>
              <w:t>Approval</w:t>
            </w:r>
          </w:p>
        </w:tc>
        <w:tc>
          <w:tcPr>
            <w:tcW w:type="dxa" w:w="4536"/>
            <w:shd w:fill="F8F8F8"/>
          </w:tcPr>
          <w:p>
            <w:r/>
            <w:r>
              <w:rPr>
                <w:color w:val="363B3B"/>
                <w:sz w:val="18"/>
              </w:rPr>
              <w:t>MHRA — February 2026</w:t>
            </w:r>
          </w:p>
        </w:tc>
      </w:tr>
      <w:tr>
        <w:tc>
          <w:tcPr>
            <w:tcW w:type="dxa" w:w="4536"/>
          </w:tcPr>
          <w:p>
            <w:r/>
            <w:r>
              <w:rPr>
                <w:color w:val="363B3B"/>
                <w:sz w:val="18"/>
              </w:rPr>
              <w:t>Black triangle status</w:t>
            </w:r>
          </w:p>
        </w:tc>
        <w:tc>
          <w:tcPr>
            <w:tcW w:type="dxa" w:w="4536"/>
          </w:tcPr>
          <w:p>
            <w:r/>
            <w:r>
              <w:rPr>
                <w:color w:val="363B3B"/>
                <w:sz w:val="18"/>
              </w:rPr>
              <w:t>▼ Additional monitoring required</w:t>
            </w:r>
          </w:p>
        </w:tc>
      </w:tr>
      <w:tr>
        <w:tc>
          <w:tcPr>
            <w:tcW w:type="dxa" w:w="4536"/>
            <w:shd w:fill="F8F8F8"/>
          </w:tcPr>
          <w:p>
            <w:r/>
            <w:r>
              <w:rPr>
                <w:color w:val="363B3B"/>
                <w:sz w:val="18"/>
              </w:rPr>
              <w:t>Brand colour</w:t>
            </w:r>
          </w:p>
        </w:tc>
        <w:tc>
          <w:tcPr>
            <w:tcW w:type="dxa" w:w="4536"/>
            <w:shd w:fill="F8F8F8"/>
          </w:tcPr>
          <w:p>
            <w:r/>
            <w:r>
              <w:rPr>
                <w:color w:val="363B3B"/>
                <w:sz w:val="18"/>
              </w:rPr>
              <w:t>Deep Teal #006D6F</w:t>
            </w:r>
          </w:p>
        </w:tc>
      </w:tr>
      <w:tr>
        <w:tc>
          <w:tcPr>
            <w:tcW w:type="dxa" w:w="4536"/>
          </w:tcPr>
          <w:p>
            <w:r/>
            <w:r>
              <w:rPr>
                <w:color w:val="363B3B"/>
                <w:sz w:val="18"/>
              </w:rPr>
              <w:t>Accent colour</w:t>
            </w:r>
          </w:p>
        </w:tc>
        <w:tc>
          <w:tcPr>
            <w:tcW w:type="dxa" w:w="4536"/>
          </w:tcPr>
          <w:p>
            <w:r/>
            <w:r>
              <w:rPr>
                <w:color w:val="363B3B"/>
                <w:sz w:val="18"/>
              </w:rPr>
              <w:t>Warm Gold #EFAB00</w:t>
            </w:r>
          </w:p>
        </w:tc>
      </w:tr>
      <w:tr>
        <w:tc>
          <w:tcPr>
            <w:tcW w:type="dxa" w:w="4536"/>
            <w:shd w:fill="F8F8F8"/>
          </w:tcPr>
          <w:p>
            <w:r/>
            <w:r>
              <w:rPr>
                <w:color w:val="363B3B"/>
                <w:sz w:val="18"/>
              </w:rPr>
              <w:t>Approval code</w:t>
            </w:r>
          </w:p>
        </w:tc>
        <w:tc>
          <w:tcPr>
            <w:tcW w:type="dxa" w:w="4536"/>
            <w:shd w:fill="F8F8F8"/>
          </w:tcPr>
          <w:p>
            <w:r/>
            <w:r>
              <w:rPr>
                <w:color w:val="363B3B"/>
                <w:sz w:val="18"/>
              </w:rPr>
              <w:t>GB-12091</w:t>
            </w:r>
          </w:p>
        </w:tc>
      </w:tr>
    </w:tbl>
    <w:p/>
    <w:p>
      <w:r>
        <w:rPr>
          <w:b/>
          <w:color w:val="CC0000"/>
          <w:sz w:val="18"/>
        </w:rPr>
        <w:t>AXURA brand rule: AXURA always appears in capitals, with ®▼ on first mention per page. Generic name (axurelimab) appears in lowercase parentheses on first mention. The black triangle (▼) must accompany AXURA on every first mention. The approved tagline "Reclaim your days." may only be used verbatim — no variations permitted.</w:t>
      </w:r>
    </w:p>
    <w:p>
      <w:pPr>
        <w:jc w:val="center"/>
      </w:pPr>
      <w:r>
        <w:rPr>
          <w:color w:val="CCCCCC"/>
          <w:sz w:val="16"/>
        </w:rPr>
        <w:t>────────────────────────────────────────────────────────────</w:t>
      </w:r>
    </w:p>
    <w:p>
      <w:pPr>
        <w:pStyle w:val="Heading1"/>
      </w:pPr>
      <w:r>
        <w:rPr>
          <w:color w:val="830051"/>
        </w:rPr>
        <w:t>2. Mechanism of Action</w:t>
      </w:r>
    </w:p>
    <w:p>
      <w:r>
        <w:rPr>
          <w:b w:val="0"/>
          <w:i w:val="0"/>
          <w:color w:val="363B3B"/>
          <w:sz w:val="20"/>
        </w:rPr>
        <w:t>Axurelimab is a humanised IgG1κ monoclonal antibody that binds with high affinity to CD38, a type II transmembrane glycoprotein highly expressed on long-lived plasma cells, plasmablasts, and a subset of activated B-cells. CD38 is also expressed on natural killer (NK) cells and subsets of T-cells, but at lower density.</w:t>
      </w:r>
    </w:p>
    <w:p>
      <w:r>
        <w:rPr>
          <w:b w:val="0"/>
          <w:i w:val="0"/>
          <w:color w:val="363B3B"/>
          <w:sz w:val="20"/>
        </w:rPr>
        <w:t>In systemic lupus erythematosus, autoreactive long-lived plasma cells residing in bone marrow and inflamed tissues are the primary source of pathogenic autoantibodies (anti-dsDNA, anti-Smith, anti-Ro/SSA). These cells are resistant to conventional immunosuppression, B-cell-depleting therapies (anti-CD20), and belimumab (anti-BAFF), because long-lived plasma cells do not express CD20 and survive independently of BAFF.¹ ²</w:t>
      </w:r>
    </w:p>
    <w:p>
      <w:r>
        <w:rPr>
          <w:b w:val="0"/>
          <w:i w:val="0"/>
          <w:color w:val="363B3B"/>
          <w:sz w:val="20"/>
        </w:rPr>
        <w:t>By targeting CD38, axurelimab depletes the autoantibody-producing cells that drive SLE through the following mechanisms:</w:t>
      </w:r>
    </w:p>
    <w:p>
      <w:pPr>
        <w:pStyle w:val="ListBullet"/>
      </w:pPr>
      <w:r>
        <w:rPr>
          <w:sz w:val="20"/>
        </w:rPr>
        <w:t>Antibody-dependent cellular cytotoxicity (ADCC) of CD38-high long-lived plasma cells and plasmablasts</w:t>
      </w:r>
    </w:p>
    <w:p>
      <w:pPr>
        <w:pStyle w:val="ListBullet"/>
      </w:pPr>
      <w:r>
        <w:rPr>
          <w:sz w:val="20"/>
        </w:rPr>
        <w:t>Complement-dependent cytotoxicity (CDC) against CD38-expressing autoantibody-secreting cells</w:t>
      </w:r>
    </w:p>
    <w:p>
      <w:pPr>
        <w:pStyle w:val="ListBullet"/>
      </w:pPr>
      <w:r>
        <w:rPr>
          <w:sz w:val="20"/>
        </w:rPr>
        <w:t>Antibody-dependent cellular phagocytosis (ADCP) by macrophages</w:t>
      </w:r>
    </w:p>
    <w:p>
      <w:pPr>
        <w:pStyle w:val="ListBullet"/>
      </w:pPr>
      <w:r>
        <w:rPr>
          <w:sz w:val="20"/>
        </w:rPr>
        <w:t>Depletion of CD38-high short-lived plasmablasts, reducing the immediate supply of newly secreted autoantibodies</w:t>
      </w:r>
    </w:p>
    <w:p>
      <w:pPr>
        <w:pStyle w:val="ListBullet"/>
      </w:pPr>
      <w:r>
        <w:rPr>
          <w:sz w:val="20"/>
        </w:rPr>
        <w:t>Reduction of CD38-expressing regulatory cell populations is minimal due to lower CD38 density on these cells</w:t>
      </w:r>
    </w:p>
    <w:p>
      <w:r>
        <w:rPr>
          <w:b w:val="0"/>
          <w:i w:val="0"/>
          <w:color w:val="363B3B"/>
          <w:sz w:val="20"/>
        </w:rPr>
        <w:t>This targeted depletion of autoantibody-secreting cells produces rapid and sustained reductions in anti-dsDNA titres, normalisation of complement (C3, C4), and consequent reduction in immune-complex-mediated tissue damage across multiple organ systems. Unlike B-cell depletion strategies targeting CD20, anti-CD38 therapy directly eliminates the terminally differentiated cells responsible for autoantibody production.¹ ² ⁵</w:t>
      </w:r>
    </w:p>
    <w:p>
      <w:pPr>
        <w:jc w:val="center"/>
      </w:pPr>
      <w:r>
        <w:rPr>
          <w:color w:val="CCCCCC"/>
          <w:sz w:val="16"/>
        </w:rPr>
        <w:t>────────────────────────────────────────────────────────────</w:t>
      </w:r>
    </w:p>
    <w:p>
      <w:pPr>
        <w:pStyle w:val="Heading1"/>
      </w:pPr>
      <w:r>
        <w:rPr>
          <w:color w:val="830051"/>
        </w:rPr>
        <w:t>3. Clinical Programme: AURORA</w:t>
      </w:r>
    </w:p>
    <w:p>
      <w:pPr>
        <w:pStyle w:val="Heading2"/>
      </w:pPr>
      <w:r>
        <w:rPr>
          <w:color w:val="830051"/>
        </w:rPr>
        <w:t>AURORA-1 (Phase III, pivotal — Active SLE)</w:t>
      </w:r>
    </w:p>
    <w:p>
      <w:r>
        <w:rPr>
          <w:b/>
          <w:sz w:val="20"/>
        </w:rPr>
        <w:t xml:space="preserve">Design: </w:t>
      </w:r>
      <w:r>
        <w:rPr>
          <w:sz w:val="20"/>
        </w:rPr>
        <w:t>Randomised, double-blind, placebo-controlled, parallel-group Phase III trial</w:t>
      </w:r>
    </w:p>
    <w:p>
      <w:r>
        <w:rPr>
          <w:b/>
          <w:sz w:val="20"/>
        </w:rPr>
        <w:t xml:space="preserve">Population: </w:t>
      </w:r>
      <w:r>
        <w:rPr>
          <w:sz w:val="20"/>
        </w:rPr>
        <w:t>768 adults with active SLE (SLEDAI-2K ≥6, seropositive: anti-dsDNA ≥30 IU/mL and/or low C3/C4) despite standard of care (antimalarials, corticosteroids ≤10 mg/day prednisolone, and/or immunosuppressants)</w:t>
      </w:r>
    </w:p>
    <w:p>
      <w:r>
        <w:rPr>
          <w:b/>
          <w:sz w:val="20"/>
        </w:rPr>
        <w:t xml:space="preserve">Duration: </w:t>
      </w:r>
      <w:r>
        <w:rPr>
          <w:sz w:val="20"/>
        </w:rPr>
        <w:t>52 weeks on treatment + 12-week safety follow-up</w:t>
      </w:r>
    </w:p>
    <w:p>
      <w:r>
        <w:rPr>
          <w:b/>
          <w:sz w:val="20"/>
        </w:rPr>
        <w:t xml:space="preserve">Primary endpoint: </w:t>
      </w:r>
      <w:r>
        <w:rPr>
          <w:sz w:val="20"/>
        </w:rPr>
        <w:t>SRI-4 response at Week 52 (SLEDAI-2K improvement ≥4 points, no BILAG A flare, no PGA worsening &gt;0.3)</w:t>
      </w:r>
    </w:p>
    <w:p>
      <w:r>
        <w:rPr>
          <w:b/>
          <w:sz w:val="20"/>
        </w:rPr>
        <w:t xml:space="preserve">Key secondary endpoints: </w:t>
      </w:r>
      <w:r>
        <w:rPr>
          <w:sz w:val="20"/>
        </w:rPr>
        <w:t>Time to first severe SLE flare (BILAG A); proportion achieving sustained glucocorticoid reduction to ≤7.5 mg/day prednisolone; anti-dsDNA change from baseline; C3/C4 normalisation; BICLA response at Week 52; FACIT-Fatigue improvement</w:t>
      </w:r>
    </w:p>
    <w:p>
      <w:r>
        <w:rPr>
          <w:b/>
          <w:sz w:val="20"/>
        </w:rPr>
        <w:t xml:space="preserve">Publication: </w:t>
      </w:r>
      <w:r>
        <w:rPr>
          <w:sz w:val="20"/>
        </w:rPr>
        <w:t>Rodriguez-Pintó et al. N Engl J Med 2025; 393(18): 1698–1711</w:t>
      </w:r>
    </w:p>
    <w:p/>
    <w:p>
      <w:r>
        <w:rPr>
          <w:b/>
          <w:i w:val="0"/>
          <w:color w:val="363B3B"/>
          <w:sz w:val="20"/>
        </w:rPr>
        <w:t>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AXURA (n=384)</w:t>
            </w:r>
          </w:p>
        </w:tc>
        <w:tc>
          <w:tcPr>
            <w:tcW w:type="dxa" w:w="2268"/>
            <w:shd w:fill="830051"/>
          </w:tcPr>
          <w:p>
            <w:r/>
            <w:r>
              <w:rPr>
                <w:b/>
                <w:color w:val="FFFFFF"/>
                <w:sz w:val="18"/>
              </w:rPr>
              <w:t>Placebo (n=384)</w:t>
            </w:r>
          </w:p>
        </w:tc>
        <w:tc>
          <w:tcPr>
            <w:tcW w:type="dxa" w:w="2268"/>
            <w:shd w:fill="830051"/>
          </w:tcPr>
          <w:p>
            <w:r/>
            <w:r>
              <w:rPr>
                <w:b/>
                <w:color w:val="FFFFFF"/>
                <w:sz w:val="18"/>
              </w:rPr>
              <w:t>Treatment effect</w:t>
            </w:r>
          </w:p>
        </w:tc>
      </w:tr>
      <w:tr>
        <w:tc>
          <w:tcPr>
            <w:tcW w:type="dxa" w:w="2268"/>
          </w:tcPr>
          <w:p>
            <w:r/>
            <w:r>
              <w:rPr>
                <w:color w:val="363B3B"/>
                <w:sz w:val="18"/>
              </w:rPr>
              <w:t>SRI-4 at Week 52 (primary)</w:t>
            </w:r>
          </w:p>
        </w:tc>
        <w:tc>
          <w:tcPr>
            <w:tcW w:type="dxa" w:w="2268"/>
          </w:tcPr>
          <w:p>
            <w:r/>
            <w:r>
              <w:rPr>
                <w:color w:val="363B3B"/>
                <w:sz w:val="18"/>
              </w:rPr>
              <w:t>61.7%</w:t>
            </w:r>
          </w:p>
        </w:tc>
        <w:tc>
          <w:tcPr>
            <w:tcW w:type="dxa" w:w="2268"/>
          </w:tcPr>
          <w:p>
            <w:r/>
            <w:r>
              <w:rPr>
                <w:color w:val="363B3B"/>
                <w:sz w:val="18"/>
              </w:rPr>
              <w:t>35.9%</w:t>
            </w:r>
          </w:p>
        </w:tc>
        <w:tc>
          <w:tcPr>
            <w:tcW w:type="dxa" w:w="2268"/>
          </w:tcPr>
          <w:p>
            <w:r/>
            <w:r>
              <w:rPr>
                <w:color w:val="363B3B"/>
                <w:sz w:val="18"/>
              </w:rPr>
              <w:t>Δ 25.8% (19.2–32.4); P&lt;0.001</w:t>
            </w:r>
          </w:p>
        </w:tc>
      </w:tr>
      <w:tr>
        <w:tc>
          <w:tcPr>
            <w:tcW w:type="dxa" w:w="2268"/>
            <w:shd w:fill="F8F8F8"/>
          </w:tcPr>
          <w:p>
            <w:r/>
            <w:r>
              <w:rPr>
                <w:color w:val="363B3B"/>
                <w:sz w:val="18"/>
              </w:rPr>
              <w:t>BICLA response at Week 52</w:t>
            </w:r>
          </w:p>
        </w:tc>
        <w:tc>
          <w:tcPr>
            <w:tcW w:type="dxa" w:w="2268"/>
            <w:shd w:fill="F8F8F8"/>
          </w:tcPr>
          <w:p>
            <w:r/>
            <w:r>
              <w:rPr>
                <w:color w:val="363B3B"/>
                <w:sz w:val="18"/>
              </w:rPr>
              <w:t>54.4%</w:t>
            </w:r>
          </w:p>
        </w:tc>
        <w:tc>
          <w:tcPr>
            <w:tcW w:type="dxa" w:w="2268"/>
            <w:shd w:fill="F8F8F8"/>
          </w:tcPr>
          <w:p>
            <w:r/>
            <w:r>
              <w:rPr>
                <w:color w:val="363B3B"/>
                <w:sz w:val="18"/>
              </w:rPr>
              <w:t>30.5%</w:t>
            </w:r>
          </w:p>
        </w:tc>
        <w:tc>
          <w:tcPr>
            <w:tcW w:type="dxa" w:w="2268"/>
            <w:shd w:fill="F8F8F8"/>
          </w:tcPr>
          <w:p>
            <w:r/>
            <w:r>
              <w:rPr>
                <w:color w:val="363B3B"/>
                <w:sz w:val="18"/>
              </w:rPr>
              <w:t>Δ 23.9% (17.4–30.4); P&lt;0.001</w:t>
            </w:r>
          </w:p>
        </w:tc>
      </w:tr>
      <w:tr>
        <w:tc>
          <w:tcPr>
            <w:tcW w:type="dxa" w:w="2268"/>
          </w:tcPr>
          <w:p>
            <w:r/>
            <w:r>
              <w:rPr>
                <w:color w:val="363B3B"/>
                <w:sz w:val="18"/>
              </w:rPr>
              <w:t>Severe flare (BILAG A) through Week 52</w:t>
            </w:r>
          </w:p>
        </w:tc>
        <w:tc>
          <w:tcPr>
            <w:tcW w:type="dxa" w:w="2268"/>
          </w:tcPr>
          <w:p>
            <w:r/>
            <w:r>
              <w:rPr>
                <w:color w:val="363B3B"/>
                <w:sz w:val="18"/>
              </w:rPr>
              <w:t>8.9%</w:t>
            </w:r>
          </w:p>
        </w:tc>
        <w:tc>
          <w:tcPr>
            <w:tcW w:type="dxa" w:w="2268"/>
          </w:tcPr>
          <w:p>
            <w:r/>
            <w:r>
              <w:rPr>
                <w:color w:val="363B3B"/>
                <w:sz w:val="18"/>
              </w:rPr>
              <w:t>21.6%</w:t>
            </w:r>
          </w:p>
        </w:tc>
        <w:tc>
          <w:tcPr>
            <w:tcW w:type="dxa" w:w="2268"/>
          </w:tcPr>
          <w:p>
            <w:r/>
            <w:r>
              <w:rPr>
                <w:color w:val="363B3B"/>
                <w:sz w:val="18"/>
              </w:rPr>
              <w:t>HR 0.38 (0.25–0.57); P&lt;0.001</w:t>
            </w:r>
          </w:p>
        </w:tc>
      </w:tr>
      <w:tr>
        <w:tc>
          <w:tcPr>
            <w:tcW w:type="dxa" w:w="2268"/>
            <w:shd w:fill="F8F8F8"/>
          </w:tcPr>
          <w:p>
            <w:r/>
            <w:r>
              <w:rPr>
                <w:color w:val="363B3B"/>
                <w:sz w:val="18"/>
              </w:rPr>
              <w:t>GC reduction to ≤7.5 mg/day (among those on &gt;7.5 mg at baseline)</w:t>
            </w:r>
          </w:p>
        </w:tc>
        <w:tc>
          <w:tcPr>
            <w:tcW w:type="dxa" w:w="2268"/>
            <w:shd w:fill="F8F8F8"/>
          </w:tcPr>
          <w:p>
            <w:r/>
            <w:r>
              <w:rPr>
                <w:color w:val="363B3B"/>
                <w:sz w:val="18"/>
              </w:rPr>
              <w:t>68.2%</w:t>
            </w:r>
          </w:p>
        </w:tc>
        <w:tc>
          <w:tcPr>
            <w:tcW w:type="dxa" w:w="2268"/>
            <w:shd w:fill="F8F8F8"/>
          </w:tcPr>
          <w:p>
            <w:r/>
            <w:r>
              <w:rPr>
                <w:color w:val="363B3B"/>
                <w:sz w:val="18"/>
              </w:rPr>
              <w:t>42.1%</w:t>
            </w:r>
          </w:p>
        </w:tc>
        <w:tc>
          <w:tcPr>
            <w:tcW w:type="dxa" w:w="2268"/>
            <w:shd w:fill="F8F8F8"/>
          </w:tcPr>
          <w:p>
            <w:r/>
            <w:r>
              <w:rPr>
                <w:color w:val="363B3B"/>
                <w:sz w:val="18"/>
              </w:rPr>
              <w:t>OR 2.93 (1.97–4.36); P&lt;0.001</w:t>
            </w:r>
          </w:p>
        </w:tc>
      </w:tr>
      <w:tr>
        <w:tc>
          <w:tcPr>
            <w:tcW w:type="dxa" w:w="2268"/>
          </w:tcPr>
          <w:p>
            <w:r/>
            <w:r>
              <w:rPr>
                <w:color w:val="363B3B"/>
                <w:sz w:val="18"/>
              </w:rPr>
              <w:t>Anti-dsDNA reduction at Week 52</w:t>
            </w:r>
          </w:p>
        </w:tc>
        <w:tc>
          <w:tcPr>
            <w:tcW w:type="dxa" w:w="2268"/>
          </w:tcPr>
          <w:p>
            <w:r/>
            <w:r>
              <w:rPr>
                <w:color w:val="363B3B"/>
                <w:sz w:val="18"/>
              </w:rPr>
              <w:t>−64.1%</w:t>
            </w:r>
          </w:p>
        </w:tc>
        <w:tc>
          <w:tcPr>
            <w:tcW w:type="dxa" w:w="2268"/>
          </w:tcPr>
          <w:p>
            <w:r/>
            <w:r>
              <w:rPr>
                <w:color w:val="363B3B"/>
                <w:sz w:val="18"/>
              </w:rPr>
              <w:t>−8.3%</w:t>
            </w:r>
          </w:p>
        </w:tc>
        <w:tc>
          <w:tcPr>
            <w:tcW w:type="dxa" w:w="2268"/>
          </w:tcPr>
          <w:p>
            <w:r/>
            <w:r>
              <w:rPr>
                <w:color w:val="363B3B"/>
                <w:sz w:val="18"/>
              </w:rPr>
              <w:t>P&lt;0.001</w:t>
            </w:r>
          </w:p>
        </w:tc>
      </w:tr>
      <w:tr>
        <w:tc>
          <w:tcPr>
            <w:tcW w:type="dxa" w:w="2268"/>
            <w:shd w:fill="F8F8F8"/>
          </w:tcPr>
          <w:p>
            <w:r/>
            <w:r>
              <w:rPr>
                <w:color w:val="363B3B"/>
                <w:sz w:val="18"/>
              </w:rPr>
              <w:t>C3 normalisation at Week 52</w:t>
            </w:r>
          </w:p>
        </w:tc>
        <w:tc>
          <w:tcPr>
            <w:tcW w:type="dxa" w:w="2268"/>
            <w:shd w:fill="F8F8F8"/>
          </w:tcPr>
          <w:p>
            <w:r/>
            <w:r>
              <w:rPr>
                <w:color w:val="363B3B"/>
                <w:sz w:val="18"/>
              </w:rPr>
              <w:t>72.8%</w:t>
            </w:r>
          </w:p>
        </w:tc>
        <w:tc>
          <w:tcPr>
            <w:tcW w:type="dxa" w:w="2268"/>
            <w:shd w:fill="F8F8F8"/>
          </w:tcPr>
          <w:p>
            <w:r/>
            <w:r>
              <w:rPr>
                <w:color w:val="363B3B"/>
                <w:sz w:val="18"/>
              </w:rPr>
              <w:t>31.4%</w:t>
            </w:r>
          </w:p>
        </w:tc>
        <w:tc>
          <w:tcPr>
            <w:tcW w:type="dxa" w:w="2268"/>
            <w:shd w:fill="F8F8F8"/>
          </w:tcPr>
          <w:p>
            <w:r/>
            <w:r>
              <w:rPr>
                <w:color w:val="363B3B"/>
                <w:sz w:val="18"/>
              </w:rPr>
              <w:t>P&lt;0.001</w:t>
            </w:r>
          </w:p>
        </w:tc>
      </w:tr>
      <w:tr>
        <w:tc>
          <w:tcPr>
            <w:tcW w:type="dxa" w:w="2268"/>
          </w:tcPr>
          <w:p>
            <w:r/>
            <w:r>
              <w:rPr>
                <w:color w:val="363B3B"/>
                <w:sz w:val="18"/>
              </w:rPr>
              <w:t>FACIT-Fatigue improvement ≥4 points</w:t>
            </w:r>
          </w:p>
        </w:tc>
        <w:tc>
          <w:tcPr>
            <w:tcW w:type="dxa" w:w="2268"/>
          </w:tcPr>
          <w:p>
            <w:r/>
            <w:r>
              <w:rPr>
                <w:color w:val="363B3B"/>
                <w:sz w:val="18"/>
              </w:rPr>
              <w:t>52.3%</w:t>
            </w:r>
          </w:p>
        </w:tc>
        <w:tc>
          <w:tcPr>
            <w:tcW w:type="dxa" w:w="2268"/>
          </w:tcPr>
          <w:p>
            <w:r/>
            <w:r>
              <w:rPr>
                <w:color w:val="363B3B"/>
                <w:sz w:val="18"/>
              </w:rPr>
              <w:t>33.6%</w:t>
            </w:r>
          </w:p>
        </w:tc>
        <w:tc>
          <w:tcPr>
            <w:tcW w:type="dxa" w:w="2268"/>
          </w:tcPr>
          <w:p>
            <w:r/>
            <w:r>
              <w:rPr>
                <w:color w:val="363B3B"/>
                <w:sz w:val="18"/>
              </w:rPr>
              <w:t>Δ 18.7% (12.1–25.3); P&lt;0.001</w:t>
            </w:r>
          </w:p>
        </w:tc>
      </w:tr>
    </w:tbl>
    <w:p/>
    <w:p>
      <w:pPr>
        <w:pStyle w:val="Heading2"/>
      </w:pPr>
      <w:r>
        <w:rPr>
          <w:color w:val="830051"/>
        </w:rPr>
        <w:t>AURORA-LN (Phase III — Active lupus nephritis)</w:t>
      </w:r>
    </w:p>
    <w:p>
      <w:r>
        <w:rPr>
          <w:b/>
          <w:sz w:val="20"/>
        </w:rPr>
        <w:t xml:space="preserve">Design: </w:t>
      </w:r>
      <w:r>
        <w:rPr>
          <w:sz w:val="20"/>
        </w:rPr>
        <w:t>Randomised, double-blind, placebo-controlled Phase III trial</w:t>
      </w:r>
    </w:p>
    <w:p>
      <w:r>
        <w:rPr>
          <w:b/>
          <w:sz w:val="20"/>
        </w:rPr>
        <w:t xml:space="preserve">Population: </w:t>
      </w:r>
      <w:r>
        <w:rPr>
          <w:sz w:val="20"/>
        </w:rPr>
        <w:t>354 adults with biopsy-proven active lupus nephritis (Class III, IV, or V, alone or in combination) receiving mycophenolate mofetil (MMF) + low-dose glucocorticoids as background standard of care</w:t>
      </w:r>
    </w:p>
    <w:p>
      <w:r>
        <w:rPr>
          <w:b/>
          <w:sz w:val="20"/>
        </w:rPr>
        <w:t xml:space="preserve">Duration: </w:t>
      </w:r>
      <w:r>
        <w:rPr>
          <w:sz w:val="20"/>
        </w:rPr>
        <w:t>52 weeks on treatment</w:t>
      </w:r>
    </w:p>
    <w:p>
      <w:r>
        <w:rPr>
          <w:b/>
          <w:sz w:val="20"/>
        </w:rPr>
        <w:t xml:space="preserve">Primary endpoint: </w:t>
      </w:r>
      <w:r>
        <w:rPr>
          <w:sz w:val="20"/>
        </w:rPr>
        <w:t>Complete renal response (CRR) at Week 52 (uPCR &lt;0.5 g/g, eGFR within 10% of pre-flare value or ≥90 mL/min/1.73m², no rescue therapy)</w:t>
      </w:r>
    </w:p>
    <w:p>
      <w:r>
        <w:rPr>
          <w:b/>
          <w:sz w:val="20"/>
        </w:rPr>
        <w:t xml:space="preserve">Key secondary endpoints: </w:t>
      </w:r>
      <w:r>
        <w:rPr>
          <w:sz w:val="20"/>
        </w:rPr>
        <w:t>Overall renal response (ORR: complete or partial); time to first CRR; uPCR change from baseline; renal flare rate; sustained CRR (Weeks 36–52)</w:t>
      </w:r>
    </w:p>
    <w:p>
      <w:r>
        <w:rPr>
          <w:b/>
          <w:sz w:val="20"/>
        </w:rPr>
        <w:t xml:space="preserve">Publication: </w:t>
      </w:r>
      <w:r>
        <w:rPr>
          <w:sz w:val="20"/>
        </w:rPr>
        <w:t>Chen et al. Lancet 2026; 407(10335): 891–904</w:t>
      </w:r>
    </w:p>
    <w:p/>
    <w:p>
      <w:r>
        <w:rPr>
          <w:b/>
          <w:i w:val="0"/>
          <w:color w:val="363B3B"/>
          <w:sz w:val="20"/>
        </w:rPr>
        <w:t>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AXURA + SoC (n=177)</w:t>
            </w:r>
          </w:p>
        </w:tc>
        <w:tc>
          <w:tcPr>
            <w:tcW w:type="dxa" w:w="2268"/>
            <w:shd w:fill="830051"/>
          </w:tcPr>
          <w:p>
            <w:r/>
            <w:r>
              <w:rPr>
                <w:b/>
                <w:color w:val="FFFFFF"/>
                <w:sz w:val="18"/>
              </w:rPr>
              <w:t>Placebo + SoC (n=177)</w:t>
            </w:r>
          </w:p>
        </w:tc>
        <w:tc>
          <w:tcPr>
            <w:tcW w:type="dxa" w:w="2268"/>
            <w:shd w:fill="830051"/>
          </w:tcPr>
          <w:p>
            <w:r/>
            <w:r>
              <w:rPr>
                <w:b/>
                <w:color w:val="FFFFFF"/>
                <w:sz w:val="18"/>
              </w:rPr>
              <w:t>Treatment effect</w:t>
            </w:r>
          </w:p>
        </w:tc>
      </w:tr>
      <w:tr>
        <w:tc>
          <w:tcPr>
            <w:tcW w:type="dxa" w:w="2268"/>
          </w:tcPr>
          <w:p>
            <w:r/>
            <w:r>
              <w:rPr>
                <w:color w:val="363B3B"/>
                <w:sz w:val="18"/>
              </w:rPr>
              <w:t>CRR at Week 52 (primary)</w:t>
            </w:r>
          </w:p>
        </w:tc>
        <w:tc>
          <w:tcPr>
            <w:tcW w:type="dxa" w:w="2268"/>
          </w:tcPr>
          <w:p>
            <w:r/>
            <w:r>
              <w:rPr>
                <w:color w:val="363B3B"/>
                <w:sz w:val="18"/>
              </w:rPr>
              <w:t>43.5%</w:t>
            </w:r>
          </w:p>
        </w:tc>
        <w:tc>
          <w:tcPr>
            <w:tcW w:type="dxa" w:w="2268"/>
          </w:tcPr>
          <w:p>
            <w:r/>
            <w:r>
              <w:rPr>
                <w:color w:val="363B3B"/>
                <w:sz w:val="18"/>
              </w:rPr>
              <w:t>22.0%</w:t>
            </w:r>
          </w:p>
        </w:tc>
        <w:tc>
          <w:tcPr>
            <w:tcW w:type="dxa" w:w="2268"/>
          </w:tcPr>
          <w:p>
            <w:r/>
            <w:r>
              <w:rPr>
                <w:color w:val="363B3B"/>
                <w:sz w:val="18"/>
              </w:rPr>
              <w:t>Δ 21.5% (12.3–30.7); P&lt;0.001</w:t>
            </w:r>
          </w:p>
        </w:tc>
      </w:tr>
      <w:tr>
        <w:tc>
          <w:tcPr>
            <w:tcW w:type="dxa" w:w="2268"/>
            <w:shd w:fill="F8F8F8"/>
          </w:tcPr>
          <w:p>
            <w:r/>
            <w:r>
              <w:rPr>
                <w:color w:val="363B3B"/>
                <w:sz w:val="18"/>
              </w:rPr>
              <w:t>Overall renal response at Week 52</w:t>
            </w:r>
          </w:p>
        </w:tc>
        <w:tc>
          <w:tcPr>
            <w:tcW w:type="dxa" w:w="2268"/>
            <w:shd w:fill="F8F8F8"/>
          </w:tcPr>
          <w:p>
            <w:r/>
            <w:r>
              <w:rPr>
                <w:color w:val="363B3B"/>
                <w:sz w:val="18"/>
              </w:rPr>
              <w:t>71.2%</w:t>
            </w:r>
          </w:p>
        </w:tc>
        <w:tc>
          <w:tcPr>
            <w:tcW w:type="dxa" w:w="2268"/>
            <w:shd w:fill="F8F8F8"/>
          </w:tcPr>
          <w:p>
            <w:r/>
            <w:r>
              <w:rPr>
                <w:color w:val="363B3B"/>
                <w:sz w:val="18"/>
              </w:rPr>
              <w:t>49.2%</w:t>
            </w:r>
          </w:p>
        </w:tc>
        <w:tc>
          <w:tcPr>
            <w:tcW w:type="dxa" w:w="2268"/>
            <w:shd w:fill="F8F8F8"/>
          </w:tcPr>
          <w:p>
            <w:r/>
            <w:r>
              <w:rPr>
                <w:color w:val="363B3B"/>
                <w:sz w:val="18"/>
              </w:rPr>
              <w:t>Δ 22.0% (12.4–31.6); P&lt;0.001</w:t>
            </w:r>
          </w:p>
        </w:tc>
      </w:tr>
      <w:tr>
        <w:tc>
          <w:tcPr>
            <w:tcW w:type="dxa" w:w="2268"/>
          </w:tcPr>
          <w:p>
            <w:r/>
            <w:r>
              <w:rPr>
                <w:color w:val="363B3B"/>
                <w:sz w:val="18"/>
              </w:rPr>
              <w:t>Sustained CRR (Weeks 36–52)</w:t>
            </w:r>
          </w:p>
        </w:tc>
        <w:tc>
          <w:tcPr>
            <w:tcW w:type="dxa" w:w="2268"/>
          </w:tcPr>
          <w:p>
            <w:r/>
            <w:r>
              <w:rPr>
                <w:color w:val="363B3B"/>
                <w:sz w:val="18"/>
              </w:rPr>
              <w:t>34.5%</w:t>
            </w:r>
          </w:p>
        </w:tc>
        <w:tc>
          <w:tcPr>
            <w:tcW w:type="dxa" w:w="2268"/>
          </w:tcPr>
          <w:p>
            <w:r/>
            <w:r>
              <w:rPr>
                <w:color w:val="363B3B"/>
                <w:sz w:val="18"/>
              </w:rPr>
              <w:t>14.7%</w:t>
            </w:r>
          </w:p>
        </w:tc>
        <w:tc>
          <w:tcPr>
            <w:tcW w:type="dxa" w:w="2268"/>
          </w:tcPr>
          <w:p>
            <w:r/>
            <w:r>
              <w:rPr>
                <w:color w:val="363B3B"/>
                <w:sz w:val="18"/>
              </w:rPr>
              <w:t>Δ 19.8% (11.2–28.4); P&lt;0.001</w:t>
            </w:r>
          </w:p>
        </w:tc>
      </w:tr>
      <w:tr>
        <w:tc>
          <w:tcPr>
            <w:tcW w:type="dxa" w:w="2268"/>
            <w:shd w:fill="F8F8F8"/>
          </w:tcPr>
          <w:p>
            <w:r/>
            <w:r>
              <w:rPr>
                <w:color w:val="363B3B"/>
                <w:sz w:val="18"/>
              </w:rPr>
              <w:t>Median time to first CRR</w:t>
            </w:r>
          </w:p>
        </w:tc>
        <w:tc>
          <w:tcPr>
            <w:tcW w:type="dxa" w:w="2268"/>
            <w:shd w:fill="F8F8F8"/>
          </w:tcPr>
          <w:p>
            <w:r/>
            <w:r>
              <w:rPr>
                <w:color w:val="363B3B"/>
                <w:sz w:val="18"/>
              </w:rPr>
              <w:t>24 weeks</w:t>
            </w:r>
          </w:p>
        </w:tc>
        <w:tc>
          <w:tcPr>
            <w:tcW w:type="dxa" w:w="2268"/>
            <w:shd w:fill="F8F8F8"/>
          </w:tcPr>
          <w:p>
            <w:r/>
            <w:r>
              <w:rPr>
                <w:color w:val="363B3B"/>
                <w:sz w:val="18"/>
              </w:rPr>
              <w:t>Not reached</w:t>
            </w:r>
          </w:p>
        </w:tc>
        <w:tc>
          <w:tcPr>
            <w:tcW w:type="dxa" w:w="2268"/>
            <w:shd w:fill="F8F8F8"/>
          </w:tcPr>
          <w:p>
            <w:r/>
            <w:r>
              <w:rPr>
                <w:color w:val="363B3B"/>
                <w:sz w:val="18"/>
              </w:rPr>
              <w:t>HR 2.14 (1.52–3.01); P&lt;0.001</w:t>
            </w:r>
          </w:p>
        </w:tc>
      </w:tr>
      <w:tr>
        <w:tc>
          <w:tcPr>
            <w:tcW w:type="dxa" w:w="2268"/>
          </w:tcPr>
          <w:p>
            <w:r/>
            <w:r>
              <w:rPr>
                <w:color w:val="363B3B"/>
                <w:sz w:val="18"/>
              </w:rPr>
              <w:t>Renal flare through Week 52</w:t>
            </w:r>
          </w:p>
        </w:tc>
        <w:tc>
          <w:tcPr>
            <w:tcW w:type="dxa" w:w="2268"/>
          </w:tcPr>
          <w:p>
            <w:r/>
            <w:r>
              <w:rPr>
                <w:color w:val="363B3B"/>
                <w:sz w:val="18"/>
              </w:rPr>
              <w:t>5.6%</w:t>
            </w:r>
          </w:p>
        </w:tc>
        <w:tc>
          <w:tcPr>
            <w:tcW w:type="dxa" w:w="2268"/>
          </w:tcPr>
          <w:p>
            <w:r/>
            <w:r>
              <w:rPr>
                <w:color w:val="363B3B"/>
                <w:sz w:val="18"/>
              </w:rPr>
              <w:t>16.9%</w:t>
            </w:r>
          </w:p>
        </w:tc>
        <w:tc>
          <w:tcPr>
            <w:tcW w:type="dxa" w:w="2268"/>
          </w:tcPr>
          <w:p>
            <w:r/>
            <w:r>
              <w:rPr>
                <w:color w:val="363B3B"/>
                <w:sz w:val="18"/>
              </w:rPr>
              <w:t>HR 0.31 (0.15–0.64); P=0.001</w:t>
            </w:r>
          </w:p>
        </w:tc>
      </w:tr>
      <w:tr>
        <w:tc>
          <w:tcPr>
            <w:tcW w:type="dxa" w:w="2268"/>
            <w:shd w:fill="F8F8F8"/>
          </w:tcPr>
          <w:p>
            <w:r/>
            <w:r>
              <w:rPr>
                <w:color w:val="363B3B"/>
                <w:sz w:val="18"/>
              </w:rPr>
              <w:t>uPCR change at Week 52</w:t>
            </w:r>
          </w:p>
        </w:tc>
        <w:tc>
          <w:tcPr>
            <w:tcW w:type="dxa" w:w="2268"/>
            <w:shd w:fill="F8F8F8"/>
          </w:tcPr>
          <w:p>
            <w:r/>
            <w:r>
              <w:rPr>
                <w:color w:val="363B3B"/>
                <w:sz w:val="18"/>
              </w:rPr>
              <w:t>−71.4%</w:t>
            </w:r>
          </w:p>
        </w:tc>
        <w:tc>
          <w:tcPr>
            <w:tcW w:type="dxa" w:w="2268"/>
            <w:shd w:fill="F8F8F8"/>
          </w:tcPr>
          <w:p>
            <w:r/>
            <w:r>
              <w:rPr>
                <w:color w:val="363B3B"/>
                <w:sz w:val="18"/>
              </w:rPr>
              <w:t>−38.2%</w:t>
            </w:r>
          </w:p>
        </w:tc>
        <w:tc>
          <w:tcPr>
            <w:tcW w:type="dxa" w:w="2268"/>
            <w:shd w:fill="F8F8F8"/>
          </w:tcPr>
          <w:p>
            <w:r/>
            <w:r>
              <w:rPr>
                <w:color w:val="363B3B"/>
                <w:sz w:val="18"/>
              </w:rPr>
              <w:t>P&lt;0.001</w:t>
            </w:r>
          </w:p>
        </w:tc>
      </w:tr>
    </w:tbl>
    <w:p>
      <w:pPr>
        <w:jc w:val="center"/>
      </w:pPr>
      <w:r>
        <w:rPr>
          <w:color w:val="CCCCCC"/>
          <w:sz w:val="16"/>
        </w:rPr>
        <w:t>────────────────────────────────────────────────────────────</w:t>
      </w:r>
    </w:p>
    <w:p>
      <w:pPr>
        <w:pStyle w:val="Heading1"/>
      </w:pPr>
      <w:r>
        <w:rPr>
          <w:color w:val="830051"/>
        </w:rPr>
        <w:t>4. Safety Profile (Pooled AURORA data, N=561 AXURA)</w:t>
      </w:r>
    </w:p>
    <w:p>
      <w:pPr>
        <w:pStyle w:val="Heading2"/>
      </w:pPr>
      <w:r>
        <w:rPr>
          <w:color w:val="830051"/>
        </w:rPr>
        <w:t>Most common adverse events (≥5%)</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Adverse event</w:t>
            </w:r>
          </w:p>
        </w:tc>
        <w:tc>
          <w:tcPr>
            <w:tcW w:type="dxa" w:w="3024"/>
            <w:shd w:fill="830051"/>
          </w:tcPr>
          <w:p>
            <w:r/>
            <w:r>
              <w:rPr>
                <w:b/>
                <w:color w:val="FFFFFF"/>
                <w:sz w:val="18"/>
              </w:rPr>
              <w:t>AXURA (%)</w:t>
            </w:r>
          </w:p>
        </w:tc>
        <w:tc>
          <w:tcPr>
            <w:tcW w:type="dxa" w:w="3024"/>
            <w:shd w:fill="830051"/>
          </w:tcPr>
          <w:p>
            <w:r/>
            <w:r>
              <w:rPr>
                <w:b/>
                <w:color w:val="FFFFFF"/>
                <w:sz w:val="18"/>
              </w:rPr>
              <w:t>Placebo (%)</w:t>
            </w:r>
          </w:p>
        </w:tc>
      </w:tr>
      <w:tr>
        <w:tc>
          <w:tcPr>
            <w:tcW w:type="dxa" w:w="3024"/>
          </w:tcPr>
          <w:p>
            <w:r/>
            <w:r>
              <w:rPr>
                <w:color w:val="363B3B"/>
                <w:sz w:val="18"/>
              </w:rPr>
              <w:t>Upper respiratory tract infection</w:t>
            </w:r>
          </w:p>
        </w:tc>
        <w:tc>
          <w:tcPr>
            <w:tcW w:type="dxa" w:w="3024"/>
          </w:tcPr>
          <w:p>
            <w:r/>
            <w:r>
              <w:rPr>
                <w:color w:val="363B3B"/>
                <w:sz w:val="18"/>
              </w:rPr>
              <w:t>18.4</w:t>
            </w:r>
          </w:p>
        </w:tc>
        <w:tc>
          <w:tcPr>
            <w:tcW w:type="dxa" w:w="3024"/>
          </w:tcPr>
          <w:p>
            <w:r/>
            <w:r>
              <w:rPr>
                <w:color w:val="363B3B"/>
                <w:sz w:val="18"/>
              </w:rPr>
              <w:t>16.2</w:t>
            </w:r>
          </w:p>
        </w:tc>
      </w:tr>
      <w:tr>
        <w:tc>
          <w:tcPr>
            <w:tcW w:type="dxa" w:w="3024"/>
            <w:shd w:fill="F8F8F8"/>
          </w:tcPr>
          <w:p>
            <w:r/>
            <w:r>
              <w:rPr>
                <w:color w:val="363B3B"/>
                <w:sz w:val="18"/>
              </w:rPr>
              <w:t>Injection site reactions</w:t>
            </w:r>
          </w:p>
        </w:tc>
        <w:tc>
          <w:tcPr>
            <w:tcW w:type="dxa" w:w="3024"/>
            <w:shd w:fill="F8F8F8"/>
          </w:tcPr>
          <w:p>
            <w:r/>
            <w:r>
              <w:rPr>
                <w:color w:val="363B3B"/>
                <w:sz w:val="18"/>
              </w:rPr>
              <w:t>14.8</w:t>
            </w:r>
          </w:p>
        </w:tc>
        <w:tc>
          <w:tcPr>
            <w:tcW w:type="dxa" w:w="3024"/>
            <w:shd w:fill="F8F8F8"/>
          </w:tcPr>
          <w:p>
            <w:r/>
            <w:r>
              <w:rPr>
                <w:color w:val="363B3B"/>
                <w:sz w:val="18"/>
              </w:rPr>
              <w:t>3.6</w:t>
            </w:r>
          </w:p>
        </w:tc>
      </w:tr>
      <w:tr>
        <w:tc>
          <w:tcPr>
            <w:tcW w:type="dxa" w:w="3024"/>
          </w:tcPr>
          <w:p>
            <w:r/>
            <w:r>
              <w:rPr>
                <w:color w:val="363B3B"/>
                <w:sz w:val="18"/>
              </w:rPr>
              <w:t>Urinary tract infection</w:t>
            </w:r>
          </w:p>
        </w:tc>
        <w:tc>
          <w:tcPr>
            <w:tcW w:type="dxa" w:w="3024"/>
          </w:tcPr>
          <w:p>
            <w:r/>
            <w:r>
              <w:rPr>
                <w:color w:val="363B3B"/>
                <w:sz w:val="18"/>
              </w:rPr>
              <w:t>11.2</w:t>
            </w:r>
          </w:p>
        </w:tc>
        <w:tc>
          <w:tcPr>
            <w:tcW w:type="dxa" w:w="3024"/>
          </w:tcPr>
          <w:p>
            <w:r/>
            <w:r>
              <w:rPr>
                <w:color w:val="363B3B"/>
                <w:sz w:val="18"/>
              </w:rPr>
              <w:t>9.8</w:t>
            </w:r>
          </w:p>
        </w:tc>
      </w:tr>
      <w:tr>
        <w:tc>
          <w:tcPr>
            <w:tcW w:type="dxa" w:w="3024"/>
            <w:shd w:fill="F8F8F8"/>
          </w:tcPr>
          <w:p>
            <w:r/>
            <w:r>
              <w:rPr>
                <w:color w:val="363B3B"/>
                <w:sz w:val="18"/>
              </w:rPr>
              <w:t>Nasopharyngitis</w:t>
            </w:r>
          </w:p>
        </w:tc>
        <w:tc>
          <w:tcPr>
            <w:tcW w:type="dxa" w:w="3024"/>
            <w:shd w:fill="F8F8F8"/>
          </w:tcPr>
          <w:p>
            <w:r/>
            <w:r>
              <w:rPr>
                <w:color w:val="363B3B"/>
                <w:sz w:val="18"/>
              </w:rPr>
              <w:t>10.6</w:t>
            </w:r>
          </w:p>
        </w:tc>
        <w:tc>
          <w:tcPr>
            <w:tcW w:type="dxa" w:w="3024"/>
            <w:shd w:fill="F8F8F8"/>
          </w:tcPr>
          <w:p>
            <w:r/>
            <w:r>
              <w:rPr>
                <w:color w:val="363B3B"/>
                <w:sz w:val="18"/>
              </w:rPr>
              <w:t>9.4</w:t>
            </w:r>
          </w:p>
        </w:tc>
      </w:tr>
      <w:tr>
        <w:tc>
          <w:tcPr>
            <w:tcW w:type="dxa" w:w="3024"/>
          </w:tcPr>
          <w:p>
            <w:r/>
            <w:r>
              <w:rPr>
                <w:color w:val="363B3B"/>
                <w:sz w:val="18"/>
              </w:rPr>
              <w:t>Headache</w:t>
            </w:r>
          </w:p>
        </w:tc>
        <w:tc>
          <w:tcPr>
            <w:tcW w:type="dxa" w:w="3024"/>
          </w:tcPr>
          <w:p>
            <w:r/>
            <w:r>
              <w:rPr>
                <w:color w:val="363B3B"/>
                <w:sz w:val="18"/>
              </w:rPr>
              <w:t>8.4</w:t>
            </w:r>
          </w:p>
        </w:tc>
        <w:tc>
          <w:tcPr>
            <w:tcW w:type="dxa" w:w="3024"/>
          </w:tcPr>
          <w:p>
            <w:r/>
            <w:r>
              <w:rPr>
                <w:color w:val="363B3B"/>
                <w:sz w:val="18"/>
              </w:rPr>
              <w:t>7.1</w:t>
            </w:r>
          </w:p>
        </w:tc>
      </w:tr>
      <w:tr>
        <w:tc>
          <w:tcPr>
            <w:tcW w:type="dxa" w:w="3024"/>
            <w:shd w:fill="F8F8F8"/>
          </w:tcPr>
          <w:p>
            <w:r/>
            <w:r>
              <w:rPr>
                <w:color w:val="363B3B"/>
                <w:sz w:val="18"/>
              </w:rPr>
              <w:t>Diarrhoea</w:t>
            </w:r>
          </w:p>
        </w:tc>
        <w:tc>
          <w:tcPr>
            <w:tcW w:type="dxa" w:w="3024"/>
            <w:shd w:fill="F8F8F8"/>
          </w:tcPr>
          <w:p>
            <w:r/>
            <w:r>
              <w:rPr>
                <w:color w:val="363B3B"/>
                <w:sz w:val="18"/>
              </w:rPr>
              <w:t>7.2</w:t>
            </w:r>
          </w:p>
        </w:tc>
        <w:tc>
          <w:tcPr>
            <w:tcW w:type="dxa" w:w="3024"/>
            <w:shd w:fill="F8F8F8"/>
          </w:tcPr>
          <w:p>
            <w:r/>
            <w:r>
              <w:rPr>
                <w:color w:val="363B3B"/>
                <w:sz w:val="18"/>
              </w:rPr>
              <w:t>5.8</w:t>
            </w:r>
          </w:p>
        </w:tc>
      </w:tr>
      <w:tr>
        <w:tc>
          <w:tcPr>
            <w:tcW w:type="dxa" w:w="3024"/>
          </w:tcPr>
          <w:p>
            <w:r/>
            <w:r>
              <w:rPr>
                <w:color w:val="363B3B"/>
                <w:sz w:val="18"/>
              </w:rPr>
              <w:t>Herpes zoster</w:t>
            </w:r>
          </w:p>
        </w:tc>
        <w:tc>
          <w:tcPr>
            <w:tcW w:type="dxa" w:w="3024"/>
          </w:tcPr>
          <w:p>
            <w:r/>
            <w:r>
              <w:rPr>
                <w:color w:val="363B3B"/>
                <w:sz w:val="18"/>
              </w:rPr>
              <w:t>6.8</w:t>
            </w:r>
          </w:p>
        </w:tc>
        <w:tc>
          <w:tcPr>
            <w:tcW w:type="dxa" w:w="3024"/>
          </w:tcPr>
          <w:p>
            <w:r/>
            <w:r>
              <w:rPr>
                <w:color w:val="363B3B"/>
                <w:sz w:val="18"/>
              </w:rPr>
              <w:t>2.4</w:t>
            </w:r>
          </w:p>
        </w:tc>
      </w:tr>
      <w:tr>
        <w:tc>
          <w:tcPr>
            <w:tcW w:type="dxa" w:w="3024"/>
            <w:shd w:fill="F8F8F8"/>
          </w:tcPr>
          <w:p>
            <w:r/>
            <w:r>
              <w:rPr>
                <w:color w:val="363B3B"/>
                <w:sz w:val="18"/>
              </w:rPr>
              <w:t>Arthralgia</w:t>
            </w:r>
          </w:p>
        </w:tc>
        <w:tc>
          <w:tcPr>
            <w:tcW w:type="dxa" w:w="3024"/>
            <w:shd w:fill="F8F8F8"/>
          </w:tcPr>
          <w:p>
            <w:r/>
            <w:r>
              <w:rPr>
                <w:color w:val="363B3B"/>
                <w:sz w:val="18"/>
              </w:rPr>
              <w:t>6.1</w:t>
            </w:r>
          </w:p>
        </w:tc>
        <w:tc>
          <w:tcPr>
            <w:tcW w:type="dxa" w:w="3024"/>
            <w:shd w:fill="F8F8F8"/>
          </w:tcPr>
          <w:p>
            <w:r/>
            <w:r>
              <w:rPr>
                <w:color w:val="363B3B"/>
                <w:sz w:val="18"/>
              </w:rPr>
              <w:t>5.4</w:t>
            </w:r>
          </w:p>
        </w:tc>
      </w:tr>
      <w:tr>
        <w:tc>
          <w:tcPr>
            <w:tcW w:type="dxa" w:w="3024"/>
          </w:tcPr>
          <w:p>
            <w:r/>
            <w:r>
              <w:rPr>
                <w:color w:val="363B3B"/>
                <w:sz w:val="18"/>
              </w:rPr>
              <w:t>Nausea</w:t>
            </w:r>
          </w:p>
        </w:tc>
        <w:tc>
          <w:tcPr>
            <w:tcW w:type="dxa" w:w="3024"/>
          </w:tcPr>
          <w:p>
            <w:r/>
            <w:r>
              <w:rPr>
                <w:color w:val="363B3B"/>
                <w:sz w:val="18"/>
              </w:rPr>
              <w:t>5.6</w:t>
            </w:r>
          </w:p>
        </w:tc>
        <w:tc>
          <w:tcPr>
            <w:tcW w:type="dxa" w:w="3024"/>
          </w:tcPr>
          <w:p>
            <w:r/>
            <w:r>
              <w:rPr>
                <w:color w:val="363B3B"/>
                <w:sz w:val="18"/>
              </w:rPr>
              <w:t>4.2</w:t>
            </w:r>
          </w:p>
        </w:tc>
      </w:tr>
      <w:tr>
        <w:tc>
          <w:tcPr>
            <w:tcW w:type="dxa" w:w="3024"/>
            <w:shd w:fill="F8F8F8"/>
          </w:tcPr>
          <w:p>
            <w:r/>
            <w:r>
              <w:rPr>
                <w:color w:val="363B3B"/>
                <w:sz w:val="18"/>
              </w:rPr>
              <w:t>Bronchitis</w:t>
            </w:r>
          </w:p>
        </w:tc>
        <w:tc>
          <w:tcPr>
            <w:tcW w:type="dxa" w:w="3024"/>
            <w:shd w:fill="F8F8F8"/>
          </w:tcPr>
          <w:p>
            <w:r/>
            <w:r>
              <w:rPr>
                <w:color w:val="363B3B"/>
                <w:sz w:val="18"/>
              </w:rPr>
              <w:t>5.4</w:t>
            </w:r>
          </w:p>
        </w:tc>
        <w:tc>
          <w:tcPr>
            <w:tcW w:type="dxa" w:w="3024"/>
            <w:shd w:fill="F8F8F8"/>
          </w:tcPr>
          <w:p>
            <w:r/>
            <w:r>
              <w:rPr>
                <w:color w:val="363B3B"/>
                <w:sz w:val="18"/>
              </w:rPr>
              <w:t>4.1</w:t>
            </w:r>
          </w:p>
        </w:tc>
      </w:tr>
    </w:tbl>
    <w:p/>
    <w:p>
      <w:pPr>
        <w:pStyle w:val="Heading2"/>
      </w:pPr>
      <w:r>
        <w:rPr>
          <w:color w:val="830051"/>
        </w:rPr>
        <w:t>Infections</w:t>
      </w:r>
    </w:p>
    <w:p>
      <w:r>
        <w:rPr>
          <w:b w:val="0"/>
          <w:i w:val="0"/>
          <w:color w:val="363B3B"/>
          <w:sz w:val="20"/>
        </w:rPr>
        <w:t>Overall infections occurred in 52.4% of AXURA-treated patients vs 46.8% placebo. Serious infections occurred in 6.2% vs 5.4%. The most common serious infections were pneumonia (1.4%), urinary tract infection (0.9%), and herpes zoster (0.7%). No opportunistic infections or cases of progressive multifocal leukoencephalopathy (PML) were reported. Herpes zoster was more frequent with AXURA (6.8% vs 2.4%); prophylactic vaccination with recombinant zoster vaccine is recommended before or during treatment where clinically appropriate.³</w:t>
      </w:r>
    </w:p>
    <w:p/>
    <w:p>
      <w:pPr>
        <w:pStyle w:val="Heading2"/>
      </w:pPr>
      <w:r>
        <w:rPr>
          <w:color w:val="830051"/>
        </w:rPr>
        <w:t>Immunoglobulin levels</w:t>
      </w:r>
    </w:p>
    <w:p>
      <w:r>
        <w:rPr>
          <w:b w:val="0"/>
          <w:i w:val="0"/>
          <w:color w:val="363B3B"/>
          <w:sz w:val="20"/>
        </w:rPr>
        <w:t>As CD38 is expressed on immunoglobulin-secreting plasma cells, reductions in serum immunoglobulin levels are expected with axurelimab. IgG levels decreased by a median of 18.4% at Week 52 from baseline. IgG levels below the lower limit of normal (&lt;6.0 g/L) occurred in 12.3% of AXURA-treated patients vs 3.1% placebo. IgG &lt;4.0 g/L occurred in 2.1%. Monitor serum immunoglobulins (IgG, IgA, IgM) before initiation, at Week 12, Week 24, and every 6 months thereafter. Consider withholding treatment if IgG &lt;4.0 g/L with concurrent serious or recurrent infections.³</w:t>
      </w:r>
    </w:p>
    <w:p/>
    <w:p>
      <w:pPr>
        <w:pStyle w:val="Heading2"/>
      </w:pPr>
      <w:r>
        <w:rPr>
          <w:color w:val="830051"/>
        </w:rPr>
        <w:t>Injection site reactions</w:t>
      </w:r>
    </w:p>
    <w:p>
      <w:r>
        <w:rPr>
          <w:b w:val="0"/>
          <w:i w:val="0"/>
          <w:color w:val="363B3B"/>
          <w:sz w:val="20"/>
        </w:rPr>
        <w:t>Injection site reactions (ISRs) occurred in 14.8% of AXURA patients vs 3.6% placebo. Most were mild (grade 1: erythema, pruritus, swelling) and occurred during the loading phase (first 3 doses). No ISRs led to treatment discontinuation. ISR frequency decreased with successive injections: 12.1% at dose 1, 6.4% at dose 2, 3.8% at dose 3, and &lt;2% at subsequent doses.³</w:t>
      </w:r>
    </w:p>
    <w:p/>
    <w:p>
      <w:pPr>
        <w:pStyle w:val="Heading2"/>
      </w:pPr>
      <w:r>
        <w:rPr>
          <w:color w:val="830051"/>
        </w:rPr>
        <w:t>Key safety findings</w:t>
      </w:r>
    </w:p>
    <w:p>
      <w:r>
        <w:rPr>
          <w:b/>
          <w:sz w:val="20"/>
        </w:rPr>
        <w:t xml:space="preserve">Serious adverse events: </w:t>
      </w:r>
      <w:r>
        <w:rPr>
          <w:sz w:val="20"/>
        </w:rPr>
        <w:t>14.1% AXURA vs 13.6% placebo</w:t>
      </w:r>
    </w:p>
    <w:p>
      <w:r>
        <w:rPr>
          <w:b/>
          <w:sz w:val="20"/>
        </w:rPr>
        <w:t xml:space="preserve">Treatment discontinuation due to AEs: </w:t>
      </w:r>
      <w:r>
        <w:rPr>
          <w:sz w:val="20"/>
        </w:rPr>
        <w:t>4.3% vs 3.8%</w:t>
      </w:r>
    </w:p>
    <w:p>
      <w:r>
        <w:rPr>
          <w:b/>
          <w:sz w:val="20"/>
        </w:rPr>
        <w:t xml:space="preserve">All-cause mortality: </w:t>
      </w:r>
      <w:r>
        <w:rPr>
          <w:sz w:val="20"/>
        </w:rPr>
        <w:t>0.4% vs 0.5% (no drug-related deaths)</w:t>
      </w:r>
    </w:p>
    <w:p>
      <w:r>
        <w:rPr>
          <w:b/>
          <w:sz w:val="20"/>
        </w:rPr>
        <w:t xml:space="preserve">Malignancy: </w:t>
      </w:r>
      <w:r>
        <w:rPr>
          <w:sz w:val="20"/>
        </w:rPr>
        <w:t>0.5% vs 0.3% (no signal; all were non-melanoma skin cancer in patients on concomitant immunosuppression)</w:t>
      </w:r>
    </w:p>
    <w:p>
      <w:r>
        <w:rPr>
          <w:b/>
          <w:sz w:val="20"/>
        </w:rPr>
        <w:t xml:space="preserve">Cytopenias: </w:t>
      </w:r>
      <w:r>
        <w:rPr>
          <w:sz w:val="20"/>
        </w:rPr>
        <w:t>Grade ≥3 neutropenia 1.4% vs 0.8%; grade ≥3 thrombocytopenia 0.5% vs 0.3%. Monitor FBC at baseline and periodically³</w:t>
      </w:r>
    </w:p>
    <w:p>
      <w:r>
        <w:rPr>
          <w:b/>
          <w:sz w:val="20"/>
        </w:rPr>
        <w:t xml:space="preserve">Hepatitis B reactivation: </w:t>
      </w:r>
      <w:r>
        <w:rPr>
          <w:sz w:val="20"/>
        </w:rPr>
        <w:t>No cases reported; however, screen for HBV before initiation and do not initiate in active HBV infection³</w:t>
      </w:r>
    </w:p>
    <w:p>
      <w:r>
        <w:rPr>
          <w:b/>
          <w:sz w:val="20"/>
        </w:rPr>
        <w:t xml:space="preserve">Immunogenicity: </w:t>
      </w:r>
      <w:r>
        <w:rPr>
          <w:sz w:val="20"/>
        </w:rPr>
        <w:t>Treatment-emergent ADAs in 3.6%; neutralising antibodies in 0.9%. No clinically meaningful impact on PK, efficacy, or safety³</w:t>
      </w:r>
    </w:p>
    <w:p/>
    <w:p>
      <w:pPr>
        <w:pStyle w:val="Heading2"/>
      </w:pPr>
      <w:r>
        <w:rPr>
          <w:color w:val="830051"/>
        </w:rPr>
        <w:t>Special populations</w:t>
      </w:r>
    </w:p>
    <w:p>
      <w:pPr>
        <w:pStyle w:val="ListBullet"/>
      </w:pPr>
      <w:r>
        <w:rPr>
          <w:b/>
          <w:sz w:val="20"/>
        </w:rPr>
        <w:t>Elderly (≥65 years):</w:t>
      </w:r>
      <w:r>
        <w:rPr>
          <w:sz w:val="20"/>
        </w:rPr>
        <w:t xml:space="preserve"> Limited data (5% of AURORA-1 population). No dose adjustment required. Use with caution given increased baseline infection risk.³</w:t>
      </w:r>
    </w:p>
    <w:p>
      <w:pPr>
        <w:pStyle w:val="ListBullet"/>
      </w:pPr>
      <w:r>
        <w:rPr>
          <w:b/>
          <w:sz w:val="20"/>
        </w:rPr>
        <w:t>Renal impairment:</w:t>
      </w:r>
      <w:r>
        <w:rPr>
          <w:sz w:val="20"/>
        </w:rPr>
        <w:t xml:space="preserve"> No dose adjustment required. AURORA-LN enrolled patients with eGFR ≥30 mL/min/1.73m². Not studied in eGFR &lt;30.³</w:t>
      </w:r>
    </w:p>
    <w:p>
      <w:pPr>
        <w:pStyle w:val="ListBullet"/>
      </w:pPr>
      <w:r>
        <w:rPr>
          <w:b/>
          <w:sz w:val="20"/>
        </w:rPr>
        <w:t>Hepatic impairment:</w:t>
      </w:r>
      <w:r>
        <w:rPr>
          <w:sz w:val="20"/>
        </w:rPr>
        <w:t xml:space="preserve"> Not studied in moderate or severe hepatic impairment. No dose adjustment for mild impairment.³</w:t>
      </w:r>
    </w:p>
    <w:p>
      <w:pPr>
        <w:pStyle w:val="ListBullet"/>
      </w:pPr>
      <w:r>
        <w:rPr>
          <w:b/>
          <w:sz w:val="20"/>
        </w:rPr>
        <w:t>Pregnancy and lactation:</w:t>
      </w:r>
      <w:r>
        <w:rPr>
          <w:sz w:val="20"/>
        </w:rPr>
        <w:t xml:space="preserve"> Axurelimab is a monoclonal antibody and is expected to cross the placental barrier during the second and third trimesters. No adequate data in pregnant women. Women of childbearing potential should use effective contraception during treatment and for 6 months after the last dose. Not recommended during breastfeeding.³</w:t>
      </w:r>
    </w:p>
    <w:p>
      <w:pPr>
        <w:pStyle w:val="ListBullet"/>
      </w:pPr>
      <w:r>
        <w:rPr>
          <w:b/>
          <w:sz w:val="20"/>
        </w:rPr>
        <w:t>Vaccinations:</w:t>
      </w:r>
      <w:r>
        <w:rPr>
          <w:sz w:val="20"/>
        </w:rPr>
        <w:t xml:space="preserve"> Complete all vaccinations, including recombinant zoster vaccine, before initiating axurelimab where possible. Avoid live vaccines during treatment and for 6 months after the last dose.³</w:t>
      </w:r>
    </w:p>
    <w:p>
      <w:pPr>
        <w:jc w:val="center"/>
      </w:pPr>
      <w:r>
        <w:rPr>
          <w:color w:val="CCCCCC"/>
          <w:sz w:val="16"/>
        </w:rPr>
        <w:t>────────────────────────────────────────────────────────────</w:t>
      </w:r>
    </w:p>
    <w:p>
      <w:pPr>
        <w:pStyle w:val="Heading1"/>
      </w:pPr>
      <w:r>
        <w:rPr>
          <w:color w:val="830051"/>
        </w:rPr>
        <w:t>5. Prescribing Information (abbreviated — for every page footer)</w:t>
      </w:r>
    </w:p>
    <w:p>
      <w:r>
        <w:rPr>
          <w:b w:val="0"/>
          <w:i w:val="0"/>
          <w:color w:val="363B3B"/>
          <w:sz w:val="18"/>
        </w:rPr>
        <w:t>AXURA▼ (axurelimab) 300 mg/2 mL solution for subcutaneous injection in pre-filled syringe. Please refer to the Summary of Product Characteristics (SmPC) before prescribing. Indication: Add-on therapy for the treatment of adult patients with active systemic lupus erythematosus (SLE) who are seropositive (anti-dsDNA positive and/or low complement) and have an inadequate response to standard therapy. Also indicated as add-on therapy for active lupus nephritis (Class III, IV, or V) receiving standard immunosuppressive treatment. Dosage and administration: 300 mg SC every 2 weeks for the first 3 doses (loading), then 300 mg SC every 4 weeks (maintenance). Administer into the thigh, abdomen (excluding 5 cm around the navel), or upper arm. Rotate injection sites. Contraindications: Hypersensitivity to axurelimab or excipients; active severe infections; active hepatitis B infection. Warnings and precautions: Infections: Do not initiate during active infections. Screen for TB and HBV before initiation. Vaccinate against herpes zoster where possible. Immunoglobulins: Monitor IgG, IgA, IgM before initiation and regularly during treatment. Consider withholding if IgG &lt;4.0 g/L with recurrent serious infections. Live vaccines: Avoid during treatment and for 6 months after last dose. Side effects: Very common (≥1/10): upper respiratory tract infection, injection site reactions, UTI, nasopharyngitis. Common (≥1/100 to &lt;1/10): herpes zoster, headache, diarrhoea, nausea, arthralgia, bronchitis, IgG decrease. Legal category: POM. Pack and price: 1 pre-filled syringe (300 mg): £872.00. Marketing authorisation holder: AstraZeneca UK Ltd. MA number: PLGB 17901/0741. Full prescribing information available from: AstraZeneca UK Ltd, 2 Pancras Square, London N1C 4AG. GB-12091 | DOP: March 2026.</w:t>
      </w:r>
    </w:p>
    <w:p>
      <w:pPr>
        <w:jc w:val="center"/>
      </w:pPr>
      <w:r>
        <w:rPr>
          <w:color w:val="CCCCCC"/>
          <w:sz w:val="16"/>
        </w:rPr>
        <w:t>────────────────────────────────────────────────────────────</w:t>
      </w:r>
    </w:p>
    <w:p>
      <w:pPr>
        <w:pStyle w:val="Heading1"/>
      </w:pPr>
      <w:r>
        <w:rPr>
          <w:color w:val="830051"/>
        </w:rPr>
        <w:t>6. Adverse Event Reporting (for every page footer)</w:t>
      </w:r>
    </w:p>
    <w:p>
      <w:r>
        <w:rPr>
          <w:b w:val="0"/>
          <w:i w:val="0"/>
          <w:color w:val="363B3B"/>
          <w:sz w:val="20"/>
        </w:rPr>
        <w:t>Adverse events should be reported. Reporting forms and information can be found at www.mhra.gov.uk/yellowcard or search for MHRA Yellow Card in the Google Play or Apple App Store. Adverse events should also be reported to AstraZeneca by visiting contactazmedical.astrazeneca.com or by calling 0800 783 0033.</w:t>
      </w:r>
    </w:p>
    <w:p>
      <w:pPr>
        <w:jc w:val="center"/>
      </w:pPr>
      <w:r>
        <w:rPr>
          <w:color w:val="CCCCCC"/>
          <w:sz w:val="16"/>
        </w:rPr>
        <w:t>────────────────────────────────────────────────────────────</w:t>
      </w:r>
    </w:p>
    <w:p>
      <w:pPr>
        <w:pStyle w:val="Heading1"/>
      </w:pPr>
      <w:r>
        <w:rPr>
          <w:color w:val="830051"/>
        </w:rPr>
        <w:t>7. References (for every page footer)</w:t>
      </w:r>
    </w:p>
    <w:p>
      <w:r>
        <w:rPr>
          <w:i/>
          <w:sz w:val="20"/>
        </w:rPr>
        <w:t>1.  Rodriguez-Pintó et al. N Engl J Med 2025; 393(18): 1698–1711.</w:t>
      </w:r>
    </w:p>
    <w:p>
      <w:r>
        <w:rPr>
          <w:i/>
          <w:sz w:val="20"/>
        </w:rPr>
        <w:t>2.  Chen et al. Lancet 2026; 407(10335): 891–904.</w:t>
      </w:r>
    </w:p>
    <w:p>
      <w:r>
        <w:rPr>
          <w:i/>
          <w:sz w:val="20"/>
        </w:rPr>
        <w:t>3.  AXURA (axurelimab) Summary of Product Characteristics. AstraZeneca UK Ltd. February 2026.</w:t>
      </w:r>
    </w:p>
    <w:p>
      <w:r>
        <w:rPr>
          <w:i/>
          <w:sz w:val="20"/>
        </w:rPr>
        <w:t>4.  Ostendorf L, et al. Ann Rheum Dis 2023; 82(9): 1162–1170.</w:t>
      </w:r>
    </w:p>
    <w:p>
      <w:r>
        <w:rPr>
          <w:i/>
          <w:sz w:val="20"/>
        </w:rPr>
        <w:t>5.  Alexander T, et al. N Engl J Med 2023; 388(15): 1385–1395.</w:t>
      </w:r>
    </w:p>
    <w:p>
      <w:pPr>
        <w:jc w:val="center"/>
      </w:pPr>
      <w:r>
        <w:rPr>
          <w:color w:val="CCCCCC"/>
          <w:sz w:val="16"/>
        </w:rPr>
        <w:t>────────────────────────────────────────────────────────────</w:t>
      </w:r>
    </w:p>
    <w:p>
      <w:pPr>
        <w:pStyle w:val="Heading1"/>
      </w:pPr>
      <w:r>
        <w:rPr>
          <w:color w:val="830051"/>
        </w:rPr>
        <w:t>8. Site Navigation</w:t>
      </w:r>
    </w:p>
    <w:p>
      <w:r>
        <w:rPr>
          <w:b/>
          <w:sz w:val="20"/>
        </w:rPr>
        <w:t xml:space="preserve">Top bar links: </w:t>
      </w:r>
      <w:r>
        <w:rPr>
          <w:sz w:val="20"/>
        </w:rPr>
        <w:t>Contact Us (https://www.astrazeneca.co.uk/contact-us.html) | AZ Employee Login (https://login.astrazeneca.com)</w:t>
      </w:r>
    </w:p>
    <w:p>
      <w:r>
        <w:rPr>
          <w:b/>
          <w:sz w:val="20"/>
        </w:rPr>
        <w:t xml:space="preserve">Main navigation pages: </w:t>
      </w:r>
      <w:r>
        <w:rPr>
          <w:sz w:val="20"/>
        </w:rPr>
        <w:t>AURORA Data | Living with Lupus | Safety &amp; Monitoring | How AXURA Works | HCP Resources</w:t>
      </w:r>
    </w:p>
    <w:p>
      <w:r>
        <w:rPr>
          <w:b/>
          <w:sz w:val="20"/>
        </w:rPr>
        <w:t xml:space="preserve">Utility: </w:t>
      </w:r>
      <w:r>
        <w:rPr>
          <w:sz w:val="20"/>
        </w:rPr>
        <w:t>Search | Login</w:t>
      </w:r>
    </w:p>
    <w:p>
      <w:r>
        <w:br w:type="page"/>
      </w:r>
    </w:p>
    <w:p>
      <w:pPr>
        <w:pStyle w:val="Heading1"/>
      </w:pPr>
      <w:r>
        <w:rPr>
          <w:color w:val="830051"/>
        </w:rPr>
        <w:t>9. Page Content</w:t>
      </w:r>
    </w:p>
    <w:p>
      <w:r>
        <w:rPr>
          <w:b/>
          <w:color w:val="CC0000"/>
          <w:sz w:val="20"/>
        </w:rPr>
        <w:t>IMPORTANT: All copy below is final and MLR-approved. It must be used exactly as written — do not modify, rephrase, or abbreviate any text. All superscript reference numbers, statistical values, and regulatory language must be reproduced verbatim.</w:t>
      </w:r>
    </w:p>
    <w:p>
      <w:r>
        <w:rPr>
          <w:b/>
          <w:color w:val="CC0000"/>
          <w:sz w:val="20"/>
        </w:rPr>
        <w:t>Each page must end with expandable sections for Prescribing Information, Adverse Event Reporting, and References (see sections 5, 6, and 7 above).</w:t>
      </w:r>
    </w:p>
    <w:p>
      <w:r>
        <w:rPr>
          <w:b/>
          <w:color w:val="CC0000"/>
          <w:sz w:val="20"/>
        </w:rPr>
        <w:t>AXURA brand rule: AXURA always appears in capitals, with ®▼ on first mention per page. Generic name (axurelimab) in lowercase parentheses on first mention. Black triangle (▼) mandatory on every first mention. Tagline "Reclaim your days." verbatim only.</w:t>
      </w:r>
    </w:p>
    <w:p>
      <w:pPr>
        <w:jc w:val="center"/>
      </w:pPr>
      <w:r>
        <w:rPr>
          <w:color w:val="CCCCCC"/>
          <w:sz w:val="16"/>
        </w:rPr>
        <w:t>────────────────────────────────────────────────────────────</w:t>
      </w:r>
    </w:p>
    <w:p>
      <w:r>
        <w:br w:type="page"/>
      </w:r>
    </w:p>
    <w:p>
      <w:pPr>
        <w:pStyle w:val="Heading2"/>
      </w:pPr>
      <w:r>
        <w:rPr>
          <w:color w:val="830051"/>
        </w:rPr>
        <w:t>PAGE 1: Home</w:t>
      </w:r>
    </w:p>
    <w:p>
      <w:r>
        <w:rPr>
          <w:b/>
          <w:sz w:val="20"/>
        </w:rPr>
        <w:t xml:space="preserve">URL path: </w:t>
      </w:r>
      <w:r>
        <w:rPr>
          <w:sz w:val="20"/>
        </w:rPr>
        <w:t>/axura/</w:t>
      </w:r>
    </w:p>
    <w:p>
      <w:pPr>
        <w:jc w:val="center"/>
      </w:pPr>
      <w:r>
        <w:rPr>
          <w:color w:val="CCCCCC"/>
          <w:sz w:val="16"/>
        </w:rPr>
        <w:t>────────────────────────────────────────────────────────────</w:t>
      </w:r>
    </w:p>
    <w:p>
      <w:pPr>
        <w:pStyle w:val="Heading3"/>
      </w:pPr>
      <w:r>
        <w:rPr>
          <w:color w:val="006D6F"/>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1" name="Picture 1"/>
            <wp:cNvGraphicFramePr>
              <a:graphicFrameLocks noChangeAspect="1"/>
            </wp:cNvGraphicFramePr>
            <a:graphic>
              <a:graphicData uri="http://schemas.openxmlformats.org/drawingml/2006/picture">
                <pic:pic>
                  <pic:nvPicPr>
                    <pic:cNvPr id="0" name="hero-home.jpeg"/>
                    <pic:cNvPicPr/>
                  </pic:nvPicPr>
                  <pic:blipFill>
                    <a:blip r:embed="rId9"/>
                    <a:stretch>
                      <a:fillRect/>
                    </a:stretch>
                  </pic:blipFill>
                  <pic:spPr>
                    <a:xfrm>
                      <a:off x="0" y="0"/>
                      <a:ext cx="5029200" cy="2806995"/>
                    </a:xfrm>
                    <a:prstGeom prst="rect"/>
                  </pic:spPr>
                </pic:pic>
              </a:graphicData>
            </a:graphic>
          </wp:inline>
        </w:drawing>
      </w:r>
    </w:p>
    <w:p>
      <w:pPr>
        <w:jc w:val="center"/>
      </w:pPr>
      <w:r>
        <w:rPr>
          <w:color w:val="005599"/>
          <w:sz w:val="16"/>
          <w:u w:val="single"/>
        </w:rPr>
        <w:t>https://velox-images.pages.dev/hero-home.jpeg</w:t>
      </w:r>
    </w:p>
    <w:p>
      <w:pPr>
        <w:jc w:val="center"/>
      </w:pPr>
      <w:r>
        <w:rPr>
          <w:i/>
          <w:color w:val="666666"/>
          <w:sz w:val="16"/>
        </w:rPr>
        <w:t>Usage: Home — hero</w:t>
      </w:r>
    </w:p>
    <w:p>
      <w:r>
        <w:rPr>
          <w:b/>
          <w:sz w:val="20"/>
        </w:rPr>
        <w:t xml:space="preserve">Heading: </w:t>
      </w:r>
      <w:r>
        <w:rPr>
          <w:sz w:val="20"/>
        </w:rPr>
        <w:t>AXURA®▼ (axurelimab)</w:t>
      </w:r>
    </w:p>
    <w:p>
      <w:r>
        <w:rPr>
          <w:b/>
        </w:rPr>
        <w:t xml:space="preserve">Body text: </w:t>
      </w:r>
      <w:r>
        <w:t>The first anti-CD38 therapy for systemic lupus erythematosus. Targeting the source of pathogenic autoantibodies for rapid, sustained disease control. Reclaim your days.¹</w:t>
      </w:r>
    </w:p>
    <w:p>
      <w:r>
        <w:rPr>
          <w:b/>
          <w:sz w:val="20"/>
        </w:rPr>
        <w:t xml:space="preserve">Call to action: </w:t>
      </w:r>
      <w:r>
        <w:rPr>
          <w:sz w:val="20"/>
        </w:rPr>
        <w:t>Explore the AURORA data → /axura/aurora-data</w:t>
      </w:r>
    </w:p>
    <w:p>
      <w:pPr>
        <w:jc w:val="center"/>
      </w:pPr>
      <w:r>
        <w:rPr>
          <w:color w:val="CCCCCC"/>
          <w:sz w:val="16"/>
        </w:rPr>
        <w:t>────────────────────────────────────────────────────────────</w:t>
      </w:r>
    </w:p>
    <w:p>
      <w:pPr>
        <w:pStyle w:val="Heading3"/>
      </w:pPr>
      <w:r>
        <w:rPr>
          <w:color w:val="006D6F"/>
        </w:rPr>
        <w:t>Section 2 — Three key benefit cards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2" name="Picture 2"/>
            <wp:cNvGraphicFramePr>
              <a:graphicFrameLocks noChangeAspect="1"/>
            </wp:cNvGraphicFramePr>
            <a:graphic>
              <a:graphicData uri="http://schemas.openxmlformats.org/drawingml/2006/picture">
                <pic:pic>
                  <pic:nvPicPr>
                    <pic:cNvPr id="0" name="card-stroke.jpeg"/>
                    <pic:cNvPicPr/>
                  </pic:nvPicPr>
                  <pic:blipFill>
                    <a:blip r:embed="rId10"/>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https://velox-images.pages.dev/card-stroke.jpeg</w:t>
      </w:r>
    </w:p>
    <w:p>
      <w:pPr>
        <w:jc w:val="center"/>
      </w:pPr>
      <w:r>
        <w:rPr>
          <w:i/>
          <w:color w:val="666666"/>
          <w:sz w:val="16"/>
        </w:rPr>
        <w:t>Usage: Home — SRI-4 response card</w:t>
      </w:r>
    </w:p>
    <w:p>
      <w:r>
        <w:rPr>
          <w:b/>
          <w:sz w:val="20"/>
        </w:rPr>
        <w:t xml:space="preserve">Card heading: </w:t>
      </w:r>
      <w:r>
        <w:rPr>
          <w:sz w:val="20"/>
        </w:rPr>
        <w:t>62% SRI-4 response at one year</w:t>
      </w:r>
    </w:p>
    <w:p>
      <w:r>
        <w:rPr>
          <w:b/>
        </w:rPr>
        <w:t xml:space="preserve">Card body: </w:t>
      </w:r>
      <w:r>
        <w:t>In AURORA-1, 61.7% of patients achieved an SRI-4 response at Week 52 with AXURA versus 35.9% with placebo (Δ 25.8%; P&lt;0.001), demonstrating clinically meaningful disease control across multiple organ domains.¹</w:t>
      </w:r>
    </w:p>
    <w:p>
      <w:r>
        <w:rPr>
          <w:b/>
          <w:sz w:val="20"/>
        </w:rPr>
        <w:t xml:space="preserve">Card link: </w:t>
      </w:r>
      <w:r>
        <w:rPr>
          <w:sz w:val="20"/>
        </w:rPr>
        <w:t>View AURORA data → /axura/aurora-data</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3" name="Picture 3"/>
            <wp:cNvGraphicFramePr>
              <a:graphicFrameLocks noChangeAspect="1"/>
            </wp:cNvGraphicFramePr>
            <a:graphic>
              <a:graphicData uri="http://schemas.openxmlformats.org/drawingml/2006/picture">
                <pic:pic>
                  <pic:nvPicPr>
                    <pic:cNvPr id="0" name="card-bleeding.jpeg"/>
                    <pic:cNvPicPr/>
                  </pic:nvPicPr>
                  <pic:blipFill>
                    <a:blip r:embed="rId11"/>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https://velox-images.pages.dev/card-bleeding.jpeg</w:t>
      </w:r>
    </w:p>
    <w:p>
      <w:pPr>
        <w:jc w:val="center"/>
      </w:pPr>
      <w:r>
        <w:rPr>
          <w:i/>
          <w:color w:val="666666"/>
          <w:sz w:val="16"/>
        </w:rPr>
        <w:t>Usage: Home — flare reduction card</w:t>
      </w:r>
    </w:p>
    <w:p>
      <w:r>
        <w:rPr>
          <w:b/>
          <w:sz w:val="20"/>
        </w:rPr>
        <w:t xml:space="preserve">Card heading: </w:t>
      </w:r>
      <w:r>
        <w:rPr>
          <w:sz w:val="20"/>
        </w:rPr>
        <w:t>62% reduction in severe flares</w:t>
      </w:r>
    </w:p>
    <w:p>
      <w:r>
        <w:rPr>
          <w:b/>
        </w:rPr>
        <w:t xml:space="preserve">Card body: </w:t>
      </w:r>
      <w:r>
        <w:t>AXURA reduced the risk of severe SLE flares (BILAG A) by 62% versus placebo through Week 52 (HR 0.38; P&lt;0.001). Only 8.9% of AXURA-treated patients experienced a severe flare, compared with 21.6% receiving placebo.¹</w:t>
      </w:r>
    </w:p>
    <w:p>
      <w:r>
        <w:rPr>
          <w:b/>
          <w:sz w:val="20"/>
        </w:rPr>
        <w:t xml:space="preserve">Card link: </w:t>
      </w:r>
      <w:r>
        <w:rPr>
          <w:sz w:val="20"/>
        </w:rPr>
        <w:t>Explore flare reduction data → /axura/aurora-data</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4" name="Picture 4"/>
            <wp:cNvGraphicFramePr>
              <a:graphicFrameLocks noChangeAspect="1"/>
            </wp:cNvGraphicFramePr>
            <a:graphic>
              <a:graphicData uri="http://schemas.openxmlformats.org/drawingml/2006/picture">
                <pic:pic>
                  <pic:nvPicPr>
                    <pic:cNvPr id="0" name="card-dosing.jpeg"/>
                    <pic:cNvPicPr/>
                  </pic:nvPicPr>
                  <pic:blipFill>
                    <a:blip r:embed="rId12"/>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https://velox-images.pages.dev/card-dosing.jpeg</w:t>
      </w:r>
    </w:p>
    <w:p>
      <w:pPr>
        <w:jc w:val="center"/>
      </w:pPr>
      <w:r>
        <w:rPr>
          <w:i/>
          <w:color w:val="666666"/>
          <w:sz w:val="16"/>
        </w:rPr>
        <w:t>Usage: Home — subcutaneous dosing card</w:t>
      </w:r>
    </w:p>
    <w:p>
      <w:r>
        <w:rPr>
          <w:b/>
          <w:sz w:val="20"/>
        </w:rPr>
        <w:t xml:space="preserve">Card heading: </w:t>
      </w:r>
      <w:r>
        <w:rPr>
          <w:sz w:val="20"/>
        </w:rPr>
        <w:t>Subcutaneous self-injection every 4 weeks</w:t>
      </w:r>
    </w:p>
    <w:p>
      <w:r>
        <w:rPr>
          <w:b/>
        </w:rPr>
        <w:t xml:space="preserve">Card body: </w:t>
      </w:r>
      <w:r>
        <w:t>After a brief loading phase (3 fortnightly doses), AXURA is administered as a single subcutaneous injection every 4 weeks. Patients can self-inject at home after appropriate training, supporting treatment convenience and autonomy.³</w:t>
      </w:r>
    </w:p>
    <w:p>
      <w:r>
        <w:rPr>
          <w:b/>
          <w:sz w:val="20"/>
        </w:rPr>
        <w:t xml:space="preserve">Card link: </w:t>
      </w:r>
      <w:r>
        <w:rPr>
          <w:sz w:val="20"/>
        </w:rPr>
        <w:t>View dosing information → /axura/safety-monitoring</w:t>
      </w:r>
    </w:p>
    <w:p>
      <w:pPr>
        <w:jc w:val="center"/>
      </w:pPr>
      <w:r>
        <w:rPr>
          <w:color w:val="CCCCCC"/>
          <w:sz w:val="16"/>
        </w:rPr>
        <w:t>────────────────────────────────────────────────────────────</w:t>
      </w:r>
    </w:p>
    <w:p>
      <w:pPr>
        <w:pStyle w:val="Heading3"/>
      </w:pPr>
      <w:r>
        <w:rPr>
          <w:color w:val="006D6F"/>
        </w:rPr>
        <w:t>Section 3 — MoA teaser (two-column: image left, text right)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5" name="Picture 5"/>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https://velox-images.pages.dev/columns-moa-preview.jpeg</w:t>
      </w:r>
    </w:p>
    <w:p>
      <w:pPr>
        <w:jc w:val="center"/>
      </w:pPr>
      <w:r>
        <w:rPr>
          <w:i/>
          <w:color w:val="666666"/>
          <w:sz w:val="16"/>
        </w:rPr>
        <w:t>Usage: Home — MoA teaser</w:t>
      </w:r>
    </w:p>
    <w:p>
      <w:r>
        <w:rPr>
          <w:b/>
          <w:sz w:val="20"/>
        </w:rPr>
        <w:t xml:space="preserve">Heading: </w:t>
      </w:r>
      <w:r>
        <w:rPr>
          <w:sz w:val="20"/>
        </w:rPr>
        <w:t>Targeting the source: CD38 and the long-lived plasma cell</w:t>
      </w:r>
    </w:p>
    <w:p>
      <w:r>
        <w:rPr>
          <w:b/>
        </w:rPr>
        <w:t xml:space="preserve">Body text: </w:t>
      </w:r>
      <w:r>
        <w:t>Long-lived plasma cells are the primary source of pathogenic autoantibodies in SLE, yet they are resistant to conventional immunosuppression and B-cell depletion. AXURA targets CD38 — highly expressed on these cells — to deplete the autoantibody factory at its origin.³ ⁵</w:t>
      </w:r>
    </w:p>
    <w:p>
      <w:r>
        <w:rPr>
          <w:b/>
          <w:sz w:val="20"/>
        </w:rPr>
        <w:t xml:space="preserve">Call to action: </w:t>
      </w:r>
      <w:r>
        <w:rPr>
          <w:sz w:val="20"/>
        </w:rPr>
        <w:t>Explore how AXURA works → /axura/how-axura-works</w:t>
      </w:r>
    </w:p>
    <w:p>
      <w:pPr>
        <w:jc w:val="center"/>
      </w:pPr>
      <w:r>
        <w:rPr>
          <w:color w:val="CCCCCC"/>
          <w:sz w:val="16"/>
        </w:rPr>
        <w:t>────────────────────────────────────────────────────────────</w:t>
      </w:r>
    </w:p>
    <w:p>
      <w:pPr>
        <w:pStyle w:val="Heading3"/>
      </w:pPr>
      <w:r>
        <w:rPr>
          <w:color w:val="006D6F"/>
        </w:rPr>
        <w:t>Section 4 — Prescribing information footer</w:t>
      </w:r>
    </w:p>
    <w:p>
      <w:r>
        <w:rPr>
          <w:b/>
          <w:sz w:val="20"/>
        </w:rPr>
        <w:t xml:space="preserve">Block: </w:t>
      </w:r>
      <w:r>
        <w:rPr>
          <w:sz w:val="20"/>
        </w:rPr>
        <w:t>accordion</w:t>
      </w:r>
    </w:p>
    <w:p>
      <w:r>
        <w:rPr>
          <w:b w:val="0"/>
          <w:i/>
          <w:color w:val="363B3B"/>
          <w:sz w:val="20"/>
        </w:rPr>
        <w:t>Expandable sections for: Prescribing Information | Adverse Event Reporting | References (Use approved text from sections 5, 6, and 7 above)</w:t>
      </w:r>
    </w:p>
    <w:p/>
    <w:p>
      <w:r>
        <w:rPr>
          <w:b/>
          <w:color w:val="830051"/>
        </w:rPr>
        <w:t>Page metadata</w:t>
      </w:r>
    </w:p>
    <w:p>
      <w:r>
        <w:rPr>
          <w:b w:val="0"/>
          <w:i w:val="0"/>
          <w:color w:val="363B3B"/>
          <w:sz w:val="20"/>
        </w:rPr>
        <w:t>Title: AXURA (axurelimab) | Anti-CD38 Therapy for SLE | AstraZeneca UK</w:t>
      </w:r>
    </w:p>
    <w:p>
      <w:r>
        <w:rPr>
          <w:b w:val="0"/>
          <w:i w:val="0"/>
          <w:color w:val="363B3B"/>
          <w:sz w:val="20"/>
        </w:rPr>
        <w:t>Description: AXURA (axurelimab) is a first-in-class anti-CD38 monoclonal antibody for active systemic lupus erythematosus and lupus nephritis. Explore AURORA clinical data, safety, and dosing for UK healthcare professionals.</w:t>
      </w:r>
    </w:p>
    <w:p>
      <w:r>
        <w:br w:type="page"/>
      </w:r>
    </w:p>
    <w:p>
      <w:pPr>
        <w:pStyle w:val="Heading2"/>
      </w:pPr>
      <w:r>
        <w:rPr>
          <w:color w:val="830051"/>
        </w:rPr>
        <w:t>PAGE 2: AURORA Data</w:t>
      </w:r>
    </w:p>
    <w:p>
      <w:r>
        <w:rPr>
          <w:b/>
          <w:sz w:val="20"/>
        </w:rPr>
        <w:t xml:space="preserve">URL path: </w:t>
      </w:r>
      <w:r>
        <w:rPr>
          <w:sz w:val="20"/>
        </w:rPr>
        <w:t>/axura/aurora-data</w:t>
      </w:r>
    </w:p>
    <w:p>
      <w:pPr>
        <w:jc w:val="center"/>
      </w:pPr>
      <w:r>
        <w:rPr>
          <w:color w:val="CCCCCC"/>
          <w:sz w:val="16"/>
        </w:rPr>
        <w:t>────────────────────────────────────────────────────────────</w:t>
      </w:r>
    </w:p>
    <w:p>
      <w:pPr>
        <w:pStyle w:val="Heading3"/>
      </w:pPr>
      <w:r>
        <w:rPr>
          <w:color w:val="006D6F"/>
        </w:rPr>
        <w:t>Section 1 — Page introduction (centred text, no image)</w:t>
      </w:r>
    </w:p>
    <w:p>
      <w:r>
        <w:rPr>
          <w:b/>
          <w:sz w:val="20"/>
        </w:rPr>
        <w:t xml:space="preserve">Block: </w:t>
      </w:r>
      <w:r>
        <w:rPr>
          <w:sz w:val="20"/>
        </w:rPr>
        <w:t>title</w:t>
      </w:r>
    </w:p>
    <w:p>
      <w:r>
        <w:rPr>
          <w:b/>
          <w:sz w:val="20"/>
        </w:rPr>
        <w:t xml:space="preserve">Heading: </w:t>
      </w:r>
      <w:r>
        <w:rPr>
          <w:sz w:val="20"/>
        </w:rPr>
        <w:t>The AURORA clinical programme</w:t>
      </w:r>
    </w:p>
    <w:p>
      <w:r>
        <w:rPr>
          <w:b/>
        </w:rPr>
        <w:t xml:space="preserve">Body text: </w:t>
      </w:r>
      <w:r>
        <w:t>AXURA®▼ (axurelimab) was evaluated in two Phase III trials encompassing the two major clinical presentations of lupus: systemic disease (AURORA-1) and renal involvement (AURORA-LN).¹ ²</w:t>
      </w:r>
    </w:p>
    <w:p>
      <w:pPr>
        <w:jc w:val="center"/>
      </w:pPr>
      <w:r>
        <w:rPr>
          <w:color w:val="CCCCCC"/>
          <w:sz w:val="16"/>
        </w:rPr>
        <w:t>────────────────────────────────────────────────────────────</w:t>
      </w:r>
    </w:p>
    <w:p>
      <w:pPr>
        <w:pStyle w:val="Heading3"/>
      </w:pPr>
      <w:r>
        <w:rPr>
          <w:color w:val="006D6F"/>
        </w:rPr>
        <w:t>Section 2 — Biomarker response carousel (3 slides) | light background</w:t>
      </w:r>
    </w:p>
    <w:p>
      <w:r>
        <w:rPr>
          <w:b/>
          <w:sz w:val="20"/>
        </w:rPr>
        <w:t xml:space="preserve">Block: </w:t>
      </w:r>
      <w:r>
        <w:rPr>
          <w:sz w:val="20"/>
        </w:rPr>
        <w:t>carousel-teaser</w:t>
      </w:r>
    </w:p>
    <w:p>
      <w:r>
        <w:rPr>
          <w:b/>
        </w:rPr>
        <w:t xml:space="preserve">Section metadata: </w:t>
      </w:r>
      <w:r>
        <w:rPr>
          <w:color w:val="666666"/>
        </w:rPr>
        <w:t>Style: light</w:t>
      </w:r>
    </w:p>
    <w:p>
      <w:r>
        <w:rPr>
          <w:b/>
          <w:i w:val="0"/>
          <w:color w:val="363B3B"/>
          <w:sz w:val="20"/>
        </w:rPr>
        <w:t>Slide 1:</w:t>
      </w:r>
    </w:p>
    <w:p>
      <w:r>
        <w:rPr>
          <w:b/>
          <w:sz w:val="20"/>
        </w:rPr>
        <w:t xml:space="preserve">Heading: </w:t>
      </w:r>
      <w:r>
        <w:rPr>
          <w:sz w:val="20"/>
        </w:rPr>
        <w:t>64% reduction in anti-dsDNA antibodies at Week 52</w:t>
      </w:r>
    </w:p>
    <w:p>
      <w:r>
        <w:rPr>
          <w:b/>
        </w:rPr>
        <w:t xml:space="preserve">Body text: </w:t>
      </w:r>
      <w:r>
        <w:t>AXURA produced a median 64.1% reduction in anti-dsDNA titres from baseline at Week 52, compared with 8.3% in the placebo group (P&lt;0.001). Rapid reductions were observed from Week 4, consistent with depletion of autoantibody-secreting plasma cells.¹</w:t>
      </w:r>
    </w:p>
    <w:p>
      <w:r>
        <w:rPr>
          <w:b/>
          <w:i w:val="0"/>
          <w:color w:val="363B3B"/>
          <w:sz w:val="20"/>
        </w:rPr>
        <w:t>Slide 2:</w:t>
      </w:r>
    </w:p>
    <w:p>
      <w:r>
        <w:rPr>
          <w:b/>
          <w:sz w:val="20"/>
        </w:rPr>
        <w:t xml:space="preserve">Heading: </w:t>
      </w:r>
      <w:r>
        <w:rPr>
          <w:sz w:val="20"/>
        </w:rPr>
        <w:t>73% of patients achieved complement normalisation</w:t>
      </w:r>
    </w:p>
    <w:p>
      <w:r>
        <w:rPr>
          <w:b/>
        </w:rPr>
        <w:t xml:space="preserve">Body text: </w:t>
      </w:r>
      <w:r>
        <w:t>C3 normalisation was achieved in 72.8% of AXURA-treated patients with low baseline C3, compared with 31.4% with placebo (P&lt;0.001). Complement recovery correlated with clinical response and reduced flare risk.¹</w:t>
      </w:r>
    </w:p>
    <w:p>
      <w:r>
        <w:rPr>
          <w:b/>
          <w:i w:val="0"/>
          <w:color w:val="363B3B"/>
          <w:sz w:val="20"/>
        </w:rPr>
        <w:t>Slide 3:</w:t>
      </w:r>
    </w:p>
    <w:p>
      <w:r>
        <w:rPr>
          <w:b/>
          <w:sz w:val="20"/>
        </w:rPr>
        <w:t xml:space="preserve">Heading: </w:t>
      </w:r>
      <w:r>
        <w:rPr>
          <w:sz w:val="20"/>
        </w:rPr>
        <w:t>68% achieved glucocorticoid reduction to ≤7.5 mg/day</w:t>
      </w:r>
    </w:p>
    <w:p>
      <w:r>
        <w:rPr>
          <w:b/>
        </w:rPr>
        <w:t xml:space="preserve">Body text: </w:t>
      </w:r>
      <w:r>
        <w:t>Among patients receiving &gt;7.5 mg/day prednisolone at baseline, 68.2% of AXURA patients achieved sustained dose reduction to ≤7.5 mg/day by Week 52, versus 42.1% with placebo (OR 2.93; P&lt;0.001) — reducing cumulative steroid burden.¹</w:t>
      </w:r>
    </w:p>
    <w:p>
      <w:pPr>
        <w:jc w:val="center"/>
      </w:pPr>
      <w:r>
        <w:rPr>
          <w:color w:val="CCCCCC"/>
          <w:sz w:val="16"/>
        </w:rPr>
        <w:t>────────────────────────────────────────────────────────────</w:t>
      </w:r>
    </w:p>
    <w:p>
      <w:pPr>
        <w:pStyle w:val="Heading3"/>
      </w:pPr>
      <w:r>
        <w:rPr>
          <w:color w:val="006D6F"/>
        </w:rPr>
        <w:t>Section 3 — Clinical data (two tabs)</w:t>
      </w:r>
    </w:p>
    <w:p>
      <w:r>
        <w:rPr>
          <w:b/>
          <w:sz w:val="20"/>
        </w:rPr>
        <w:t xml:space="preserve">Block: </w:t>
      </w:r>
      <w:r>
        <w:rPr>
          <w:sz w:val="20"/>
        </w:rPr>
        <w:t>tabs-large</w:t>
      </w:r>
    </w:p>
    <w:p/>
    <w:p>
      <w:r>
        <w:rPr>
          <w:b/>
          <w:i w:val="0"/>
          <w:color w:val="363B3B"/>
          <w:sz w:val="20"/>
        </w:rPr>
        <w:t>Tab 1: "AURORA-1: Systemic SLE"</w:t>
      </w:r>
    </w:p>
    <w:p>
      <w:pPr>
        <w:jc w:val="center"/>
      </w:pPr>
      <w:r>
        <w:drawing>
          <wp:inline xmlns:a="http://schemas.openxmlformats.org/drawingml/2006/main" xmlns:pic="http://schemas.openxmlformats.org/drawingml/2006/picture">
            <wp:extent cx="3200400" cy="2389632"/>
            <wp:docPr id="6" name="Picture 6"/>
            <wp:cNvGraphicFramePr>
              <a:graphicFrameLocks noChangeAspect="1"/>
            </wp:cNvGraphicFramePr>
            <a:graphic>
              <a:graphicData uri="http://schemas.openxmlformats.org/drawingml/2006/picture">
                <pic:pic>
                  <pic:nvPicPr>
                    <pic:cNvPr id="0" name="tab-velocity-af.jpeg"/>
                    <pic:cNvPicPr/>
                  </pic:nvPicPr>
                  <pic:blipFill>
                    <a:blip r:embed="rId14"/>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https://velox-images.pages.dev/tab-velocity-af.jpeg</w:t>
      </w:r>
    </w:p>
    <w:p>
      <w:pPr>
        <w:jc w:val="center"/>
      </w:pPr>
      <w:r>
        <w:rPr>
          <w:i/>
          <w:color w:val="666666"/>
          <w:sz w:val="16"/>
        </w:rPr>
        <w:t>Usage: AURORA Data — AURORA-1 tab</w:t>
      </w:r>
    </w:p>
    <w:p>
      <w:r>
        <w:rPr>
          <w:b/>
          <w:sz w:val="20"/>
        </w:rPr>
        <w:t xml:space="preserve">Heading: </w:t>
      </w:r>
      <w:r>
        <w:rPr>
          <w:sz w:val="20"/>
        </w:rPr>
        <w:t>AURORA-1: Clinically meaningful disease control across organ systems</w:t>
      </w:r>
    </w:p>
    <w:p>
      <w:r>
        <w:rPr>
          <w:b/>
        </w:rPr>
        <w:t xml:space="preserve">Body text: </w:t>
      </w:r>
      <w:r>
        <w:t>AURORA-1 was a randomised, double-blind, placebo-controlled trial in 768 adults with active seropositive SLE (SLEDAI-2K ≥6) despite standard of care. AXURA achieved the primary endpoint of SRI-4 response at Week 52 in 61.7% vs 35.9% (Δ 25.8%; P&lt;0.001). BICLA response was achieved in 54.4% vs 30.5% (P&lt;0.001). Severe flares (BILAG A) were reduced by 62% (HR 0.38; P&lt;0.001). Notably, clinical response was accompanied by rapid and sustained normalisation of serological biomarkers (anti-dsDNA, complement), supporting a disease-modifying rather than purely symptomatic mechanism.¹</w:t>
      </w:r>
    </w:p>
    <w:p>
      <w:r>
        <w:rPr>
          <w:b/>
          <w:i w:val="0"/>
          <w:color w:val="363B3B"/>
          <w:sz w:val="20"/>
        </w:rPr>
        <w:t>Data table: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AXURA (n=384)</w:t>
            </w:r>
          </w:p>
        </w:tc>
        <w:tc>
          <w:tcPr>
            <w:tcW w:type="dxa" w:w="2268"/>
            <w:shd w:fill="830051"/>
          </w:tcPr>
          <w:p>
            <w:r/>
            <w:r>
              <w:rPr>
                <w:b/>
                <w:color w:val="FFFFFF"/>
                <w:sz w:val="18"/>
              </w:rPr>
              <w:t>Placebo (n=384)</w:t>
            </w:r>
          </w:p>
        </w:tc>
        <w:tc>
          <w:tcPr>
            <w:tcW w:type="dxa" w:w="2268"/>
            <w:shd w:fill="830051"/>
          </w:tcPr>
          <w:p>
            <w:r/>
            <w:r>
              <w:rPr>
                <w:b/>
                <w:color w:val="FFFFFF"/>
                <w:sz w:val="18"/>
              </w:rPr>
              <w:t>Treatment effect</w:t>
            </w:r>
          </w:p>
        </w:tc>
      </w:tr>
      <w:tr>
        <w:tc>
          <w:tcPr>
            <w:tcW w:type="dxa" w:w="2268"/>
          </w:tcPr>
          <w:p>
            <w:r/>
            <w:r>
              <w:rPr>
                <w:color w:val="363B3B"/>
                <w:sz w:val="18"/>
              </w:rPr>
              <w:t>SRI-4 at Week 52</w:t>
            </w:r>
          </w:p>
        </w:tc>
        <w:tc>
          <w:tcPr>
            <w:tcW w:type="dxa" w:w="2268"/>
          </w:tcPr>
          <w:p>
            <w:r/>
            <w:r>
              <w:rPr>
                <w:color w:val="363B3B"/>
                <w:sz w:val="18"/>
              </w:rPr>
              <w:t>61.7%</w:t>
            </w:r>
          </w:p>
        </w:tc>
        <w:tc>
          <w:tcPr>
            <w:tcW w:type="dxa" w:w="2268"/>
          </w:tcPr>
          <w:p>
            <w:r/>
            <w:r>
              <w:rPr>
                <w:color w:val="363B3B"/>
                <w:sz w:val="18"/>
              </w:rPr>
              <w:t>35.9%</w:t>
            </w:r>
          </w:p>
        </w:tc>
        <w:tc>
          <w:tcPr>
            <w:tcW w:type="dxa" w:w="2268"/>
          </w:tcPr>
          <w:p>
            <w:r/>
            <w:r>
              <w:rPr>
                <w:color w:val="363B3B"/>
                <w:sz w:val="18"/>
              </w:rPr>
              <w:t>Δ 25.8%; P&lt;0.001</w:t>
            </w:r>
          </w:p>
        </w:tc>
      </w:tr>
      <w:tr>
        <w:tc>
          <w:tcPr>
            <w:tcW w:type="dxa" w:w="2268"/>
            <w:shd w:fill="F8F8F8"/>
          </w:tcPr>
          <w:p>
            <w:r/>
            <w:r>
              <w:rPr>
                <w:color w:val="363B3B"/>
                <w:sz w:val="18"/>
              </w:rPr>
              <w:t>BICLA at Week 52</w:t>
            </w:r>
          </w:p>
        </w:tc>
        <w:tc>
          <w:tcPr>
            <w:tcW w:type="dxa" w:w="2268"/>
            <w:shd w:fill="F8F8F8"/>
          </w:tcPr>
          <w:p>
            <w:r/>
            <w:r>
              <w:rPr>
                <w:color w:val="363B3B"/>
                <w:sz w:val="18"/>
              </w:rPr>
              <w:t>54.4%</w:t>
            </w:r>
          </w:p>
        </w:tc>
        <w:tc>
          <w:tcPr>
            <w:tcW w:type="dxa" w:w="2268"/>
            <w:shd w:fill="F8F8F8"/>
          </w:tcPr>
          <w:p>
            <w:r/>
            <w:r>
              <w:rPr>
                <w:color w:val="363B3B"/>
                <w:sz w:val="18"/>
              </w:rPr>
              <w:t>30.5%</w:t>
            </w:r>
          </w:p>
        </w:tc>
        <w:tc>
          <w:tcPr>
            <w:tcW w:type="dxa" w:w="2268"/>
            <w:shd w:fill="F8F8F8"/>
          </w:tcPr>
          <w:p>
            <w:r/>
            <w:r>
              <w:rPr>
                <w:color w:val="363B3B"/>
                <w:sz w:val="18"/>
              </w:rPr>
              <w:t>Δ 23.9%; P&lt;0.001</w:t>
            </w:r>
          </w:p>
        </w:tc>
      </w:tr>
      <w:tr>
        <w:tc>
          <w:tcPr>
            <w:tcW w:type="dxa" w:w="2268"/>
          </w:tcPr>
          <w:p>
            <w:r/>
            <w:r>
              <w:rPr>
                <w:color w:val="363B3B"/>
                <w:sz w:val="18"/>
              </w:rPr>
              <w:t>Severe flare (BILAG A)</w:t>
            </w:r>
          </w:p>
        </w:tc>
        <w:tc>
          <w:tcPr>
            <w:tcW w:type="dxa" w:w="2268"/>
          </w:tcPr>
          <w:p>
            <w:r/>
            <w:r>
              <w:rPr>
                <w:color w:val="363B3B"/>
                <w:sz w:val="18"/>
              </w:rPr>
              <w:t>8.9%</w:t>
            </w:r>
          </w:p>
        </w:tc>
        <w:tc>
          <w:tcPr>
            <w:tcW w:type="dxa" w:w="2268"/>
          </w:tcPr>
          <w:p>
            <w:r/>
            <w:r>
              <w:rPr>
                <w:color w:val="363B3B"/>
                <w:sz w:val="18"/>
              </w:rPr>
              <w:t>21.6%</w:t>
            </w:r>
          </w:p>
        </w:tc>
        <w:tc>
          <w:tcPr>
            <w:tcW w:type="dxa" w:w="2268"/>
          </w:tcPr>
          <w:p>
            <w:r/>
            <w:r>
              <w:rPr>
                <w:color w:val="363B3B"/>
                <w:sz w:val="18"/>
              </w:rPr>
              <w:t>HR 0.38; P&lt;0.001</w:t>
            </w:r>
          </w:p>
        </w:tc>
      </w:tr>
      <w:tr>
        <w:tc>
          <w:tcPr>
            <w:tcW w:type="dxa" w:w="2268"/>
            <w:shd w:fill="F8F8F8"/>
          </w:tcPr>
          <w:p>
            <w:r/>
            <w:r>
              <w:rPr>
                <w:color w:val="363B3B"/>
                <w:sz w:val="18"/>
              </w:rPr>
              <w:t>GC ≤7.5 mg/day</w:t>
            </w:r>
          </w:p>
        </w:tc>
        <w:tc>
          <w:tcPr>
            <w:tcW w:type="dxa" w:w="2268"/>
            <w:shd w:fill="F8F8F8"/>
          </w:tcPr>
          <w:p>
            <w:r/>
            <w:r>
              <w:rPr>
                <w:color w:val="363B3B"/>
                <w:sz w:val="18"/>
              </w:rPr>
              <w:t>68.2%</w:t>
            </w:r>
          </w:p>
        </w:tc>
        <w:tc>
          <w:tcPr>
            <w:tcW w:type="dxa" w:w="2268"/>
            <w:shd w:fill="F8F8F8"/>
          </w:tcPr>
          <w:p>
            <w:r/>
            <w:r>
              <w:rPr>
                <w:color w:val="363B3B"/>
                <w:sz w:val="18"/>
              </w:rPr>
              <w:t>42.1%</w:t>
            </w:r>
          </w:p>
        </w:tc>
        <w:tc>
          <w:tcPr>
            <w:tcW w:type="dxa" w:w="2268"/>
            <w:shd w:fill="F8F8F8"/>
          </w:tcPr>
          <w:p>
            <w:r/>
            <w:r>
              <w:rPr>
                <w:color w:val="363B3B"/>
                <w:sz w:val="18"/>
              </w:rPr>
              <w:t>OR 2.93; P&lt;0.001</w:t>
            </w:r>
          </w:p>
        </w:tc>
      </w:tr>
      <w:tr>
        <w:tc>
          <w:tcPr>
            <w:tcW w:type="dxa" w:w="2268"/>
          </w:tcPr>
          <w:p>
            <w:r/>
            <w:r>
              <w:rPr>
                <w:color w:val="363B3B"/>
                <w:sz w:val="18"/>
              </w:rPr>
              <w:t>Anti-dsDNA reduction</w:t>
            </w:r>
          </w:p>
        </w:tc>
        <w:tc>
          <w:tcPr>
            <w:tcW w:type="dxa" w:w="2268"/>
          </w:tcPr>
          <w:p>
            <w:r/>
            <w:r>
              <w:rPr>
                <w:color w:val="363B3B"/>
                <w:sz w:val="18"/>
              </w:rPr>
              <w:t>−64.1%</w:t>
            </w:r>
          </w:p>
        </w:tc>
        <w:tc>
          <w:tcPr>
            <w:tcW w:type="dxa" w:w="2268"/>
          </w:tcPr>
          <w:p>
            <w:r/>
            <w:r>
              <w:rPr>
                <w:color w:val="363B3B"/>
                <w:sz w:val="18"/>
              </w:rPr>
              <w:t>−8.3%</w:t>
            </w:r>
          </w:p>
        </w:tc>
        <w:tc>
          <w:tcPr>
            <w:tcW w:type="dxa" w:w="2268"/>
          </w:tcPr>
          <w:p>
            <w:r/>
            <w:r>
              <w:rPr>
                <w:color w:val="363B3B"/>
                <w:sz w:val="18"/>
              </w:rPr>
              <w:t>P&lt;0.001</w:t>
            </w:r>
          </w:p>
        </w:tc>
      </w:tr>
    </w:tbl>
    <w:p>
      <w:pPr>
        <w:jc w:val="center"/>
      </w:pPr>
      <w:r>
        <w:rPr>
          <w:color w:val="CCCCCC"/>
          <w:sz w:val="16"/>
        </w:rPr>
        <w:t>────────────────────────────────────────────────────────────</w:t>
      </w:r>
    </w:p>
    <w:p>
      <w:r>
        <w:rPr>
          <w:b/>
          <w:i w:val="0"/>
          <w:color w:val="363B3B"/>
          <w:sz w:val="20"/>
        </w:rPr>
        <w:t>Tab 2: "AURORA-LN: Lupus nephritis"</w:t>
      </w:r>
    </w:p>
    <w:p>
      <w:pPr>
        <w:jc w:val="center"/>
      </w:pPr>
      <w:r>
        <w:drawing>
          <wp:inline xmlns:a="http://schemas.openxmlformats.org/drawingml/2006/main" xmlns:pic="http://schemas.openxmlformats.org/drawingml/2006/picture">
            <wp:extent cx="3200400" cy="2389632"/>
            <wp:docPr id="7" name="Picture 7"/>
            <wp:cNvGraphicFramePr>
              <a:graphicFrameLocks noChangeAspect="1"/>
            </wp:cNvGraphicFramePr>
            <a:graphic>
              <a:graphicData uri="http://schemas.openxmlformats.org/drawingml/2006/picture">
                <pic:pic>
                  <pic:nvPicPr>
                    <pic:cNvPr id="0" name="tab-velocity-bleed.jpeg"/>
                    <pic:cNvPicPr/>
                  </pic:nvPicPr>
                  <pic:blipFill>
                    <a:blip r:embed="rId15"/>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https://velox-images.pages.dev/tab-velocity-bleed.jpeg</w:t>
      </w:r>
    </w:p>
    <w:p>
      <w:pPr>
        <w:jc w:val="center"/>
      </w:pPr>
      <w:r>
        <w:rPr>
          <w:i/>
          <w:color w:val="666666"/>
          <w:sz w:val="16"/>
        </w:rPr>
        <w:t>Usage: AURORA Data — AURORA-LN tab</w:t>
      </w:r>
    </w:p>
    <w:p>
      <w:r>
        <w:rPr>
          <w:b/>
          <w:sz w:val="20"/>
        </w:rPr>
        <w:t xml:space="preserve">Heading: </w:t>
      </w:r>
      <w:r>
        <w:rPr>
          <w:sz w:val="20"/>
        </w:rPr>
        <w:t>AURORA-LN: Doubling the rate of complete renal response</w:t>
      </w:r>
    </w:p>
    <w:p>
      <w:r>
        <w:rPr>
          <w:b/>
        </w:rPr>
        <w:t xml:space="preserve">Body text: </w:t>
      </w:r>
      <w:r>
        <w:t>AURORA-LN was a randomised, double-blind, placebo-controlled trial in 354 adults with biopsy-proven active lupus nephritis (Class III, IV, or V) on background MMF + glucocorticoids. AXURA nearly doubled the rate of complete renal response at Week 52: 43.5% vs 22.0% (Δ 21.5%; P&lt;0.001). The overall renal response rate was 71.2% vs 49.2% (P&lt;0.001). Renal flares were reduced by 69% (HR 0.31; P=0.001). Proteinuria (uPCR) decreased by 71.4% with AXURA vs 38.2% with placebo.²</w:t>
      </w:r>
    </w:p>
    <w:p>
      <w:r>
        <w:rPr>
          <w:b/>
          <w:i w:val="0"/>
          <w:color w:val="363B3B"/>
          <w:sz w:val="20"/>
        </w:rPr>
        <w:t>Data table: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AXURA + SoC (n=177)</w:t>
            </w:r>
          </w:p>
        </w:tc>
        <w:tc>
          <w:tcPr>
            <w:tcW w:type="dxa" w:w="2268"/>
            <w:shd w:fill="830051"/>
          </w:tcPr>
          <w:p>
            <w:r/>
            <w:r>
              <w:rPr>
                <w:b/>
                <w:color w:val="FFFFFF"/>
                <w:sz w:val="18"/>
              </w:rPr>
              <w:t>Placebo + SoC (n=177)</w:t>
            </w:r>
          </w:p>
        </w:tc>
        <w:tc>
          <w:tcPr>
            <w:tcW w:type="dxa" w:w="2268"/>
            <w:shd w:fill="830051"/>
          </w:tcPr>
          <w:p>
            <w:r/>
            <w:r>
              <w:rPr>
                <w:b/>
                <w:color w:val="FFFFFF"/>
                <w:sz w:val="18"/>
              </w:rPr>
              <w:t>Effect</w:t>
            </w:r>
          </w:p>
        </w:tc>
      </w:tr>
      <w:tr>
        <w:tc>
          <w:tcPr>
            <w:tcW w:type="dxa" w:w="2268"/>
          </w:tcPr>
          <w:p>
            <w:r/>
            <w:r>
              <w:rPr>
                <w:color w:val="363B3B"/>
                <w:sz w:val="18"/>
              </w:rPr>
              <w:t>CRR at Week 52</w:t>
            </w:r>
          </w:p>
        </w:tc>
        <w:tc>
          <w:tcPr>
            <w:tcW w:type="dxa" w:w="2268"/>
          </w:tcPr>
          <w:p>
            <w:r/>
            <w:r>
              <w:rPr>
                <w:color w:val="363B3B"/>
                <w:sz w:val="18"/>
              </w:rPr>
              <w:t>43.5%</w:t>
            </w:r>
          </w:p>
        </w:tc>
        <w:tc>
          <w:tcPr>
            <w:tcW w:type="dxa" w:w="2268"/>
          </w:tcPr>
          <w:p>
            <w:r/>
            <w:r>
              <w:rPr>
                <w:color w:val="363B3B"/>
                <w:sz w:val="18"/>
              </w:rPr>
              <w:t>22.0%</w:t>
            </w:r>
          </w:p>
        </w:tc>
        <w:tc>
          <w:tcPr>
            <w:tcW w:type="dxa" w:w="2268"/>
          </w:tcPr>
          <w:p>
            <w:r/>
            <w:r>
              <w:rPr>
                <w:color w:val="363B3B"/>
                <w:sz w:val="18"/>
              </w:rPr>
              <w:t>Δ 21.5%; P&lt;0.001</w:t>
            </w:r>
          </w:p>
        </w:tc>
      </w:tr>
      <w:tr>
        <w:tc>
          <w:tcPr>
            <w:tcW w:type="dxa" w:w="2268"/>
            <w:shd w:fill="F8F8F8"/>
          </w:tcPr>
          <w:p>
            <w:r/>
            <w:r>
              <w:rPr>
                <w:color w:val="363B3B"/>
                <w:sz w:val="18"/>
              </w:rPr>
              <w:t>Overall renal response</w:t>
            </w:r>
          </w:p>
        </w:tc>
        <w:tc>
          <w:tcPr>
            <w:tcW w:type="dxa" w:w="2268"/>
            <w:shd w:fill="F8F8F8"/>
          </w:tcPr>
          <w:p>
            <w:r/>
            <w:r>
              <w:rPr>
                <w:color w:val="363B3B"/>
                <w:sz w:val="18"/>
              </w:rPr>
              <w:t>71.2%</w:t>
            </w:r>
          </w:p>
        </w:tc>
        <w:tc>
          <w:tcPr>
            <w:tcW w:type="dxa" w:w="2268"/>
            <w:shd w:fill="F8F8F8"/>
          </w:tcPr>
          <w:p>
            <w:r/>
            <w:r>
              <w:rPr>
                <w:color w:val="363B3B"/>
                <w:sz w:val="18"/>
              </w:rPr>
              <w:t>49.2%</w:t>
            </w:r>
          </w:p>
        </w:tc>
        <w:tc>
          <w:tcPr>
            <w:tcW w:type="dxa" w:w="2268"/>
            <w:shd w:fill="F8F8F8"/>
          </w:tcPr>
          <w:p>
            <w:r/>
            <w:r>
              <w:rPr>
                <w:color w:val="363B3B"/>
                <w:sz w:val="18"/>
              </w:rPr>
              <w:t>Δ 22.0%; P&lt;0.001</w:t>
            </w:r>
          </w:p>
        </w:tc>
      </w:tr>
      <w:tr>
        <w:tc>
          <w:tcPr>
            <w:tcW w:type="dxa" w:w="2268"/>
          </w:tcPr>
          <w:p>
            <w:r/>
            <w:r>
              <w:rPr>
                <w:color w:val="363B3B"/>
                <w:sz w:val="18"/>
              </w:rPr>
              <w:t>Sustained CRR (Wk 36–52)</w:t>
            </w:r>
          </w:p>
        </w:tc>
        <w:tc>
          <w:tcPr>
            <w:tcW w:type="dxa" w:w="2268"/>
          </w:tcPr>
          <w:p>
            <w:r/>
            <w:r>
              <w:rPr>
                <w:color w:val="363B3B"/>
                <w:sz w:val="18"/>
              </w:rPr>
              <w:t>34.5%</w:t>
            </w:r>
          </w:p>
        </w:tc>
        <w:tc>
          <w:tcPr>
            <w:tcW w:type="dxa" w:w="2268"/>
          </w:tcPr>
          <w:p>
            <w:r/>
            <w:r>
              <w:rPr>
                <w:color w:val="363B3B"/>
                <w:sz w:val="18"/>
              </w:rPr>
              <w:t>14.7%</w:t>
            </w:r>
          </w:p>
        </w:tc>
        <w:tc>
          <w:tcPr>
            <w:tcW w:type="dxa" w:w="2268"/>
          </w:tcPr>
          <w:p>
            <w:r/>
            <w:r>
              <w:rPr>
                <w:color w:val="363B3B"/>
                <w:sz w:val="18"/>
              </w:rPr>
              <w:t>Δ 19.8%; P&lt;0.001</w:t>
            </w:r>
          </w:p>
        </w:tc>
      </w:tr>
      <w:tr>
        <w:tc>
          <w:tcPr>
            <w:tcW w:type="dxa" w:w="2268"/>
            <w:shd w:fill="F8F8F8"/>
          </w:tcPr>
          <w:p>
            <w:r/>
            <w:r>
              <w:rPr>
                <w:color w:val="363B3B"/>
                <w:sz w:val="18"/>
              </w:rPr>
              <w:t>Renal flare</w:t>
            </w:r>
          </w:p>
        </w:tc>
        <w:tc>
          <w:tcPr>
            <w:tcW w:type="dxa" w:w="2268"/>
            <w:shd w:fill="F8F8F8"/>
          </w:tcPr>
          <w:p>
            <w:r/>
            <w:r>
              <w:rPr>
                <w:color w:val="363B3B"/>
                <w:sz w:val="18"/>
              </w:rPr>
              <w:t>5.6%</w:t>
            </w:r>
          </w:p>
        </w:tc>
        <w:tc>
          <w:tcPr>
            <w:tcW w:type="dxa" w:w="2268"/>
            <w:shd w:fill="F8F8F8"/>
          </w:tcPr>
          <w:p>
            <w:r/>
            <w:r>
              <w:rPr>
                <w:color w:val="363B3B"/>
                <w:sz w:val="18"/>
              </w:rPr>
              <w:t>16.9%</w:t>
            </w:r>
          </w:p>
        </w:tc>
        <w:tc>
          <w:tcPr>
            <w:tcW w:type="dxa" w:w="2268"/>
            <w:shd w:fill="F8F8F8"/>
          </w:tcPr>
          <w:p>
            <w:r/>
            <w:r>
              <w:rPr>
                <w:color w:val="363B3B"/>
                <w:sz w:val="18"/>
              </w:rPr>
              <w:t>HR 0.31; P=0.001</w:t>
            </w:r>
          </w:p>
        </w:tc>
      </w:tr>
      <w:tr>
        <w:tc>
          <w:tcPr>
            <w:tcW w:type="dxa" w:w="2268"/>
          </w:tcPr>
          <w:p>
            <w:r/>
            <w:r>
              <w:rPr>
                <w:color w:val="363B3B"/>
                <w:sz w:val="18"/>
              </w:rPr>
              <w:t>uPCR change</w:t>
            </w:r>
          </w:p>
        </w:tc>
        <w:tc>
          <w:tcPr>
            <w:tcW w:type="dxa" w:w="2268"/>
          </w:tcPr>
          <w:p>
            <w:r/>
            <w:r>
              <w:rPr>
                <w:color w:val="363B3B"/>
                <w:sz w:val="18"/>
              </w:rPr>
              <w:t>−71.4%</w:t>
            </w:r>
          </w:p>
        </w:tc>
        <w:tc>
          <w:tcPr>
            <w:tcW w:type="dxa" w:w="2268"/>
          </w:tcPr>
          <w:p>
            <w:r/>
            <w:r>
              <w:rPr>
                <w:color w:val="363B3B"/>
                <w:sz w:val="18"/>
              </w:rPr>
              <w:t>−38.2%</w:t>
            </w:r>
          </w:p>
        </w:tc>
        <w:tc>
          <w:tcPr>
            <w:tcW w:type="dxa" w:w="2268"/>
          </w:tcPr>
          <w:p>
            <w:r/>
            <w:r>
              <w:rPr>
                <w:color w:val="363B3B"/>
                <w:sz w:val="18"/>
              </w:rPr>
              <w:t>P&lt;0.001</w:t>
            </w:r>
          </w:p>
        </w:tc>
      </w:tr>
    </w:tbl>
    <w:p>
      <w:pPr>
        <w:jc w:val="center"/>
      </w:pPr>
      <w:r>
        <w:rPr>
          <w:color w:val="CCCCCC"/>
          <w:sz w:val="16"/>
        </w:rPr>
        <w:t>────────────────────────────────────────────────────────────</w:t>
      </w:r>
    </w:p>
    <w:p>
      <w:pPr>
        <w:pStyle w:val="Heading3"/>
      </w:pPr>
      <w:r>
        <w:rPr>
          <w:color w:val="006D6F"/>
        </w:rPr>
        <w:t>Section 4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AURORA Data | AXURA (axurelimab) | SLE &amp; Lupus Nephritis Results | AstraZeneca UK</w:t>
      </w:r>
    </w:p>
    <w:p>
      <w:r>
        <w:rPr>
          <w:b w:val="0"/>
          <w:i w:val="0"/>
          <w:color w:val="363B3B"/>
          <w:sz w:val="20"/>
        </w:rPr>
        <w:t>Description: Explore the AURORA clinical programme for AXURA (axurelimab) — Phase III SRI-4 response in active SLE and complete renal response in lupus nephritis.</w:t>
      </w:r>
    </w:p>
    <w:p>
      <w:r>
        <w:br w:type="page"/>
      </w:r>
    </w:p>
    <w:p>
      <w:pPr>
        <w:pStyle w:val="Heading2"/>
      </w:pPr>
      <w:r>
        <w:rPr>
          <w:color w:val="830051"/>
        </w:rPr>
        <w:t>PAGE 3: Living with Lupus</w:t>
      </w:r>
    </w:p>
    <w:p>
      <w:r>
        <w:rPr>
          <w:b/>
          <w:sz w:val="20"/>
        </w:rPr>
        <w:t xml:space="preserve">URL path: </w:t>
      </w:r>
      <w:r>
        <w:rPr>
          <w:sz w:val="20"/>
        </w:rPr>
        <w:t>/axura/living-with-lupus</w:t>
      </w:r>
    </w:p>
    <w:p>
      <w:pPr>
        <w:jc w:val="center"/>
      </w:pPr>
      <w:r>
        <w:rPr>
          <w:color w:val="CCCCCC"/>
          <w:sz w:val="16"/>
        </w:rPr>
        <w:t>────────────────────────────────────────────────────────────</w:t>
      </w:r>
    </w:p>
    <w:p>
      <w:pPr>
        <w:pStyle w:val="Heading3"/>
      </w:pPr>
      <w:r>
        <w:rPr>
          <w:color w:val="006D6F"/>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8" name="Picture 8"/>
            <wp:cNvGraphicFramePr>
              <a:graphicFrameLocks noChangeAspect="1"/>
            </wp:cNvGraphicFramePr>
            <a:graphic>
              <a:graphicData uri="http://schemas.openxmlformats.org/drawingml/2006/picture">
                <pic:pic>
                  <pic:nvPicPr>
                    <pic:cNvPr id="0" name="hero-efficacy.jpeg"/>
                    <pic:cNvPicPr/>
                  </pic:nvPicPr>
                  <pic:blipFill>
                    <a:blip r:embed="rId16"/>
                    <a:stretch>
                      <a:fillRect/>
                    </a:stretch>
                  </pic:blipFill>
                  <pic:spPr>
                    <a:xfrm>
                      <a:off x="0" y="0"/>
                      <a:ext cx="5029200" cy="2806995"/>
                    </a:xfrm>
                    <a:prstGeom prst="rect"/>
                  </pic:spPr>
                </pic:pic>
              </a:graphicData>
            </a:graphic>
          </wp:inline>
        </w:drawing>
      </w:r>
    </w:p>
    <w:p>
      <w:pPr>
        <w:jc w:val="center"/>
      </w:pPr>
      <w:r>
        <w:rPr>
          <w:color w:val="005599"/>
          <w:sz w:val="16"/>
          <w:u w:val="single"/>
        </w:rPr>
        <w:t>https://velox-images.pages.dev/hero-efficacy.jpeg</w:t>
      </w:r>
    </w:p>
    <w:p>
      <w:pPr>
        <w:jc w:val="center"/>
      </w:pPr>
      <w:r>
        <w:rPr>
          <w:i/>
          <w:color w:val="666666"/>
          <w:sz w:val="16"/>
        </w:rPr>
        <w:t>Usage: Living with Lupus — hero</w:t>
      </w:r>
    </w:p>
    <w:p>
      <w:r>
        <w:rPr>
          <w:b/>
          <w:sz w:val="20"/>
        </w:rPr>
        <w:t xml:space="preserve">Heading: </w:t>
      </w:r>
      <w:r>
        <w:rPr>
          <w:sz w:val="20"/>
        </w:rPr>
        <w:t>Understanding the burden of SLE</w:t>
      </w:r>
    </w:p>
    <w:p>
      <w:r>
        <w:rPr>
          <w:b/>
        </w:rPr>
        <w:t xml:space="preserve">Body text: </w:t>
      </w:r>
      <w:r>
        <w:t>Systemic lupus erythematosus is a chronic, relapsing autoimmune disease that can affect virtually every organ system. For many patients, the unpredictable cycle of flares and the cumulative toxicity of long-term corticosteroids define their experience of living with lupus.⁴</w:t>
      </w:r>
    </w:p>
    <w:p>
      <w:pPr>
        <w:jc w:val="center"/>
      </w:pPr>
      <w:r>
        <w:rPr>
          <w:color w:val="CCCCCC"/>
          <w:sz w:val="16"/>
        </w:rPr>
        <w:t>────────────────────────────────────────────────────────────</w:t>
      </w:r>
    </w:p>
    <w:p>
      <w:pPr>
        <w:pStyle w:val="Heading3"/>
      </w:pPr>
      <w:r>
        <w:rPr>
          <w:color w:val="006D6F"/>
        </w:rPr>
        <w:t>Section 2 — Disease burden (3-column cards)</w:t>
      </w:r>
    </w:p>
    <w:p>
      <w:r>
        <w:rPr>
          <w:b/>
          <w:sz w:val="20"/>
        </w:rPr>
        <w:t xml:space="preserve">Block: </w:t>
      </w:r>
      <w:r>
        <w:rPr>
          <w:sz w:val="20"/>
        </w:rPr>
        <w:t>cards-teaser</w:t>
      </w:r>
    </w:p>
    <w:p>
      <w:pPr>
        <w:jc w:val="center"/>
      </w:pPr>
      <w:r>
        <w:drawing>
          <wp:inline xmlns:a="http://schemas.openxmlformats.org/drawingml/2006/main" xmlns:pic="http://schemas.openxmlformats.org/drawingml/2006/picture">
            <wp:extent cx="2743200" cy="2048256"/>
            <wp:docPr id="9" name="Picture 9"/>
            <wp:cNvGraphicFramePr>
              <a:graphicFrameLocks noChangeAspect="1"/>
            </wp:cNvGraphicFramePr>
            <a:graphic>
              <a:graphicData uri="http://schemas.openxmlformats.org/drawingml/2006/picture">
                <pic:pic>
                  <pic:nvPicPr>
                    <pic:cNvPr id="0" name="card-bleeding-events.jpeg"/>
                    <pic:cNvPicPr/>
                  </pic:nvPicPr>
                  <pic:blipFill>
                    <a:blip r:embed="rId17"/>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https://velox-images.pages.dev/card-bleeding-events.jpeg</w:t>
      </w:r>
    </w:p>
    <w:p>
      <w:pPr>
        <w:jc w:val="center"/>
      </w:pPr>
      <w:r>
        <w:rPr>
          <w:i/>
          <w:color w:val="666666"/>
          <w:sz w:val="16"/>
        </w:rPr>
        <w:t>Usage: Safety &amp; Monitoring — infusion/injection reactions card</w:t>
      </w:r>
    </w:p>
    <w:p>
      <w:r>
        <w:rPr>
          <w:b/>
          <w:sz w:val="20"/>
        </w:rPr>
        <w:t xml:space="preserve">Card heading: </w:t>
      </w:r>
      <w:r>
        <w:rPr>
          <w:sz w:val="20"/>
        </w:rPr>
        <w:t>The flare cycle</w:t>
      </w:r>
    </w:p>
    <w:p>
      <w:r>
        <w:rPr>
          <w:b/>
        </w:rPr>
        <w:t xml:space="preserve">Card body: </w:t>
      </w:r>
      <w:r>
        <w:t>Up to 65% of SLE patients experience at least one flare per year despite standard therapy. Severe flares (BILAG A) require hospitalisation, high-dose corticosteroids, or cyclophosphamide, and are associated with irreversible organ damage accumulation.⁴</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0" name="Picture 10"/>
            <wp:cNvGraphicFramePr>
              <a:graphicFrameLocks noChangeAspect="1"/>
            </wp:cNvGraphicFramePr>
            <a:graphic>
              <a:graphicData uri="http://schemas.openxmlformats.org/drawingml/2006/picture">
                <pic:pic>
                  <pic:nvPicPr>
                    <pic:cNvPr id="0" name="card-hepatic.jpeg"/>
                    <pic:cNvPicPr/>
                  </pic:nvPicPr>
                  <pic:blipFill>
                    <a:blip r:embed="rId18"/>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https://velox-images.pages.dev/card-hepatic.jpeg</w:t>
      </w:r>
    </w:p>
    <w:p>
      <w:pPr>
        <w:jc w:val="center"/>
      </w:pPr>
      <w:r>
        <w:rPr>
          <w:i/>
          <w:color w:val="666666"/>
          <w:sz w:val="16"/>
        </w:rPr>
        <w:t>Usage: Safety &amp; Monitoring — immunoglobulin monitoring card</w:t>
      </w:r>
    </w:p>
    <w:p>
      <w:r>
        <w:rPr>
          <w:b/>
          <w:sz w:val="20"/>
        </w:rPr>
        <w:t xml:space="preserve">Card heading: </w:t>
      </w:r>
      <w:r>
        <w:rPr>
          <w:sz w:val="20"/>
        </w:rPr>
        <w:t>Steroid burden</w:t>
      </w:r>
    </w:p>
    <w:p>
      <w:r>
        <w:rPr>
          <w:b/>
        </w:rPr>
        <w:t xml:space="preserve">Card body: </w:t>
      </w:r>
      <w:r>
        <w:t>Over 50% of SLE patients require chronic glucocorticoids. Cumulative steroid exposure drives organ damage (osteoporosis, avascular necrosis, diabetes, cataracts, cardiovascular disease) independently of lupus activity, creating a therapeutic dilemma.⁴</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1" name="Picture 11"/>
            <wp:cNvGraphicFramePr>
              <a:graphicFrameLocks noChangeAspect="1"/>
            </wp:cNvGraphicFramePr>
            <a:graphic>
              <a:graphicData uri="http://schemas.openxmlformats.org/drawingml/2006/picture">
                <pic:pic>
                  <pic:nvPicPr>
                    <pic:cNvPr id="0" name="card-gi-events.jpeg"/>
                    <pic:cNvPicPr/>
                  </pic:nvPicPr>
                  <pic:blipFill>
                    <a:blip r:embed="rId19"/>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https://velox-images.pages.dev/card-gi-events.jpeg</w:t>
      </w:r>
    </w:p>
    <w:p>
      <w:pPr>
        <w:jc w:val="center"/>
      </w:pPr>
      <w:r>
        <w:rPr>
          <w:i/>
          <w:color w:val="666666"/>
          <w:sz w:val="16"/>
        </w:rPr>
        <w:t>Usage: Safety &amp; Monitoring — infection risk card</w:t>
      </w:r>
    </w:p>
    <w:p>
      <w:r>
        <w:rPr>
          <w:b/>
          <w:sz w:val="20"/>
        </w:rPr>
        <w:t xml:space="preserve">Card heading: </w:t>
      </w:r>
      <w:r>
        <w:rPr>
          <w:sz w:val="20"/>
        </w:rPr>
        <w:t>Lupus nephritis</w:t>
      </w:r>
    </w:p>
    <w:p>
      <w:r>
        <w:rPr>
          <w:b/>
        </w:rPr>
        <w:t xml:space="preserve">Card body: </w:t>
      </w:r>
      <w:r>
        <w:t>Up to 50% of SLE patients develop lupus nephritis during their disease course. Despite standard immunosuppression, only 20–30% achieve complete renal response at one year, and up to 20% progress to end-stage renal disease within 10 years.⁴</w:t>
      </w:r>
    </w:p>
    <w:p>
      <w:pPr>
        <w:jc w:val="center"/>
      </w:pPr>
      <w:r>
        <w:rPr>
          <w:color w:val="CCCCCC"/>
          <w:sz w:val="16"/>
        </w:rPr>
        <w:t>────────────────────────────────────────────────────────────</w:t>
      </w:r>
    </w:p>
    <w:p>
      <w:pPr>
        <w:pStyle w:val="Heading3"/>
      </w:pPr>
      <w:r>
        <w:rPr>
          <w:color w:val="006D6F"/>
        </w:rPr>
        <w:t>Section 3 — Autoantibody context (two-column: image left, text right) | light background</w:t>
      </w:r>
    </w:p>
    <w:p>
      <w:r>
        <w:rPr>
          <w:b/>
          <w:sz w:val="20"/>
        </w:rPr>
        <w:t xml:space="preserve">Block: </w:t>
      </w:r>
      <w:r>
        <w:rPr>
          <w:sz w:val="20"/>
        </w:rPr>
        <w:t>columns-teaser</w:t>
      </w:r>
    </w:p>
    <w:p>
      <w:r>
        <w:rPr>
          <w:b/>
        </w:rPr>
        <w:t xml:space="preserve">Section metadata: </w:t>
      </w:r>
      <w:r>
        <w:rPr>
          <w:color w:val="666666"/>
        </w:rPr>
        <w:t>Style: light</w:t>
      </w:r>
    </w:p>
    <w:p/>
    <w:p>
      <w:pPr>
        <w:jc w:val="center"/>
      </w:pPr>
      <w:r>
        <w:drawing>
          <wp:inline xmlns:a="http://schemas.openxmlformats.org/drawingml/2006/main" xmlns:pic="http://schemas.openxmlformats.org/drawingml/2006/picture">
            <wp:extent cx="3200400" cy="2389632"/>
            <wp:docPr id="12" name="Picture 12"/>
            <wp:cNvGraphicFramePr>
              <a:graphicFrameLocks noChangeAspect="1"/>
            </wp:cNvGraphicFramePr>
            <a:graphic>
              <a:graphicData uri="http://schemas.openxmlformats.org/drawingml/2006/picture">
                <pic:pic>
                  <pic:nvPicPr>
                    <pic:cNvPr id="0" name="columns-monitoring.jpeg"/>
                    <pic:cNvPicPr/>
                  </pic:nvPicPr>
                  <pic:blipFill>
                    <a:blip r:embed="rId20"/>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https://velox-images.pages.dev/columns-monitoring.jpeg</w:t>
      </w:r>
    </w:p>
    <w:p>
      <w:pPr>
        <w:jc w:val="center"/>
      </w:pPr>
      <w:r>
        <w:rPr>
          <w:i/>
          <w:color w:val="666666"/>
          <w:sz w:val="16"/>
        </w:rPr>
        <w:t>Usage: Safety &amp; Monitoring — monitoring schedule</w:t>
      </w:r>
    </w:p>
    <w:p>
      <w:r>
        <w:rPr>
          <w:b/>
          <w:sz w:val="20"/>
        </w:rPr>
        <w:t xml:space="preserve">Heading: </w:t>
      </w:r>
      <w:r>
        <w:rPr>
          <w:sz w:val="20"/>
        </w:rPr>
        <w:t>Why autoantibodies persist despite treatment</w:t>
      </w:r>
    </w:p>
    <w:p>
      <w:r>
        <w:rPr>
          <w:b/>
        </w:rPr>
        <w:t xml:space="preserve">Body text: </w:t>
      </w:r>
      <w:r>
        <w:t>Long-lived plasma cells in the bone marrow continuously secrete pathogenic autoantibodies (anti-dsDNA, anti-Smith, anti-C1q) that drive immune-complex deposition and complement activation across multiple organ systems. These cells are resistant to conventional immunosuppressants and anti-CD20 B-cell depletion because they are terminally differentiated and survive independently of B-cell survival signals (BAFF). Targeting CD38 — a surface marker highly expressed on long-lived plasma cells — offers a direct route to eliminating the autoantibody source.⁴ ⁵</w:t>
      </w:r>
    </w:p>
    <w:p>
      <w:r>
        <w:rPr>
          <w:b/>
          <w:sz w:val="20"/>
        </w:rPr>
        <w:t xml:space="preserve">Call to action: </w:t>
      </w:r>
      <w:r>
        <w:rPr>
          <w:sz w:val="20"/>
        </w:rPr>
        <w:t>Explore how AXURA works → /axura/how-axura-works</w:t>
      </w:r>
    </w:p>
    <w:p>
      <w:pPr>
        <w:jc w:val="center"/>
      </w:pPr>
      <w:r>
        <w:rPr>
          <w:color w:val="CCCCCC"/>
          <w:sz w:val="16"/>
        </w:rPr>
        <w:t>────────────────────────────────────────────────────────────</w:t>
      </w:r>
    </w:p>
    <w:p>
      <w:pPr>
        <w:pStyle w:val="Heading3"/>
      </w:pPr>
      <w:r>
        <w:rPr>
          <w:color w:val="006D6F"/>
        </w:rPr>
        <w:t>Section 4 — Fatigue and quality of life (centred text) | highlight background</w:t>
      </w:r>
    </w:p>
    <w:p>
      <w:r>
        <w:rPr>
          <w:b/>
          <w:sz w:val="20"/>
        </w:rPr>
        <w:t xml:space="preserve">Block: </w:t>
      </w:r>
      <w:r>
        <w:rPr>
          <w:sz w:val="20"/>
        </w:rPr>
        <w:t>introduction</w:t>
      </w:r>
    </w:p>
    <w:p>
      <w:r>
        <w:rPr>
          <w:b/>
        </w:rPr>
        <w:t xml:space="preserve">Section metadata: </w:t>
      </w:r>
      <w:r>
        <w:rPr>
          <w:color w:val="666666"/>
        </w:rPr>
        <w:t>Style: highlight</w:t>
      </w:r>
    </w:p>
    <w:p>
      <w:r>
        <w:rPr>
          <w:b/>
          <w:sz w:val="20"/>
        </w:rPr>
        <w:t xml:space="preserve">Heading: </w:t>
      </w:r>
      <w:r>
        <w:rPr>
          <w:sz w:val="20"/>
        </w:rPr>
        <w:t>Fatigue: the invisible burden of lupus</w:t>
      </w:r>
    </w:p>
    <w:p>
      <w:r>
        <w:rPr>
          <w:b/>
        </w:rPr>
        <w:t xml:space="preserve">Body text: </w:t>
      </w:r>
      <w:r>
        <w:t>Fatigue is the most commonly reported symptom in SLE, affecting over 80% of patients and frequently rated as the most disabling aspect of the disease. In AURORA-1, 52.3% of AXURA patients reported clinically meaningful improvement in FACIT-Fatigue (≥4-point increase) at Week 52, compared with 33.6% with placebo (Δ 18.7%; P&lt;0.001) — reflecting the systemic impact of reducing autoantibody-mediated inflammation.¹</w:t>
      </w:r>
    </w:p>
    <w:p>
      <w:pPr>
        <w:jc w:val="center"/>
      </w:pPr>
      <w:r>
        <w:rPr>
          <w:color w:val="CCCCCC"/>
          <w:sz w:val="16"/>
        </w:rPr>
        <w:t>────────────────────────────────────────────────────────────</w:t>
      </w:r>
    </w:p>
    <w:p>
      <w:pPr>
        <w:pStyle w:val="Heading3"/>
      </w:pPr>
      <w:r>
        <w:rPr>
          <w:color w:val="006D6F"/>
        </w:rPr>
        <w:t>Section 5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Living with Lupus | Disease Burden &amp; Unmet Need | AXURA | AstraZeneca UK</w:t>
      </w:r>
    </w:p>
    <w:p>
      <w:r>
        <w:rPr>
          <w:b w:val="0"/>
          <w:i w:val="0"/>
          <w:color w:val="363B3B"/>
          <w:sz w:val="20"/>
        </w:rPr>
        <w:t>Description: Understand the burden of systemic lupus erythematosus — the flare cycle, steroid toxicity, lupus nephritis, and the persistent role of autoantibodies in driving disease activity.</w:t>
      </w:r>
    </w:p>
    <w:p>
      <w:r>
        <w:br w:type="page"/>
      </w:r>
    </w:p>
    <w:p>
      <w:pPr>
        <w:pStyle w:val="Heading2"/>
      </w:pPr>
      <w:r>
        <w:rPr>
          <w:color w:val="830051"/>
        </w:rPr>
        <w:t>PAGE 4: Safety &amp; Monitoring</w:t>
      </w:r>
    </w:p>
    <w:p>
      <w:r>
        <w:rPr>
          <w:b/>
          <w:sz w:val="20"/>
        </w:rPr>
        <w:t xml:space="preserve">URL path: </w:t>
      </w:r>
      <w:r>
        <w:rPr>
          <w:sz w:val="20"/>
        </w:rPr>
        <w:t>/axura/safety-monitoring</w:t>
      </w:r>
    </w:p>
    <w:p>
      <w:pPr>
        <w:jc w:val="center"/>
      </w:pPr>
      <w:r>
        <w:rPr>
          <w:color w:val="CCCCCC"/>
          <w:sz w:val="16"/>
        </w:rPr>
        <w:t>────────────────────────────────────────────────────────────</w:t>
      </w:r>
    </w:p>
    <w:p>
      <w:pPr>
        <w:pStyle w:val="Heading3"/>
      </w:pPr>
      <w:r>
        <w:rPr>
          <w:color w:val="006D6F"/>
        </w:rPr>
        <w:t>Section 1 — Page header (text only, no image)</w:t>
      </w:r>
    </w:p>
    <w:p>
      <w:r>
        <w:rPr>
          <w:b/>
          <w:sz w:val="20"/>
        </w:rPr>
        <w:t xml:space="preserve">Block: </w:t>
      </w:r>
      <w:r>
        <w:rPr>
          <w:sz w:val="20"/>
        </w:rPr>
        <w:t>title</w:t>
      </w:r>
    </w:p>
    <w:p>
      <w:r>
        <w:rPr>
          <w:b/>
          <w:sz w:val="20"/>
        </w:rPr>
        <w:t xml:space="preserve">Heading: </w:t>
      </w:r>
      <w:r>
        <w:rPr>
          <w:sz w:val="20"/>
        </w:rPr>
        <w:t>Safety, monitoring, and dosing</w:t>
      </w:r>
    </w:p>
    <w:p>
      <w:r>
        <w:rPr>
          <w:b/>
        </w:rPr>
        <w:t xml:space="preserve">Body text: </w:t>
      </w:r>
      <w:r>
        <w:t>AXURA®▼ (axurelimab) has been evaluated in 561 patients across the AURORA clinical programme. Subcutaneous dosing with regular immunoglobulin monitoring supports safe, convenient long-term treatment.¹ ² ³</w:t>
      </w:r>
    </w:p>
    <w:p>
      <w:pPr>
        <w:jc w:val="center"/>
      </w:pPr>
      <w:r>
        <w:rPr>
          <w:color w:val="CCCCCC"/>
          <w:sz w:val="16"/>
        </w:rPr>
        <w:t>────────────────────────────────────────────────────────────</w:t>
      </w:r>
    </w:p>
    <w:p>
      <w:pPr>
        <w:pStyle w:val="Heading3"/>
      </w:pPr>
      <w:r>
        <w:rPr>
          <w:color w:val="006D6F"/>
        </w:rPr>
        <w:t>Section 2 — Dosing regimen (two-column: image left, text right)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13" name="Picture 13"/>
            <wp:cNvGraphicFramePr>
              <a:graphicFrameLocks noChangeAspect="1"/>
            </wp:cNvGraphicFramePr>
            <a:graphic>
              <a:graphicData uri="http://schemas.openxmlformats.org/drawingml/2006/picture">
                <pic:pic>
                  <pic:nvPicPr>
                    <pic:cNvPr id="0" name="columns-dosing.jpeg"/>
                    <pic:cNvPicPr/>
                  </pic:nvPicPr>
                  <pic:blipFill>
                    <a:blip r:embed="rId21"/>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https://velox-images.pages.dev/columns-dosing.jpeg</w:t>
      </w:r>
    </w:p>
    <w:p>
      <w:pPr>
        <w:jc w:val="center"/>
      </w:pPr>
      <w:r>
        <w:rPr>
          <w:i/>
          <w:color w:val="666666"/>
          <w:sz w:val="16"/>
        </w:rPr>
        <w:t>Usage: Dosing &amp; Administration — SC injection at home</w:t>
      </w:r>
    </w:p>
    <w:p>
      <w:r>
        <w:rPr>
          <w:b/>
          <w:sz w:val="20"/>
        </w:rPr>
        <w:t xml:space="preserve">Heading: </w:t>
      </w:r>
      <w:r>
        <w:rPr>
          <w:sz w:val="20"/>
        </w:rPr>
        <w:t>Loading and maintenance dosing</w:t>
      </w:r>
    </w:p>
    <w:p>
      <w:r>
        <w:rPr>
          <w:b/>
        </w:rPr>
        <w:t xml:space="preserve">Body text: </w:t>
      </w:r>
      <w:r>
        <w:t>Loading phase: AXURA 300 mg subcutaneous injection every 2 weeks for the first 3 doses (Weeks 0, 2, and 4). Maintenance phase: 300 mg subcutaneous injection every 4 weeks thereafter. Administer into the thigh, abdomen (excluding 5 cm around the navel), or upper arm (if administered by a caregiver). Rotate injection sites. Patients may self-inject at home after appropriate training by a healthcare professional.³</w:t>
      </w:r>
    </w:p>
    <w:p>
      <w:pPr>
        <w:jc w:val="center"/>
      </w:pPr>
      <w:r>
        <w:rPr>
          <w:color w:val="CCCCCC"/>
          <w:sz w:val="16"/>
        </w:rPr>
        <w:t>────────────────────────────────────────────────────────────</w:t>
      </w:r>
    </w:p>
    <w:p>
      <w:pPr>
        <w:pStyle w:val="Heading3"/>
      </w:pPr>
      <w:r>
        <w:rPr>
          <w:color w:val="006D6F"/>
        </w:rPr>
        <w:t>Section 3 — Key safety considerations (three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14" name="Picture 14"/>
            <wp:cNvGraphicFramePr>
              <a:graphicFrameLocks noChangeAspect="1"/>
            </wp:cNvGraphicFramePr>
            <a:graphic>
              <a:graphicData uri="http://schemas.openxmlformats.org/drawingml/2006/picture">
                <pic:pic>
                  <pic:nvPicPr>
                    <pic:cNvPr id="0" name="card-bleeding-events.jpeg"/>
                    <pic:cNvPicPr/>
                  </pic:nvPicPr>
                  <pic:blipFill>
                    <a:blip r:embed="rId17"/>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https://velox-images.pages.dev/card-bleeding-events.jpeg</w:t>
      </w:r>
    </w:p>
    <w:p>
      <w:pPr>
        <w:jc w:val="center"/>
      </w:pPr>
      <w:r>
        <w:rPr>
          <w:i/>
          <w:color w:val="666666"/>
          <w:sz w:val="16"/>
        </w:rPr>
        <w:t>Usage: Safety &amp; Monitoring — infusion/injection reactions card</w:t>
      </w:r>
    </w:p>
    <w:p>
      <w:r>
        <w:rPr>
          <w:b/>
          <w:sz w:val="20"/>
        </w:rPr>
        <w:t xml:space="preserve">Card heading: </w:t>
      </w:r>
      <w:r>
        <w:rPr>
          <w:sz w:val="20"/>
        </w:rPr>
        <w:t>Injection site reactions</w:t>
      </w:r>
    </w:p>
    <w:p>
      <w:r>
        <w:rPr>
          <w:b/>
        </w:rPr>
        <w:t xml:space="preserve">Card body: </w:t>
      </w:r>
      <w:r>
        <w:t>ISRs occurred in 14.8% of AXURA patients (most grade 1: erythema, pruritus). Frequency decreased with successive doses: 12.1% at dose 1 to &lt;2% at doses ≥4. No ISR led to discontinuation. Pre-treatment with paracetamol or antihistamine is not routinely required.³</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5" name="Picture 15"/>
            <wp:cNvGraphicFramePr>
              <a:graphicFrameLocks noChangeAspect="1"/>
            </wp:cNvGraphicFramePr>
            <a:graphic>
              <a:graphicData uri="http://schemas.openxmlformats.org/drawingml/2006/picture">
                <pic:pic>
                  <pic:nvPicPr>
                    <pic:cNvPr id="0" name="card-hepatic.jpeg"/>
                    <pic:cNvPicPr/>
                  </pic:nvPicPr>
                  <pic:blipFill>
                    <a:blip r:embed="rId18"/>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https://velox-images.pages.dev/card-hepatic.jpeg</w:t>
      </w:r>
    </w:p>
    <w:p>
      <w:pPr>
        <w:jc w:val="center"/>
      </w:pPr>
      <w:r>
        <w:rPr>
          <w:i/>
          <w:color w:val="666666"/>
          <w:sz w:val="16"/>
        </w:rPr>
        <w:t>Usage: Safety &amp; Monitoring — immunoglobulin monitoring card</w:t>
      </w:r>
    </w:p>
    <w:p>
      <w:r>
        <w:rPr>
          <w:b/>
          <w:sz w:val="20"/>
        </w:rPr>
        <w:t xml:space="preserve">Card heading: </w:t>
      </w:r>
      <w:r>
        <w:rPr>
          <w:sz w:val="20"/>
        </w:rPr>
        <w:t>Immunoglobulin monitoring</w:t>
      </w:r>
    </w:p>
    <w:p>
      <w:r>
        <w:rPr>
          <w:b/>
        </w:rPr>
        <w:t xml:space="preserve">Card body: </w:t>
      </w:r>
      <w:r>
        <w:t>IgG levels decrease by ~18% at Week 52 (expected pharmacological effect). IgG &lt;6.0 g/L in 12.3% of patients; IgG &lt;4.0 g/L in 2.1%. Monitor IgG, IgA, IgM at baseline, Week 12, Week 24, and every 6 months. Consider withholding if IgG &lt;4.0 g/L with concurrent serious or recurrent infections.³</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6" name="Picture 16"/>
            <wp:cNvGraphicFramePr>
              <a:graphicFrameLocks noChangeAspect="1"/>
            </wp:cNvGraphicFramePr>
            <a:graphic>
              <a:graphicData uri="http://schemas.openxmlformats.org/drawingml/2006/picture">
                <pic:pic>
                  <pic:nvPicPr>
                    <pic:cNvPr id="0" name="card-gi-events.jpeg"/>
                    <pic:cNvPicPr/>
                  </pic:nvPicPr>
                  <pic:blipFill>
                    <a:blip r:embed="rId19"/>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https://velox-images.pages.dev/card-gi-events.jpeg</w:t>
      </w:r>
    </w:p>
    <w:p>
      <w:pPr>
        <w:jc w:val="center"/>
      </w:pPr>
      <w:r>
        <w:rPr>
          <w:i/>
          <w:color w:val="666666"/>
          <w:sz w:val="16"/>
        </w:rPr>
        <w:t>Usage: Safety &amp; Monitoring — infection risk card</w:t>
      </w:r>
    </w:p>
    <w:p>
      <w:r>
        <w:rPr>
          <w:b/>
          <w:sz w:val="20"/>
        </w:rPr>
        <w:t xml:space="preserve">Card heading: </w:t>
      </w:r>
      <w:r>
        <w:rPr>
          <w:sz w:val="20"/>
        </w:rPr>
        <w:t>Infection risk</w:t>
      </w:r>
    </w:p>
    <w:p>
      <w:r>
        <w:rPr>
          <w:b/>
        </w:rPr>
        <w:t xml:space="preserve">Card body: </w:t>
      </w:r>
      <w:r>
        <w:t>Serious infections: 6.2% vs 5.4% placebo. Herpes zoster: 6.8% vs 2.4%. Recommend recombinant zoster vaccination before or during treatment. Screen for TB and HBV before initiation. Do not initiate during active infections. No opportunistic infections or PML cases were observed.³</w:t>
      </w:r>
    </w:p>
    <w:p>
      <w:pPr>
        <w:jc w:val="center"/>
      </w:pPr>
      <w:r>
        <w:rPr>
          <w:color w:val="CCCCCC"/>
          <w:sz w:val="16"/>
        </w:rPr>
        <w:t>────────────────────────────────────────────────────────────</w:t>
      </w:r>
    </w:p>
    <w:p>
      <w:pPr>
        <w:pStyle w:val="Heading3"/>
      </w:pPr>
      <w:r>
        <w:rPr>
          <w:color w:val="006D6F"/>
        </w:rPr>
        <w:t>Section 4 — Monitoring schedule table | light background</w:t>
      </w:r>
    </w:p>
    <w:p>
      <w:r>
        <w:rPr>
          <w:b/>
          <w:sz w:val="20"/>
        </w:rPr>
        <w:t xml:space="preserve">Block: </w:t>
      </w:r>
      <w:r>
        <w:rPr>
          <w:sz w:val="20"/>
        </w:rPr>
        <w:t>table-data</w:t>
      </w:r>
    </w:p>
    <w:p>
      <w:r>
        <w:rPr>
          <w:b/>
        </w:rPr>
        <w:t xml:space="preserve">Section metadata: </w:t>
      </w:r>
      <w:r>
        <w:rPr>
          <w:color w:val="666666"/>
        </w:rPr>
        <w:t>Style: light</w:t>
      </w:r>
    </w:p>
    <w:p>
      <w:r>
        <w:rPr>
          <w:b/>
          <w:sz w:val="20"/>
        </w:rPr>
        <w:t xml:space="preserve">Heading: </w:t>
      </w:r>
      <w:r>
        <w:rPr>
          <w:sz w:val="20"/>
        </w:rPr>
        <w:t>Recommended monitoring schedule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830051"/>
          </w:tcPr>
          <w:p>
            <w:r/>
            <w:r>
              <w:rPr>
                <w:b/>
                <w:color w:val="FFFFFF"/>
                <w:sz w:val="18"/>
              </w:rPr>
              <w:t>Assessment</w:t>
            </w:r>
          </w:p>
        </w:tc>
        <w:tc>
          <w:tcPr>
            <w:tcW w:type="dxa" w:w="1512"/>
            <w:shd w:fill="830051"/>
          </w:tcPr>
          <w:p>
            <w:r/>
            <w:r>
              <w:rPr>
                <w:b/>
                <w:color w:val="FFFFFF"/>
                <w:sz w:val="18"/>
              </w:rPr>
              <w:t>Baseline</w:t>
            </w:r>
          </w:p>
        </w:tc>
        <w:tc>
          <w:tcPr>
            <w:tcW w:type="dxa" w:w="1512"/>
            <w:shd w:fill="830051"/>
          </w:tcPr>
          <w:p>
            <w:r/>
            <w:r>
              <w:rPr>
                <w:b/>
                <w:color w:val="FFFFFF"/>
                <w:sz w:val="18"/>
              </w:rPr>
              <w:t>Week 12</w:t>
            </w:r>
          </w:p>
        </w:tc>
        <w:tc>
          <w:tcPr>
            <w:tcW w:type="dxa" w:w="1512"/>
            <w:shd w:fill="830051"/>
          </w:tcPr>
          <w:p>
            <w:r/>
            <w:r>
              <w:rPr>
                <w:b/>
                <w:color w:val="FFFFFF"/>
                <w:sz w:val="18"/>
              </w:rPr>
              <w:t>Week 24</w:t>
            </w:r>
          </w:p>
        </w:tc>
        <w:tc>
          <w:tcPr>
            <w:tcW w:type="dxa" w:w="1512"/>
            <w:shd w:fill="830051"/>
          </w:tcPr>
          <w:p>
            <w:r/>
            <w:r>
              <w:rPr>
                <w:b/>
                <w:color w:val="FFFFFF"/>
                <w:sz w:val="18"/>
              </w:rPr>
              <w:t>Every 6 months</w:t>
            </w:r>
          </w:p>
        </w:tc>
        <w:tc>
          <w:tcPr>
            <w:tcW w:type="dxa" w:w="1512"/>
            <w:shd w:fill="830051"/>
          </w:tcPr>
          <w:p>
            <w:r/>
            <w:r>
              <w:rPr>
                <w:b/>
                <w:color w:val="FFFFFF"/>
                <w:sz w:val="18"/>
              </w:rPr>
              <w:t>As indicated</w:t>
            </w:r>
          </w:p>
        </w:tc>
      </w:tr>
      <w:tr>
        <w:tc>
          <w:tcPr>
            <w:tcW w:type="dxa" w:w="1512"/>
          </w:tcPr>
          <w:p>
            <w:r/>
            <w:r>
              <w:rPr>
                <w:color w:val="363B3B"/>
                <w:sz w:val="18"/>
              </w:rPr>
              <w:t>Immunoglobulins (IgG, IgA, IgM)</w:t>
            </w:r>
          </w:p>
        </w:tc>
        <w:tc>
          <w:tcPr>
            <w:tcW w:type="dxa" w:w="1512"/>
          </w:tcPr>
          <w:p>
            <w:r/>
            <w:r>
              <w:rPr>
                <w:color w:val="363B3B"/>
                <w:sz w:val="18"/>
              </w:rPr>
              <w:t>✓</w:t>
            </w:r>
          </w:p>
        </w:tc>
        <w:tc>
          <w:tcPr>
            <w:tcW w:type="dxa" w:w="1512"/>
          </w:tcPr>
          <w:p>
            <w:r/>
            <w:r>
              <w:rPr>
                <w:color w:val="363B3B"/>
                <w:sz w:val="18"/>
              </w:rPr>
              <w:t>✓</w:t>
            </w:r>
          </w:p>
        </w:tc>
        <w:tc>
          <w:tcPr>
            <w:tcW w:type="dxa" w:w="1512"/>
          </w:tcPr>
          <w:p>
            <w:r/>
            <w:r>
              <w:rPr>
                <w:color w:val="363B3B"/>
                <w:sz w:val="18"/>
              </w:rPr>
              <w:t>✓</w:t>
            </w:r>
          </w:p>
        </w:tc>
        <w:tc>
          <w:tcPr>
            <w:tcW w:type="dxa" w:w="1512"/>
          </w:tcPr>
          <w:p>
            <w:r/>
            <w:r>
              <w:rPr>
                <w:color w:val="363B3B"/>
                <w:sz w:val="18"/>
              </w:rPr>
              <w:t>✓</w:t>
            </w:r>
          </w:p>
        </w:tc>
        <w:tc>
          <w:tcPr>
            <w:tcW w:type="dxa" w:w="1512"/>
          </w:tcPr>
          <w:p>
            <w:r/>
            <w:r>
              <w:rPr>
                <w:color w:val="363B3B"/>
                <w:sz w:val="18"/>
              </w:rPr>
              <w:t>✓</w:t>
            </w:r>
          </w:p>
        </w:tc>
      </w:tr>
      <w:tr>
        <w:tc>
          <w:tcPr>
            <w:tcW w:type="dxa" w:w="1512"/>
            <w:shd w:fill="F8F8F8"/>
          </w:tcPr>
          <w:p>
            <w:r/>
            <w:r>
              <w:rPr>
                <w:color w:val="363B3B"/>
                <w:sz w:val="18"/>
              </w:rPr>
              <w:t>Full blood count</w:t>
            </w:r>
          </w:p>
        </w:tc>
        <w:tc>
          <w:tcPr>
            <w:tcW w:type="dxa" w:w="1512"/>
            <w:shd w:fill="F8F8F8"/>
          </w:tcPr>
          <w:p>
            <w:r/>
            <w:r>
              <w:rPr>
                <w:color w:val="363B3B"/>
                <w:sz w:val="18"/>
              </w:rPr>
              <w:t>✓</w:t>
            </w:r>
          </w:p>
        </w:tc>
        <w:tc>
          <w:tcPr>
            <w:tcW w:type="dxa" w:w="1512"/>
            <w:shd w:fill="F8F8F8"/>
          </w:tcPr>
          <w:p>
            <w:r/>
            <w:r>
              <w:rPr>
                <w:color w:val="363B3B"/>
                <w:sz w:val="18"/>
              </w:rPr>
              <w:t>✓</w:t>
            </w:r>
          </w:p>
        </w:tc>
        <w:tc>
          <w:tcPr>
            <w:tcW w:type="dxa" w:w="1512"/>
            <w:shd w:fill="F8F8F8"/>
          </w:tcPr>
          <w:p>
            <w:r/>
            <w:r>
              <w:rPr>
                <w:color w:val="363B3B"/>
                <w:sz w:val="18"/>
              </w:rPr>
            </w:r>
          </w:p>
        </w:tc>
        <w:tc>
          <w:tcPr>
            <w:tcW w:type="dxa" w:w="1512"/>
            <w:shd w:fill="F8F8F8"/>
          </w:tcPr>
          <w:p>
            <w:r/>
            <w:r>
              <w:rPr>
                <w:color w:val="363B3B"/>
                <w:sz w:val="18"/>
              </w:rPr>
              <w:t>✓</w:t>
            </w:r>
          </w:p>
        </w:tc>
        <w:tc>
          <w:tcPr>
            <w:tcW w:type="dxa" w:w="1512"/>
            <w:shd w:fill="F8F8F8"/>
          </w:tcPr>
          <w:p>
            <w:r/>
            <w:r>
              <w:rPr>
                <w:color w:val="363B3B"/>
                <w:sz w:val="18"/>
              </w:rPr>
              <w:t>✓</w:t>
            </w:r>
          </w:p>
        </w:tc>
      </w:tr>
      <w:tr>
        <w:tc>
          <w:tcPr>
            <w:tcW w:type="dxa" w:w="1512"/>
          </w:tcPr>
          <w:p>
            <w:r/>
            <w:r>
              <w:rPr>
                <w:color w:val="363B3B"/>
                <w:sz w:val="18"/>
              </w:rPr>
              <w:t>Renal function (eGFR, uPCR)</w:t>
            </w:r>
          </w:p>
        </w:tc>
        <w:tc>
          <w:tcPr>
            <w:tcW w:type="dxa" w:w="1512"/>
          </w:tcPr>
          <w:p>
            <w:r/>
            <w:r>
              <w:rPr>
                <w:color w:val="363B3B"/>
                <w:sz w:val="18"/>
              </w:rPr>
              <w:t>✓</w:t>
            </w:r>
          </w:p>
        </w:tc>
        <w:tc>
          <w:tcPr>
            <w:tcW w:type="dxa" w:w="1512"/>
          </w:tcPr>
          <w:p>
            <w:r/>
            <w:r>
              <w:rPr>
                <w:color w:val="363B3B"/>
                <w:sz w:val="18"/>
              </w:rPr>
              <w:t>✓</w:t>
            </w:r>
          </w:p>
        </w:tc>
        <w:tc>
          <w:tcPr>
            <w:tcW w:type="dxa" w:w="1512"/>
          </w:tcPr>
          <w:p>
            <w:r/>
            <w:r>
              <w:rPr>
                <w:color w:val="363B3B"/>
                <w:sz w:val="18"/>
              </w:rPr>
              <w:t>✓</w:t>
            </w:r>
          </w:p>
        </w:tc>
        <w:tc>
          <w:tcPr>
            <w:tcW w:type="dxa" w:w="1512"/>
          </w:tcPr>
          <w:p>
            <w:r/>
            <w:r>
              <w:rPr>
                <w:color w:val="363B3B"/>
                <w:sz w:val="18"/>
              </w:rPr>
              <w:t>✓</w:t>
            </w:r>
          </w:p>
        </w:tc>
        <w:tc>
          <w:tcPr>
            <w:tcW w:type="dxa" w:w="1512"/>
          </w:tcPr>
          <w:p>
            <w:r/>
            <w:r>
              <w:rPr>
                <w:color w:val="363B3B"/>
                <w:sz w:val="18"/>
              </w:rPr>
              <w:t>✓</w:t>
            </w:r>
          </w:p>
        </w:tc>
      </w:tr>
      <w:tr>
        <w:tc>
          <w:tcPr>
            <w:tcW w:type="dxa" w:w="1512"/>
            <w:shd w:fill="F8F8F8"/>
          </w:tcPr>
          <w:p>
            <w:r/>
            <w:r>
              <w:rPr>
                <w:color w:val="363B3B"/>
                <w:sz w:val="18"/>
              </w:rPr>
              <w:t>Hepatitis B screening</w:t>
            </w:r>
          </w:p>
        </w:tc>
        <w:tc>
          <w:tcPr>
            <w:tcW w:type="dxa" w:w="1512"/>
            <w:shd w:fill="F8F8F8"/>
          </w:tcPr>
          <w:p>
            <w:r/>
            <w:r>
              <w:rPr>
                <w:color w:val="363B3B"/>
                <w:sz w:val="18"/>
              </w:rPr>
              <w:t>✓</w:t>
            </w:r>
          </w:p>
        </w:tc>
        <w:tc>
          <w:tcPr>
            <w:tcW w:type="dxa" w:w="1512"/>
            <w:shd w:fill="F8F8F8"/>
          </w:tcPr>
          <w:p>
            <w:r/>
            <w:r>
              <w:rPr>
                <w:color w:val="363B3B"/>
                <w:sz w:val="18"/>
              </w:rPr>
            </w:r>
          </w:p>
        </w:tc>
        <w:tc>
          <w:tcPr>
            <w:tcW w:type="dxa" w:w="1512"/>
            <w:shd w:fill="F8F8F8"/>
          </w:tcPr>
          <w:p>
            <w:r/>
            <w:r>
              <w:rPr>
                <w:color w:val="363B3B"/>
                <w:sz w:val="18"/>
              </w:rPr>
            </w:r>
          </w:p>
        </w:tc>
        <w:tc>
          <w:tcPr>
            <w:tcW w:type="dxa" w:w="1512"/>
            <w:shd w:fill="F8F8F8"/>
          </w:tcPr>
          <w:p>
            <w:r/>
            <w:r>
              <w:rPr>
                <w:color w:val="363B3B"/>
                <w:sz w:val="18"/>
              </w:rPr>
            </w:r>
          </w:p>
        </w:tc>
        <w:tc>
          <w:tcPr>
            <w:tcW w:type="dxa" w:w="1512"/>
            <w:shd w:fill="F8F8F8"/>
          </w:tcPr>
          <w:p>
            <w:r/>
            <w:r>
              <w:rPr>
                <w:color w:val="363B3B"/>
                <w:sz w:val="18"/>
              </w:rPr>
            </w:r>
          </w:p>
        </w:tc>
      </w:tr>
      <w:tr>
        <w:tc>
          <w:tcPr>
            <w:tcW w:type="dxa" w:w="1512"/>
          </w:tcPr>
          <w:p>
            <w:r/>
            <w:r>
              <w:rPr>
                <w:color w:val="363B3B"/>
                <w:sz w:val="18"/>
              </w:rPr>
              <w:t>TB screening</w:t>
            </w:r>
          </w:p>
        </w:tc>
        <w:tc>
          <w:tcPr>
            <w:tcW w:type="dxa" w:w="1512"/>
          </w:tcPr>
          <w:p>
            <w:r/>
            <w:r>
              <w:rPr>
                <w:color w:val="363B3B"/>
                <w:sz w:val="18"/>
              </w:rPr>
              <w:t>✓</w:t>
            </w:r>
          </w:p>
        </w:tc>
        <w:tc>
          <w:tcPr>
            <w:tcW w:type="dxa" w:w="1512"/>
          </w:tcPr>
          <w:p>
            <w:r/>
            <w:r>
              <w:rPr>
                <w:color w:val="363B3B"/>
                <w:sz w:val="18"/>
              </w:rPr>
            </w:r>
          </w:p>
        </w:tc>
        <w:tc>
          <w:tcPr>
            <w:tcW w:type="dxa" w:w="1512"/>
          </w:tcPr>
          <w:p>
            <w:r/>
            <w:r>
              <w:rPr>
                <w:color w:val="363B3B"/>
                <w:sz w:val="18"/>
              </w:rPr>
            </w:r>
          </w:p>
        </w:tc>
        <w:tc>
          <w:tcPr>
            <w:tcW w:type="dxa" w:w="1512"/>
          </w:tcPr>
          <w:p>
            <w:r/>
            <w:r>
              <w:rPr>
                <w:color w:val="363B3B"/>
                <w:sz w:val="18"/>
              </w:rPr>
            </w:r>
          </w:p>
        </w:tc>
        <w:tc>
          <w:tcPr>
            <w:tcW w:type="dxa" w:w="1512"/>
          </w:tcPr>
          <w:p>
            <w:r/>
            <w:r>
              <w:rPr>
                <w:color w:val="363B3B"/>
                <w:sz w:val="18"/>
              </w:rPr>
            </w:r>
          </w:p>
        </w:tc>
      </w:tr>
      <w:tr>
        <w:tc>
          <w:tcPr>
            <w:tcW w:type="dxa" w:w="1512"/>
            <w:shd w:fill="F8F8F8"/>
          </w:tcPr>
          <w:p>
            <w:r/>
            <w:r>
              <w:rPr>
                <w:color w:val="363B3B"/>
                <w:sz w:val="18"/>
              </w:rPr>
              <w:t>Complement (C3, C4)</w:t>
            </w:r>
          </w:p>
        </w:tc>
        <w:tc>
          <w:tcPr>
            <w:tcW w:type="dxa" w:w="1512"/>
            <w:shd w:fill="F8F8F8"/>
          </w:tcPr>
          <w:p>
            <w:r/>
            <w:r>
              <w:rPr>
                <w:color w:val="363B3B"/>
                <w:sz w:val="18"/>
              </w:rPr>
              <w:t>✓</w:t>
            </w:r>
          </w:p>
        </w:tc>
        <w:tc>
          <w:tcPr>
            <w:tcW w:type="dxa" w:w="1512"/>
            <w:shd w:fill="F8F8F8"/>
          </w:tcPr>
          <w:p>
            <w:r/>
            <w:r>
              <w:rPr>
                <w:color w:val="363B3B"/>
                <w:sz w:val="18"/>
              </w:rPr>
              <w:t>✓</w:t>
            </w:r>
          </w:p>
        </w:tc>
        <w:tc>
          <w:tcPr>
            <w:tcW w:type="dxa" w:w="1512"/>
            <w:shd w:fill="F8F8F8"/>
          </w:tcPr>
          <w:p>
            <w:r/>
            <w:r>
              <w:rPr>
                <w:color w:val="363B3B"/>
                <w:sz w:val="18"/>
              </w:rPr>
              <w:t>✓</w:t>
            </w:r>
          </w:p>
        </w:tc>
        <w:tc>
          <w:tcPr>
            <w:tcW w:type="dxa" w:w="1512"/>
            <w:shd w:fill="F8F8F8"/>
          </w:tcPr>
          <w:p>
            <w:r/>
            <w:r>
              <w:rPr>
                <w:color w:val="363B3B"/>
                <w:sz w:val="18"/>
              </w:rPr>
              <w:t>✓</w:t>
            </w:r>
          </w:p>
        </w:tc>
        <w:tc>
          <w:tcPr>
            <w:tcW w:type="dxa" w:w="1512"/>
            <w:shd w:fill="F8F8F8"/>
          </w:tcPr>
          <w:p>
            <w:r/>
            <w:r>
              <w:rPr>
                <w:color w:val="363B3B"/>
                <w:sz w:val="18"/>
              </w:rPr>
            </w:r>
          </w:p>
        </w:tc>
      </w:tr>
      <w:tr>
        <w:tc>
          <w:tcPr>
            <w:tcW w:type="dxa" w:w="1512"/>
          </w:tcPr>
          <w:p>
            <w:r/>
            <w:r>
              <w:rPr>
                <w:color w:val="363B3B"/>
                <w:sz w:val="18"/>
              </w:rPr>
              <w:t>Anti-dsDNA titre</w:t>
            </w:r>
          </w:p>
        </w:tc>
        <w:tc>
          <w:tcPr>
            <w:tcW w:type="dxa" w:w="1512"/>
          </w:tcPr>
          <w:p>
            <w:r/>
            <w:r>
              <w:rPr>
                <w:color w:val="363B3B"/>
                <w:sz w:val="18"/>
              </w:rPr>
              <w:t>✓</w:t>
            </w:r>
          </w:p>
        </w:tc>
        <w:tc>
          <w:tcPr>
            <w:tcW w:type="dxa" w:w="1512"/>
          </w:tcPr>
          <w:p>
            <w:r/>
            <w:r>
              <w:rPr>
                <w:color w:val="363B3B"/>
                <w:sz w:val="18"/>
              </w:rPr>
              <w:t>✓</w:t>
            </w:r>
          </w:p>
        </w:tc>
        <w:tc>
          <w:tcPr>
            <w:tcW w:type="dxa" w:w="1512"/>
          </w:tcPr>
          <w:p>
            <w:r/>
            <w:r>
              <w:rPr>
                <w:color w:val="363B3B"/>
                <w:sz w:val="18"/>
              </w:rPr>
              <w:t>✓</w:t>
            </w:r>
          </w:p>
        </w:tc>
        <w:tc>
          <w:tcPr>
            <w:tcW w:type="dxa" w:w="1512"/>
          </w:tcPr>
          <w:p>
            <w:r/>
            <w:r>
              <w:rPr>
                <w:color w:val="363B3B"/>
                <w:sz w:val="18"/>
              </w:rPr>
              <w:t>✓</w:t>
            </w:r>
          </w:p>
        </w:tc>
        <w:tc>
          <w:tcPr>
            <w:tcW w:type="dxa" w:w="1512"/>
          </w:tcPr>
          <w:p>
            <w:r/>
            <w:r>
              <w:rPr>
                <w:color w:val="363B3B"/>
                <w:sz w:val="18"/>
              </w:rPr>
            </w:r>
          </w:p>
        </w:tc>
      </w:tr>
      <w:tr>
        <w:tc>
          <w:tcPr>
            <w:tcW w:type="dxa" w:w="1512"/>
            <w:shd w:fill="F8F8F8"/>
          </w:tcPr>
          <w:p>
            <w:r/>
            <w:r>
              <w:rPr>
                <w:color w:val="363B3B"/>
                <w:sz w:val="18"/>
              </w:rPr>
              <w:t>Vaccination status</w:t>
            </w:r>
          </w:p>
        </w:tc>
        <w:tc>
          <w:tcPr>
            <w:tcW w:type="dxa" w:w="1512"/>
            <w:shd w:fill="F8F8F8"/>
          </w:tcPr>
          <w:p>
            <w:r/>
            <w:r>
              <w:rPr>
                <w:color w:val="363B3B"/>
                <w:sz w:val="18"/>
              </w:rPr>
              <w:t>✓</w:t>
            </w:r>
          </w:p>
        </w:tc>
        <w:tc>
          <w:tcPr>
            <w:tcW w:type="dxa" w:w="1512"/>
            <w:shd w:fill="F8F8F8"/>
          </w:tcPr>
          <w:p>
            <w:r/>
            <w:r>
              <w:rPr>
                <w:color w:val="363B3B"/>
                <w:sz w:val="18"/>
              </w:rPr>
            </w:r>
          </w:p>
        </w:tc>
        <w:tc>
          <w:tcPr>
            <w:tcW w:type="dxa" w:w="1512"/>
            <w:shd w:fill="F8F8F8"/>
          </w:tcPr>
          <w:p>
            <w:r/>
            <w:r>
              <w:rPr>
                <w:color w:val="363B3B"/>
                <w:sz w:val="18"/>
              </w:rPr>
            </w:r>
          </w:p>
        </w:tc>
        <w:tc>
          <w:tcPr>
            <w:tcW w:type="dxa" w:w="1512"/>
            <w:shd w:fill="F8F8F8"/>
          </w:tcPr>
          <w:p>
            <w:r/>
            <w:r>
              <w:rPr>
                <w:color w:val="363B3B"/>
                <w:sz w:val="18"/>
              </w:rPr>
            </w:r>
          </w:p>
        </w:tc>
        <w:tc>
          <w:tcPr>
            <w:tcW w:type="dxa" w:w="1512"/>
            <w:shd w:fill="F8F8F8"/>
          </w:tcPr>
          <w:p>
            <w:r/>
            <w:r>
              <w:rPr>
                <w:color w:val="363B3B"/>
                <w:sz w:val="18"/>
              </w:rPr>
            </w:r>
          </w:p>
        </w:tc>
      </w:tr>
    </w:tbl>
    <w:p>
      <w:pPr>
        <w:jc w:val="center"/>
      </w:pPr>
      <w:r>
        <w:rPr>
          <w:color w:val="CCCCCC"/>
          <w:sz w:val="16"/>
        </w:rPr>
        <w:t>────────────────────────────────────────────────────────────</w:t>
      </w:r>
    </w:p>
    <w:p>
      <w:pPr>
        <w:pStyle w:val="Heading3"/>
      </w:pPr>
      <w:r>
        <w:rPr>
          <w:color w:val="006D6F"/>
        </w:rPr>
        <w:t>Section 5 — Practical considerations (two-column: image left, text right)</w:t>
      </w:r>
    </w:p>
    <w:p>
      <w:r>
        <w:rPr>
          <w:b/>
          <w:sz w:val="20"/>
        </w:rPr>
        <w:t xml:space="preserve">Block: </w:t>
      </w:r>
      <w:r>
        <w:rPr>
          <w:sz w:val="20"/>
        </w:rPr>
        <w:t>columns-teaser</w:t>
      </w:r>
    </w:p>
    <w:p/>
    <w:p>
      <w:pPr>
        <w:jc w:val="center"/>
      </w:pPr>
      <w:r>
        <w:drawing>
          <wp:inline xmlns:a="http://schemas.openxmlformats.org/drawingml/2006/main" xmlns:pic="http://schemas.openxmlformats.org/drawingml/2006/picture">
            <wp:extent cx="3200400" cy="2389632"/>
            <wp:docPr id="17" name="Picture 17"/>
            <wp:cNvGraphicFramePr>
              <a:graphicFrameLocks noChangeAspect="1"/>
            </wp:cNvGraphicFramePr>
            <a:graphic>
              <a:graphicData uri="http://schemas.openxmlformats.org/drawingml/2006/picture">
                <pic:pic>
                  <pic:nvPicPr>
                    <pic:cNvPr id="0" name="columns-monitoring.jpeg"/>
                    <pic:cNvPicPr/>
                  </pic:nvPicPr>
                  <pic:blipFill>
                    <a:blip r:embed="rId20"/>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https://velox-images.pages.dev/columns-monitoring.jpeg</w:t>
      </w:r>
    </w:p>
    <w:p>
      <w:pPr>
        <w:jc w:val="center"/>
      </w:pPr>
      <w:r>
        <w:rPr>
          <w:i/>
          <w:color w:val="666666"/>
          <w:sz w:val="16"/>
        </w:rPr>
        <w:t>Usage: Safety &amp; Monitoring — monitoring schedule</w:t>
      </w:r>
    </w:p>
    <w:p>
      <w:r>
        <w:rPr>
          <w:b/>
          <w:sz w:val="20"/>
        </w:rPr>
        <w:t xml:space="preserve">Heading: </w:t>
      </w:r>
      <w:r>
        <w:rPr>
          <w:sz w:val="20"/>
        </w:rPr>
        <w:t>Pre-treatment checklist and vaccination guidance</w:t>
      </w:r>
    </w:p>
    <w:p>
      <w:r>
        <w:rPr>
          <w:b/>
        </w:rPr>
        <w:t xml:space="preserve">Body text: </w:t>
      </w:r>
      <w:r>
        <w:t>Before initiating AXURA: Complete all age-appropriate vaccinations, including recombinant zoster vaccine (Shingrix) where possible. Screen for active infections, TB (interferon-gamma release assay or tuberculin skin test), and hepatitis B (HBsAg, anti-HBc, HBV DNA if positive). Assess baseline immunoglobulins, FBC, renal function, and complement/anti-dsDNA. Ensure effective contraception in women of childbearing potential. AXURA may be initiated alongside existing standard of care (antimalarials, immunosuppressants, low-dose glucocorticoids) without washout.³</w:t>
      </w:r>
    </w:p>
    <w:p>
      <w:pPr>
        <w:jc w:val="center"/>
      </w:pPr>
      <w:r>
        <w:rPr>
          <w:color w:val="CCCCCC"/>
          <w:sz w:val="16"/>
        </w:rPr>
        <w:t>────────────────────────────────────────────────────────────</w:t>
      </w:r>
    </w:p>
    <w:p>
      <w:pPr>
        <w:pStyle w:val="Heading3"/>
      </w:pPr>
      <w:r>
        <w:rPr>
          <w:color w:val="006D6F"/>
        </w:rPr>
        <w:t>Section 6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Safety &amp; Monitoring | AXURA (axurelimab) | Dosing, ISRs, Immunoglobulins | AstraZeneca UK</w:t>
      </w:r>
    </w:p>
    <w:p>
      <w:r>
        <w:rPr>
          <w:b w:val="0"/>
          <w:i w:val="0"/>
          <w:color w:val="363B3B"/>
          <w:sz w:val="20"/>
        </w:rPr>
        <w:t>Description: AXURA (axurelimab) safety profile, dosing regimen, monitoring schedule, and practical guidance for UK healthcare professionals managing SLE and lupus nephritis.</w:t>
      </w:r>
    </w:p>
    <w:p>
      <w:r>
        <w:br w:type="page"/>
      </w:r>
    </w:p>
    <w:p>
      <w:pPr>
        <w:pStyle w:val="Heading2"/>
      </w:pPr>
      <w:r>
        <w:rPr>
          <w:color w:val="830051"/>
        </w:rPr>
        <w:t>PAGE 5: How AXURA Works</w:t>
      </w:r>
    </w:p>
    <w:p>
      <w:r>
        <w:rPr>
          <w:b/>
          <w:sz w:val="20"/>
        </w:rPr>
        <w:t xml:space="preserve">URL path: </w:t>
      </w:r>
      <w:r>
        <w:rPr>
          <w:sz w:val="20"/>
        </w:rPr>
        <w:t>/axura/how-axura-works</w:t>
      </w:r>
    </w:p>
    <w:p>
      <w:pPr>
        <w:jc w:val="center"/>
      </w:pPr>
      <w:r>
        <w:rPr>
          <w:color w:val="CCCCCC"/>
          <w:sz w:val="16"/>
        </w:rPr>
        <w:t>────────────────────────────────────────────────────────────</w:t>
      </w:r>
    </w:p>
    <w:p>
      <w:pPr>
        <w:pStyle w:val="Heading3"/>
      </w:pPr>
      <w:r>
        <w:rPr>
          <w:color w:val="006D6F"/>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18" name="Picture 18"/>
            <wp:cNvGraphicFramePr>
              <a:graphicFrameLocks noChangeAspect="1"/>
            </wp:cNvGraphicFramePr>
            <a:graphic>
              <a:graphicData uri="http://schemas.openxmlformats.org/drawingml/2006/picture">
                <pic:pic>
                  <pic:nvPicPr>
                    <pic:cNvPr id="0" name="hero-moa.jpeg"/>
                    <pic:cNvPicPr/>
                  </pic:nvPicPr>
                  <pic:blipFill>
                    <a:blip r:embed="rId22"/>
                    <a:stretch>
                      <a:fillRect/>
                    </a:stretch>
                  </pic:blipFill>
                  <pic:spPr>
                    <a:xfrm>
                      <a:off x="0" y="0"/>
                      <a:ext cx="5029200" cy="2806995"/>
                    </a:xfrm>
                    <a:prstGeom prst="rect"/>
                  </pic:spPr>
                </pic:pic>
              </a:graphicData>
            </a:graphic>
          </wp:inline>
        </w:drawing>
      </w:r>
    </w:p>
    <w:p>
      <w:pPr>
        <w:jc w:val="center"/>
      </w:pPr>
      <w:r>
        <w:rPr>
          <w:color w:val="005599"/>
          <w:sz w:val="16"/>
          <w:u w:val="single"/>
        </w:rPr>
        <w:t>https://velox-images.pages.dev/hero-moa.jpeg</w:t>
      </w:r>
    </w:p>
    <w:p>
      <w:pPr>
        <w:jc w:val="center"/>
      </w:pPr>
      <w:r>
        <w:rPr>
          <w:i/>
          <w:color w:val="666666"/>
          <w:sz w:val="16"/>
        </w:rPr>
        <w:t>Usage: How AXURA Works — hero</w:t>
      </w:r>
    </w:p>
    <w:p>
      <w:r>
        <w:rPr>
          <w:b/>
          <w:sz w:val="20"/>
        </w:rPr>
        <w:t xml:space="preserve">Heading: </w:t>
      </w:r>
      <w:r>
        <w:rPr>
          <w:sz w:val="20"/>
        </w:rPr>
        <w:t>How AXURA works</w:t>
      </w:r>
    </w:p>
    <w:p>
      <w:r>
        <w:rPr>
          <w:b/>
        </w:rPr>
        <w:t xml:space="preserve">Body text: </w:t>
      </w:r>
      <w:r>
        <w:t>AXURA®▼ (axurelimab) targets CD38 to deplete the autoantibody-secreting cells that conventional therapies cannot reach — a fundamentally different approach to treating the root cause of SLE.³ ⁵</w:t>
      </w:r>
    </w:p>
    <w:p>
      <w:pPr>
        <w:jc w:val="center"/>
      </w:pPr>
      <w:r>
        <w:rPr>
          <w:color w:val="CCCCCC"/>
          <w:sz w:val="16"/>
        </w:rPr>
        <w:t>────────────────────────────────────────────────────────────</w:t>
      </w:r>
    </w:p>
    <w:p>
      <w:pPr>
        <w:pStyle w:val="Heading3"/>
      </w:pPr>
      <w:r>
        <w:rPr>
          <w:color w:val="006D6F"/>
        </w:rPr>
        <w:t>Section 2 — Three-step mechanism (accordion FAQ)</w:t>
      </w:r>
    </w:p>
    <w:p>
      <w:r>
        <w:rPr>
          <w:b/>
          <w:sz w:val="20"/>
        </w:rPr>
        <w:t xml:space="preserve">Block: </w:t>
      </w:r>
      <w:r>
        <w:rPr>
          <w:sz w:val="20"/>
        </w:rPr>
        <w:t>accordion</w:t>
      </w:r>
    </w:p>
    <w:p>
      <w:r>
        <w:rPr>
          <w:b/>
          <w:i w:val="0"/>
          <w:color w:val="363B3B"/>
          <w:sz w:val="20"/>
        </w:rPr>
        <w:t>Panel 1: "Why do current therapies leave autoantibodies unchecked?"</w:t>
      </w:r>
    </w:p>
    <w:p>
      <w:r>
        <w:rPr>
          <w:b/>
        </w:rPr>
        <w:t xml:space="preserve">Body text: </w:t>
      </w:r>
      <w:r>
        <w:t>Conventional immunosuppressants (azathioprine, MMF, cyclophosphamide) suppress active immune cell proliferation but do not deplete terminally differentiated long-lived plasma cells. Anti-CD20 therapies (rituximab) deplete B-cells but spare plasma cells, which lack CD20 expression. Anti-BAFF therapies (belimumab) block B-cell survival signals but long-lived plasma cells survive independently of BAFF. The result: pathogenic autoantibodies persist even during apparent clinical remission, driving subclinical inflammation and damage accrual.⁴ ⁵</w:t>
      </w:r>
    </w:p>
    <w:p>
      <w:r>
        <w:rPr>
          <w:b/>
          <w:i w:val="0"/>
          <w:color w:val="363B3B"/>
          <w:sz w:val="20"/>
        </w:rPr>
        <w:t>Panel 2: "How does AXURA target autoantibody-producing cells?"</w:t>
      </w:r>
    </w:p>
    <w:p>
      <w:r>
        <w:rPr>
          <w:b/>
        </w:rPr>
        <w:t xml:space="preserve">Body text: </w:t>
      </w:r>
      <w:r>
        <w:t>CD38 is a transmembrane glycoprotein highly expressed on long-lived plasma cells and plasmablasts — the cells directly responsible for secreting pathogenic autoantibodies. Axurelimab binds to CD38 and eliminates these cells through ADCC, CDC, and ADCP. Unlike CD20 or BAFF-targeted therapies, anti-CD38 directly reaches the terminally differentiated compartment responsible for autoantibody production.³ ⁵</w:t>
      </w:r>
    </w:p>
    <w:p>
      <w:r>
        <w:rPr>
          <w:b/>
          <w:i w:val="0"/>
          <w:color w:val="363B3B"/>
          <w:sz w:val="20"/>
        </w:rPr>
        <w:t>Panel 3: "What happens after plasma cell depletion?"</w:t>
      </w:r>
    </w:p>
    <w:p>
      <w:r>
        <w:rPr>
          <w:b/>
        </w:rPr>
        <w:t xml:space="preserve">Body text: </w:t>
      </w:r>
      <w:r>
        <w:t>Depletion of CD38-high autoantibody-secreting cells produces rapid reductions in pathogenic autoantibody titres (anti-dsDNA decreased by 64% at Week 52). Downstream, reduced immune-complex formation leads to complement recovery (C3 normalisation in 73% of patients), decreased tissue inflammation, and reduced organ damage accrual. Protective immunoglobulin levels are maintained in the majority of patients because memory B-cells and newly generated non-autoreactive plasma cells replenish the normal antibody repertoire.¹ ³</w:t>
      </w:r>
    </w:p>
    <w:p>
      <w:pPr>
        <w:jc w:val="center"/>
      </w:pPr>
      <w:r>
        <w:rPr>
          <w:color w:val="CCCCCC"/>
          <w:sz w:val="16"/>
        </w:rPr>
        <w:t>────────────────────────────────────────────────────────────</w:t>
      </w:r>
    </w:p>
    <w:p>
      <w:pPr>
        <w:pStyle w:val="Heading3"/>
      </w:pPr>
      <w:r>
        <w:rPr>
          <w:color w:val="006D6F"/>
        </w:rPr>
        <w:t>Section 3 — Visual mechanism (two-column: image left, text right)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19" name="Picture 19"/>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3200400" cy="2389632"/>
                    </a:xfrm>
                    <a:prstGeom prst="rect"/>
                  </pic:spPr>
                </pic:pic>
              </a:graphicData>
            </a:graphic>
          </wp:inline>
        </w:drawing>
      </w:r>
    </w:p>
    <w:p>
      <w:pPr>
        <w:jc w:val="center"/>
      </w:pPr>
      <w:r>
        <w:rPr>
          <w:color w:val="005599"/>
          <w:sz w:val="16"/>
          <w:u w:val="single"/>
        </w:rPr>
        <w:t>https://velox-images.pages.dev/columns-moa-preview.jpeg</w:t>
      </w:r>
    </w:p>
    <w:p>
      <w:pPr>
        <w:jc w:val="center"/>
      </w:pPr>
      <w:r>
        <w:rPr>
          <w:i/>
          <w:color w:val="666666"/>
          <w:sz w:val="16"/>
        </w:rPr>
        <w:t>Usage: Home — MoA teaser</w:t>
      </w:r>
    </w:p>
    <w:p>
      <w:r>
        <w:rPr>
          <w:b/>
          <w:sz w:val="20"/>
        </w:rPr>
        <w:t xml:space="preserve">Heading: </w:t>
      </w:r>
      <w:r>
        <w:rPr>
          <w:sz w:val="20"/>
        </w:rPr>
        <w:t>From plasma cell depletion to clinical remission</w:t>
      </w:r>
    </w:p>
    <w:p>
      <w:r>
        <w:rPr>
          <w:b/>
        </w:rPr>
        <w:t xml:space="preserve">Body text: </w:t>
      </w:r>
      <w:r>
        <w:t>AXURA depletes CD38-high long-lived plasma cells and plasmablasts → pathogenic autoantibody titres fall rapidly (anti-dsDNA −64% at Week 52) → immune-complex formation decreases → complement consumption reverses (C3 normalisation 73%) → tissue inflammation resolves → clinical response (SRI-4 62%, severe flare reduction 62%). This mechanistic cascade provides a disease-modifying rationale for anti-CD38 therapy in SLE.¹ ³ ⁵</w:t>
      </w:r>
    </w:p>
    <w:p>
      <w:r>
        <w:rPr>
          <w:b/>
          <w:sz w:val="20"/>
        </w:rPr>
        <w:t xml:space="preserve">Call to action: </w:t>
      </w:r>
      <w:r>
        <w:rPr>
          <w:sz w:val="20"/>
        </w:rPr>
        <w:t>View the AURORA clinical data → /axura/aurora-data</w:t>
      </w:r>
    </w:p>
    <w:p>
      <w:pPr>
        <w:jc w:val="center"/>
      </w:pPr>
      <w:r>
        <w:rPr>
          <w:color w:val="CCCCCC"/>
          <w:sz w:val="16"/>
        </w:rPr>
        <w:t>────────────────────────────────────────────────────────────</w:t>
      </w:r>
    </w:p>
    <w:p>
      <w:pPr>
        <w:pStyle w:val="Heading3"/>
      </w:pPr>
      <w:r>
        <w:rPr>
          <w:color w:val="006D6F"/>
        </w:rPr>
        <w:t>Section 4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How AXURA Works | Anti-CD38 Mechanism | Plasma Cell Depletion | AstraZeneca UK</w:t>
      </w:r>
    </w:p>
    <w:p>
      <w:r>
        <w:rPr>
          <w:b w:val="0"/>
          <w:i w:val="0"/>
          <w:color w:val="363B3B"/>
          <w:sz w:val="20"/>
        </w:rPr>
        <w:t>Description: Understand how AXURA (axurelimab) targets CD38 on long-lived plasma cells to deplete pathogenic autoantibodies and achieve disease control in systemic lupus erythematosus.</w:t>
      </w:r>
    </w:p>
    <w:p>
      <w:r>
        <w:br w:type="page"/>
      </w:r>
    </w:p>
    <w:p>
      <w:pPr>
        <w:pStyle w:val="Heading2"/>
      </w:pPr>
      <w:r>
        <w:rPr>
          <w:color w:val="830051"/>
        </w:rPr>
        <w:t>PAGE 6: HCP Resources</w:t>
      </w:r>
    </w:p>
    <w:p>
      <w:r>
        <w:rPr>
          <w:b/>
          <w:sz w:val="20"/>
        </w:rPr>
        <w:t xml:space="preserve">URL path: </w:t>
      </w:r>
      <w:r>
        <w:rPr>
          <w:sz w:val="20"/>
        </w:rPr>
        <w:t>/axura/resources</w:t>
      </w:r>
    </w:p>
    <w:p>
      <w:pPr>
        <w:jc w:val="center"/>
      </w:pPr>
      <w:r>
        <w:rPr>
          <w:color w:val="CCCCCC"/>
          <w:sz w:val="16"/>
        </w:rPr>
        <w:t>────────────────────────────────────────────────────────────</w:t>
      </w:r>
    </w:p>
    <w:p>
      <w:pPr>
        <w:pStyle w:val="Heading3"/>
      </w:pPr>
      <w:r>
        <w:rPr>
          <w:color w:val="006D6F"/>
        </w:rPr>
        <w:t>Section 1 — Page header (text only, no image)</w:t>
      </w:r>
    </w:p>
    <w:p>
      <w:r>
        <w:rPr>
          <w:b/>
          <w:sz w:val="20"/>
        </w:rPr>
        <w:t xml:space="preserve">Block: </w:t>
      </w:r>
      <w:r>
        <w:rPr>
          <w:sz w:val="20"/>
        </w:rPr>
        <w:t>title</w:t>
      </w:r>
    </w:p>
    <w:p>
      <w:r>
        <w:rPr>
          <w:b/>
          <w:sz w:val="20"/>
        </w:rPr>
        <w:t xml:space="preserve">Heading: </w:t>
      </w:r>
      <w:r>
        <w:rPr>
          <w:sz w:val="20"/>
        </w:rPr>
        <w:t>Resources for healthcare professionals</w:t>
      </w:r>
    </w:p>
    <w:p>
      <w:r>
        <w:rPr>
          <w:b/>
        </w:rPr>
        <w:t xml:space="preserve">Body text: </w:t>
      </w:r>
      <w:r>
        <w:t>Access prescribing information, monitoring guides, clinical data summaries, and patient support resources for AXURA®▼ (axurelimab). All materials are provided for UK healthcare professionals only.³</w:t>
      </w:r>
    </w:p>
    <w:p>
      <w:pPr>
        <w:jc w:val="center"/>
      </w:pPr>
      <w:r>
        <w:rPr>
          <w:color w:val="CCCCCC"/>
          <w:sz w:val="16"/>
        </w:rPr>
        <w:t>────────────────────────────────────────────────────────────</w:t>
      </w:r>
    </w:p>
    <w:p>
      <w:pPr>
        <w:pStyle w:val="Heading3"/>
      </w:pPr>
      <w:r>
        <w:rPr>
          <w:color w:val="006D6F"/>
        </w:rPr>
        <w:t>Section 2 — Resource cards (three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20" name="Picture 20"/>
            <wp:cNvGraphicFramePr>
              <a:graphicFrameLocks noChangeAspect="1"/>
            </wp:cNvGraphicFramePr>
            <a:graphic>
              <a:graphicData uri="http://schemas.openxmlformats.org/drawingml/2006/picture">
                <pic:pic>
                  <pic:nvPicPr>
                    <pic:cNvPr id="0" name="card-prescribing.jpeg"/>
                    <pic:cNvPicPr/>
                  </pic:nvPicPr>
                  <pic:blipFill>
                    <a:blip r:embed="rId23"/>
                    <a:stretch>
                      <a:fillRect/>
                    </a:stretch>
                  </pic:blipFill>
                  <pic:spPr>
                    <a:xfrm>
                      <a:off x="0" y="0"/>
                      <a:ext cx="2743200" cy="2048256"/>
                    </a:xfrm>
                    <a:prstGeom prst="rect"/>
                  </pic:spPr>
                </pic:pic>
              </a:graphicData>
            </a:graphic>
          </wp:inline>
        </w:drawing>
      </w:r>
    </w:p>
    <w:p>
      <w:pPr>
        <w:jc w:val="center"/>
      </w:pPr>
      <w:r>
        <w:rPr>
          <w:color w:val="005599"/>
          <w:sz w:val="16"/>
          <w:u w:val="single"/>
        </w:rPr>
        <w:t>https://velox-images.pages.dev/card-prescribing.jpeg</w:t>
      </w:r>
    </w:p>
    <w:p>
      <w:pPr>
        <w:jc w:val="center"/>
      </w:pPr>
      <w:r>
        <w:rPr>
          <w:i/>
          <w:color w:val="666666"/>
          <w:sz w:val="16"/>
        </w:rPr>
        <w:t>Usage: HCP Resources — prescribing guide card</w:t>
      </w:r>
    </w:p>
    <w:p>
      <w:r>
        <w:rPr>
          <w:b/>
          <w:sz w:val="20"/>
        </w:rPr>
        <w:t xml:space="preserve">Card heading: </w:t>
      </w:r>
      <w:r>
        <w:rPr>
          <w:sz w:val="20"/>
        </w:rPr>
        <w:t>Prescribing and monitoring guide</w:t>
      </w:r>
    </w:p>
    <w:p>
      <w:r>
        <w:rPr>
          <w:b/>
        </w:rPr>
        <w:t xml:space="preserve">Card body: </w:t>
      </w:r>
      <w:r>
        <w:t>Comprehensive clinical guide covering indication, dosing regimen, immunoglobulin monitoring schedule, injection site rotation, vaccination requirements, and special populations guidance. Includes a detachable monitoring checklist for patient notes.³</w:t>
      </w:r>
    </w:p>
    <w:p>
      <w:r>
        <w:rPr>
          <w:b/>
          <w:sz w:val="20"/>
        </w:rPr>
        <w:t xml:space="preserve">Card link: </w:t>
      </w:r>
      <w:r>
        <w:rPr>
          <w:sz w:val="20"/>
        </w:rPr>
        <w:t>Download prescribing guide → [PDF link]</w:t>
      </w:r>
    </w:p>
    <w:p>
      <w:pPr>
        <w:jc w:val="center"/>
      </w:pPr>
      <w:r>
        <w:rPr>
          <w:color w:val="CCCCCC"/>
          <w:sz w:val="16"/>
        </w:rPr>
        <w:t>────────────────────────────────────────────────────────────</w:t>
      </w:r>
    </w:p>
    <w:p>
      <w:r>
        <w:rPr>
          <w:b/>
          <w:sz w:val="20"/>
        </w:rPr>
        <w:t xml:space="preserve">Card heading: </w:t>
      </w:r>
      <w:r>
        <w:rPr>
          <w:sz w:val="20"/>
        </w:rPr>
        <w:t>AURORA clinical data summary</w:t>
      </w:r>
    </w:p>
    <w:p>
      <w:r>
        <w:rPr>
          <w:b/>
        </w:rPr>
        <w:t xml:space="preserve">Card body: </w:t>
      </w:r>
      <w:r>
        <w:t>Summary of key efficacy and safety data from AURORA-1 and AURORA-LN, including headline results, response curves, biomarker kinetics, and subgroup analyses. Suitable for use in MDT discussions and clinic preparation.¹ ²</w:t>
      </w:r>
    </w:p>
    <w:p>
      <w:r>
        <w:rPr>
          <w:b/>
          <w:sz w:val="20"/>
        </w:rPr>
        <w:t xml:space="preserve">Card link: </w:t>
      </w:r>
      <w:r>
        <w:rPr>
          <w:sz w:val="20"/>
        </w:rPr>
        <w:t>Download data summary → [PDF link]</w:t>
      </w:r>
    </w:p>
    <w:p>
      <w:pPr>
        <w:jc w:val="center"/>
      </w:pPr>
      <w:r>
        <w:rPr>
          <w:color w:val="CCCCCC"/>
          <w:sz w:val="16"/>
        </w:rPr>
        <w:t>────────────────────────────────────────────────────────────</w:t>
      </w:r>
    </w:p>
    <w:p>
      <w:r>
        <w:rPr>
          <w:b/>
          <w:sz w:val="20"/>
        </w:rPr>
        <w:t xml:space="preserve">Card heading: </w:t>
      </w:r>
      <w:r>
        <w:rPr>
          <w:sz w:val="20"/>
        </w:rPr>
        <w:t>Patient self-injection training guide</w:t>
      </w:r>
    </w:p>
    <w:p>
      <w:r>
        <w:rPr>
          <w:b/>
        </w:rPr>
        <w:t xml:space="preserve">Card body: </w:t>
      </w:r>
      <w:r>
        <w:t>Step-by-step illustrated guide for training patients in subcutaneous self-injection with AXURA pre-filled syringe. Covers preparation, site selection, technique, storage, and sharps disposal. Includes a companion patient-facing leaflet.</w:t>
      </w:r>
    </w:p>
    <w:p>
      <w:r>
        <w:rPr>
          <w:b/>
          <w:sz w:val="20"/>
        </w:rPr>
        <w:t xml:space="preserve">Card link: </w:t>
      </w:r>
      <w:r>
        <w:rPr>
          <w:sz w:val="20"/>
        </w:rPr>
        <w:t>Download training guide → [PDF link]</w:t>
      </w:r>
    </w:p>
    <w:p>
      <w:pPr>
        <w:jc w:val="center"/>
      </w:pPr>
      <w:r>
        <w:rPr>
          <w:color w:val="CCCCCC"/>
          <w:sz w:val="16"/>
        </w:rPr>
        <w:t>────────────────────────────────────────────────────────────</w:t>
      </w:r>
    </w:p>
    <w:p>
      <w:pPr>
        <w:pStyle w:val="Heading3"/>
      </w:pPr>
      <w:r>
        <w:rPr>
          <w:color w:val="006D6F"/>
        </w:rPr>
        <w:t>Section 3 — Contact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Medical information and support</w:t>
      </w:r>
    </w:p>
    <w:p>
      <w:r>
        <w:rPr>
          <w:b/>
        </w:rPr>
        <w:t xml:space="preserve">Body text: </w:t>
      </w:r>
      <w:r>
        <w:t>For medical information enquiries about AXURA, please contact AstraZeneca Medical Information: Telephone: 0800 783 0033 | Email: medicalinformationuk@astrazeneca.com | Online: contactazmedical.astrazeneca.com</w:t>
      </w:r>
    </w:p>
    <w:p>
      <w:pPr>
        <w:jc w:val="center"/>
      </w:pPr>
      <w:r>
        <w:rPr>
          <w:color w:val="CCCCCC"/>
          <w:sz w:val="16"/>
        </w:rPr>
        <w:t>────────────────────────────────────────────────────────────</w:t>
      </w:r>
    </w:p>
    <w:p>
      <w:pPr>
        <w:pStyle w:val="Heading3"/>
      </w:pPr>
      <w:r>
        <w:rPr>
          <w:color w:val="006D6F"/>
        </w:rPr>
        <w:t>Section 4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HCP Resources | AXURA (axurelimab) | Prescribing &amp; Monitoring Guides | AstraZeneca UK</w:t>
      </w:r>
    </w:p>
    <w:p>
      <w:r>
        <w:rPr>
          <w:b w:val="0"/>
          <w:i w:val="0"/>
          <w:color w:val="363B3B"/>
          <w:sz w:val="20"/>
        </w:rPr>
        <w:t>Description: Access prescribing and monitoring guides, AURORA clinical data summaries, and patient self-injection training materials for AXURA (axurelimab). For UK healthcare professionals only.</w:t>
      </w:r>
    </w:p>
    <w:p>
      <w:r>
        <w:br w:type="page"/>
      </w:r>
    </w:p>
    <w:p>
      <w:pPr>
        <w:pStyle w:val="Heading1"/>
      </w:pPr>
      <w:r>
        <w:rPr>
          <w:color w:val="830051"/>
        </w:rPr>
        <w:t>10. Footer Content</w:t>
      </w:r>
    </w:p>
    <w:p>
      <w:r>
        <w:rPr>
          <w:b/>
          <w:i w:val="0"/>
          <w:color w:val="363B3B"/>
          <w:sz w:val="20"/>
        </w:rPr>
        <w:t>The footer must appear on every page and contain the following elements:</w:t>
      </w:r>
    </w:p>
    <w:p>
      <w:r>
        <w:rPr>
          <w:b/>
          <w:sz w:val="20"/>
        </w:rPr>
        <w:t xml:space="preserve">Logo: </w:t>
      </w:r>
      <w:r>
        <w:rPr>
          <w:sz w:val="20"/>
        </w:rPr>
        <w:t>AstraZeneca logo (linked to /axura/)</w:t>
      </w:r>
    </w:p>
    <w:p>
      <w:r>
        <w:rPr>
          <w:b/>
          <w:sz w:val="20"/>
        </w:rPr>
        <w:t xml:space="preserve">Approval code: </w:t>
      </w:r>
      <w:r>
        <w:rPr>
          <w:sz w:val="20"/>
        </w:rPr>
        <w:t>GB-12091 | DOP: March 2026</w:t>
      </w:r>
    </w:p>
    <w:p>
      <w:r>
        <w:rPr>
          <w:b/>
          <w:sz w:val="20"/>
        </w:rPr>
        <w:t xml:space="preserve">Copyright: </w:t>
      </w:r>
      <w:r>
        <w:rPr>
          <w:sz w:val="20"/>
        </w:rPr>
        <w:t>© 2026 AstraZeneca. All rights reserved. AXURA is a registered trademark of the AstraZeneca group of companies.</w:t>
      </w:r>
    </w:p>
    <w:p>
      <w:r>
        <w:rPr>
          <w:b/>
          <w:sz w:val="20"/>
        </w:rPr>
        <w:t xml:space="preserve">Page links: </w:t>
      </w:r>
      <w:r>
        <w:rPr>
          <w:sz w:val="20"/>
        </w:rPr>
        <w:t>AURORA Data | Living with Lupus | Safety &amp; Monitoring | How AXURA Works | HCP Resources</w:t>
      </w:r>
    </w:p>
    <w:p>
      <w:r>
        <w:rPr>
          <w:b/>
          <w:sz w:val="20"/>
        </w:rPr>
        <w:t xml:space="preserve">Regulatory links: </w:t>
      </w:r>
      <w:r>
        <w:rPr>
          <w:sz w:val="20"/>
        </w:rPr>
        <w:t>Report Adverse Event (https://yellowcard.mhra.gov.uk/) | Medical Information (https://contactazmedical.astrazeneca.com/) | Privacy Policy (https://www.astrazeneca.co.uk/our-company/privacy-notice.html) | Terms of Use (https://www.astrazeneca.co.uk/our-company/terms-of-use.html) | Accessibility (https://www.astrazeneca.co.uk/accessibility.html)</w:t>
      </w:r>
    </w:p>
    <w:p>
      <w:r>
        <w:rPr>
          <w:b/>
          <w:sz w:val="20"/>
        </w:rPr>
        <w:t xml:space="preserve">Date of preparation: </w:t>
      </w:r>
      <w:r>
        <w:rPr>
          <w:sz w:val="20"/>
        </w:rPr>
        <w:t>Date of Preparation: March 2026</w:t>
      </w:r>
    </w:p>
    <w:p>
      <w:pPr>
        <w:jc w:val="center"/>
      </w:pPr>
      <w:r>
        <w:rPr>
          <w:color w:val="CCCCCC"/>
          <w:sz w:val="16"/>
        </w:rPr>
        <w:t>────────────────────────────────────────────────────────────</w:t>
      </w:r>
    </w:p>
    <w:p>
      <w:pPr>
        <w:pStyle w:val="Heading1"/>
      </w:pPr>
      <w:r>
        <w:rPr>
          <w:color w:val="830051"/>
        </w:rPr>
        <w:t>11. Image Assets</w:t>
      </w:r>
    </w:p>
    <w:p>
      <w:r>
        <w:rPr>
          <w:b w:val="0"/>
          <w:i w:val="0"/>
          <w:color w:val="363B3B"/>
          <w:sz w:val="20"/>
        </w:rPr>
        <w:t>All images sourced from shared CDN: https://velox-images.pages.dev/</w:t>
      </w:r>
    </w:p>
    <w:p>
      <w:r>
        <w:rPr>
          <w:b w:val="0"/>
          <w:i/>
          <w:color w:val="363B3B"/>
          <w:sz w:val="20"/>
        </w:rPr>
        <w:t>Note: AXURA reuses images originally generated for the VELOX website. The abstract and lifestyle imagery is versatile across immunology contexts.</w:t>
      </w:r>
    </w:p>
    <w:p/>
    <w:p>
      <w:r>
        <w:rPr>
          <w:b/>
          <w:i w:val="0"/>
          <w:color w:val="363B3B"/>
          <w:sz w:val="20"/>
        </w:rPr>
        <w:t>Complete image manifest:</w:t>
      </w:r>
    </w:p>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Filename</w:t>
            </w:r>
          </w:p>
        </w:tc>
        <w:tc>
          <w:tcPr>
            <w:tcW w:type="dxa" w:w="3024"/>
            <w:shd w:fill="830051"/>
          </w:tcPr>
          <w:p>
            <w:r/>
            <w:r>
              <w:rPr>
                <w:b/>
                <w:color w:val="FFFFFF"/>
                <w:sz w:val="18"/>
              </w:rPr>
              <w:t>Usage</w:t>
            </w:r>
          </w:p>
        </w:tc>
        <w:tc>
          <w:tcPr>
            <w:tcW w:type="dxa" w:w="3024"/>
            <w:shd w:fill="830051"/>
          </w:tcPr>
          <w:p>
            <w:r/>
            <w:r>
              <w:rPr>
                <w:b/>
                <w:color w:val="FFFFFF"/>
                <w:sz w:val="18"/>
              </w:rPr>
              <w:t>CDN URL</w:t>
            </w:r>
          </w:p>
        </w:tc>
      </w:tr>
      <w:tr>
        <w:tc>
          <w:tcPr>
            <w:tcW w:type="dxa" w:w="3024"/>
          </w:tcPr>
          <w:p>
            <w:r/>
            <w:r>
              <w:rPr>
                <w:color w:val="363B3B"/>
                <w:sz w:val="18"/>
              </w:rPr>
              <w:t>hero-home.jpeg</w:t>
            </w:r>
          </w:p>
        </w:tc>
        <w:tc>
          <w:tcPr>
            <w:tcW w:type="dxa" w:w="3024"/>
          </w:tcPr>
          <w:p>
            <w:r/>
            <w:r>
              <w:rPr>
                <w:color w:val="363B3B"/>
                <w:sz w:val="18"/>
              </w:rPr>
              <w:t>Home — hero</w:t>
            </w:r>
          </w:p>
        </w:tc>
        <w:tc>
          <w:tcPr>
            <w:tcW w:type="dxa" w:w="3024"/>
          </w:tcPr>
          <w:p>
            <w:r/>
            <w:r>
              <w:rPr>
                <w:color w:val="363B3B"/>
                <w:sz w:val="18"/>
              </w:rPr>
              <w:t>https://velox-images.pages.dev/hero-home.jpeg</w:t>
            </w:r>
          </w:p>
        </w:tc>
      </w:tr>
      <w:tr>
        <w:tc>
          <w:tcPr>
            <w:tcW w:type="dxa" w:w="3024"/>
            <w:shd w:fill="F8F8F8"/>
          </w:tcPr>
          <w:p>
            <w:r/>
            <w:r>
              <w:rPr>
                <w:color w:val="363B3B"/>
                <w:sz w:val="18"/>
              </w:rPr>
              <w:t>hero-efficacy.jpeg</w:t>
            </w:r>
          </w:p>
        </w:tc>
        <w:tc>
          <w:tcPr>
            <w:tcW w:type="dxa" w:w="3024"/>
            <w:shd w:fill="F8F8F8"/>
          </w:tcPr>
          <w:p>
            <w:r/>
            <w:r>
              <w:rPr>
                <w:color w:val="363B3B"/>
                <w:sz w:val="18"/>
              </w:rPr>
              <w:t>Living with Lupus — hero</w:t>
            </w:r>
          </w:p>
        </w:tc>
        <w:tc>
          <w:tcPr>
            <w:tcW w:type="dxa" w:w="3024"/>
            <w:shd w:fill="F8F8F8"/>
          </w:tcPr>
          <w:p>
            <w:r/>
            <w:r>
              <w:rPr>
                <w:color w:val="363B3B"/>
                <w:sz w:val="18"/>
              </w:rPr>
              <w:t>https://velox-images.pages.dev/hero-efficacy.jpeg</w:t>
            </w:r>
          </w:p>
        </w:tc>
      </w:tr>
      <w:tr>
        <w:tc>
          <w:tcPr>
            <w:tcW w:type="dxa" w:w="3024"/>
          </w:tcPr>
          <w:p>
            <w:r/>
            <w:r>
              <w:rPr>
                <w:color w:val="363B3B"/>
                <w:sz w:val="18"/>
              </w:rPr>
              <w:t>hero-moa.jpeg</w:t>
            </w:r>
          </w:p>
        </w:tc>
        <w:tc>
          <w:tcPr>
            <w:tcW w:type="dxa" w:w="3024"/>
          </w:tcPr>
          <w:p>
            <w:r/>
            <w:r>
              <w:rPr>
                <w:color w:val="363B3B"/>
                <w:sz w:val="18"/>
              </w:rPr>
              <w:t>How AXURA Works — hero</w:t>
            </w:r>
          </w:p>
        </w:tc>
        <w:tc>
          <w:tcPr>
            <w:tcW w:type="dxa" w:w="3024"/>
          </w:tcPr>
          <w:p>
            <w:r/>
            <w:r>
              <w:rPr>
                <w:color w:val="363B3B"/>
                <w:sz w:val="18"/>
              </w:rPr>
              <w:t>https://velox-images.pages.dev/hero-moa.jpeg</w:t>
            </w:r>
          </w:p>
        </w:tc>
      </w:tr>
      <w:tr>
        <w:tc>
          <w:tcPr>
            <w:tcW w:type="dxa" w:w="3024"/>
            <w:shd w:fill="F8F8F8"/>
          </w:tcPr>
          <w:p>
            <w:r/>
            <w:r>
              <w:rPr>
                <w:color w:val="363B3B"/>
                <w:sz w:val="18"/>
              </w:rPr>
              <w:t>card-stroke.jpeg</w:t>
            </w:r>
          </w:p>
        </w:tc>
        <w:tc>
          <w:tcPr>
            <w:tcW w:type="dxa" w:w="3024"/>
            <w:shd w:fill="F8F8F8"/>
          </w:tcPr>
          <w:p>
            <w:r/>
            <w:r>
              <w:rPr>
                <w:color w:val="363B3B"/>
                <w:sz w:val="18"/>
              </w:rPr>
              <w:t>Home — SRI-4 response card</w:t>
            </w:r>
          </w:p>
        </w:tc>
        <w:tc>
          <w:tcPr>
            <w:tcW w:type="dxa" w:w="3024"/>
            <w:shd w:fill="F8F8F8"/>
          </w:tcPr>
          <w:p>
            <w:r/>
            <w:r>
              <w:rPr>
                <w:color w:val="363B3B"/>
                <w:sz w:val="18"/>
              </w:rPr>
              <w:t>https://velox-images.pages.dev/card-stroke.jpeg</w:t>
            </w:r>
          </w:p>
        </w:tc>
      </w:tr>
      <w:tr>
        <w:tc>
          <w:tcPr>
            <w:tcW w:type="dxa" w:w="3024"/>
          </w:tcPr>
          <w:p>
            <w:r/>
            <w:r>
              <w:rPr>
                <w:color w:val="363B3B"/>
                <w:sz w:val="18"/>
              </w:rPr>
              <w:t>card-bleeding.jpeg</w:t>
            </w:r>
          </w:p>
        </w:tc>
        <w:tc>
          <w:tcPr>
            <w:tcW w:type="dxa" w:w="3024"/>
          </w:tcPr>
          <w:p>
            <w:r/>
            <w:r>
              <w:rPr>
                <w:color w:val="363B3B"/>
                <w:sz w:val="18"/>
              </w:rPr>
              <w:t>Home — flare reduction card</w:t>
            </w:r>
          </w:p>
        </w:tc>
        <w:tc>
          <w:tcPr>
            <w:tcW w:type="dxa" w:w="3024"/>
          </w:tcPr>
          <w:p>
            <w:r/>
            <w:r>
              <w:rPr>
                <w:color w:val="363B3B"/>
                <w:sz w:val="18"/>
              </w:rPr>
              <w:t>https://velox-images.pages.dev/card-bleeding.jpeg</w:t>
            </w:r>
          </w:p>
        </w:tc>
      </w:tr>
      <w:tr>
        <w:tc>
          <w:tcPr>
            <w:tcW w:type="dxa" w:w="3024"/>
            <w:shd w:fill="F8F8F8"/>
          </w:tcPr>
          <w:p>
            <w:r/>
            <w:r>
              <w:rPr>
                <w:color w:val="363B3B"/>
                <w:sz w:val="18"/>
              </w:rPr>
              <w:t>card-dosing.jpeg</w:t>
            </w:r>
          </w:p>
        </w:tc>
        <w:tc>
          <w:tcPr>
            <w:tcW w:type="dxa" w:w="3024"/>
            <w:shd w:fill="F8F8F8"/>
          </w:tcPr>
          <w:p>
            <w:r/>
            <w:r>
              <w:rPr>
                <w:color w:val="363B3B"/>
                <w:sz w:val="18"/>
              </w:rPr>
              <w:t>Home — subcutaneous dosing card</w:t>
            </w:r>
          </w:p>
        </w:tc>
        <w:tc>
          <w:tcPr>
            <w:tcW w:type="dxa" w:w="3024"/>
            <w:shd w:fill="F8F8F8"/>
          </w:tcPr>
          <w:p>
            <w:r/>
            <w:r>
              <w:rPr>
                <w:color w:val="363B3B"/>
                <w:sz w:val="18"/>
              </w:rPr>
              <w:t>https://velox-images.pages.dev/card-dosing.jpeg</w:t>
            </w:r>
          </w:p>
        </w:tc>
      </w:tr>
      <w:tr>
        <w:tc>
          <w:tcPr>
            <w:tcW w:type="dxa" w:w="3024"/>
          </w:tcPr>
          <w:p>
            <w:r/>
            <w:r>
              <w:rPr>
                <w:color w:val="363B3B"/>
                <w:sz w:val="18"/>
              </w:rPr>
              <w:t>columns-moa-preview.jpeg</w:t>
            </w:r>
          </w:p>
        </w:tc>
        <w:tc>
          <w:tcPr>
            <w:tcW w:type="dxa" w:w="3024"/>
          </w:tcPr>
          <w:p>
            <w:r/>
            <w:r>
              <w:rPr>
                <w:color w:val="363B3B"/>
                <w:sz w:val="18"/>
              </w:rPr>
              <w:t>Home — MoA teaser</w:t>
            </w:r>
          </w:p>
        </w:tc>
        <w:tc>
          <w:tcPr>
            <w:tcW w:type="dxa" w:w="3024"/>
          </w:tcPr>
          <w:p>
            <w:r/>
            <w:r>
              <w:rPr>
                <w:color w:val="363B3B"/>
                <w:sz w:val="18"/>
              </w:rPr>
              <w:t>https://velox-images.pages.dev/columns-moa-preview.jpeg</w:t>
            </w:r>
          </w:p>
        </w:tc>
      </w:tr>
      <w:tr>
        <w:tc>
          <w:tcPr>
            <w:tcW w:type="dxa" w:w="3024"/>
            <w:shd w:fill="F8F8F8"/>
          </w:tcPr>
          <w:p>
            <w:r/>
            <w:r>
              <w:rPr>
                <w:color w:val="363B3B"/>
                <w:sz w:val="18"/>
              </w:rPr>
              <w:t>tab-velocity-af.jpeg</w:t>
            </w:r>
          </w:p>
        </w:tc>
        <w:tc>
          <w:tcPr>
            <w:tcW w:type="dxa" w:w="3024"/>
            <w:shd w:fill="F8F8F8"/>
          </w:tcPr>
          <w:p>
            <w:r/>
            <w:r>
              <w:rPr>
                <w:color w:val="363B3B"/>
                <w:sz w:val="18"/>
              </w:rPr>
              <w:t>AURORA Data — AURORA-1 tab</w:t>
            </w:r>
          </w:p>
        </w:tc>
        <w:tc>
          <w:tcPr>
            <w:tcW w:type="dxa" w:w="3024"/>
            <w:shd w:fill="F8F8F8"/>
          </w:tcPr>
          <w:p>
            <w:r/>
            <w:r>
              <w:rPr>
                <w:color w:val="363B3B"/>
                <w:sz w:val="18"/>
              </w:rPr>
              <w:t>https://velox-images.pages.dev/tab-velocity-af.jpeg</w:t>
            </w:r>
          </w:p>
        </w:tc>
      </w:tr>
      <w:tr>
        <w:tc>
          <w:tcPr>
            <w:tcW w:type="dxa" w:w="3024"/>
          </w:tcPr>
          <w:p>
            <w:r/>
            <w:r>
              <w:rPr>
                <w:color w:val="363B3B"/>
                <w:sz w:val="18"/>
              </w:rPr>
              <w:t>tab-velocity-bleed.jpeg</w:t>
            </w:r>
          </w:p>
        </w:tc>
        <w:tc>
          <w:tcPr>
            <w:tcW w:type="dxa" w:w="3024"/>
          </w:tcPr>
          <w:p>
            <w:r/>
            <w:r>
              <w:rPr>
                <w:color w:val="363B3B"/>
                <w:sz w:val="18"/>
              </w:rPr>
              <w:t>AURORA Data — AURORA-LN tab</w:t>
            </w:r>
          </w:p>
        </w:tc>
        <w:tc>
          <w:tcPr>
            <w:tcW w:type="dxa" w:w="3024"/>
          </w:tcPr>
          <w:p>
            <w:r/>
            <w:r>
              <w:rPr>
                <w:color w:val="363B3B"/>
                <w:sz w:val="18"/>
              </w:rPr>
              <w:t>https://velox-images.pages.dev/tab-velocity-bleed.jpeg</w:t>
            </w:r>
          </w:p>
        </w:tc>
      </w:tr>
      <w:tr>
        <w:tc>
          <w:tcPr>
            <w:tcW w:type="dxa" w:w="3024"/>
            <w:shd w:fill="F8F8F8"/>
          </w:tcPr>
          <w:p>
            <w:r/>
            <w:r>
              <w:rPr>
                <w:color w:val="363B3B"/>
                <w:sz w:val="18"/>
              </w:rPr>
              <w:t>card-bleeding-events.jpeg</w:t>
            </w:r>
          </w:p>
        </w:tc>
        <w:tc>
          <w:tcPr>
            <w:tcW w:type="dxa" w:w="3024"/>
            <w:shd w:fill="F8F8F8"/>
          </w:tcPr>
          <w:p>
            <w:r/>
            <w:r>
              <w:rPr>
                <w:color w:val="363B3B"/>
                <w:sz w:val="18"/>
              </w:rPr>
              <w:t>Safety &amp; Monitoring — infusion/injection reactions card</w:t>
            </w:r>
          </w:p>
        </w:tc>
        <w:tc>
          <w:tcPr>
            <w:tcW w:type="dxa" w:w="3024"/>
            <w:shd w:fill="F8F8F8"/>
          </w:tcPr>
          <w:p>
            <w:r/>
            <w:r>
              <w:rPr>
                <w:color w:val="363B3B"/>
                <w:sz w:val="18"/>
              </w:rPr>
              <w:t>https://velox-images.pages.dev/card-bleeding-events.jpeg</w:t>
            </w:r>
          </w:p>
        </w:tc>
      </w:tr>
      <w:tr>
        <w:tc>
          <w:tcPr>
            <w:tcW w:type="dxa" w:w="3024"/>
          </w:tcPr>
          <w:p>
            <w:r/>
            <w:r>
              <w:rPr>
                <w:color w:val="363B3B"/>
                <w:sz w:val="18"/>
              </w:rPr>
              <w:t>card-hepatic.jpeg</w:t>
            </w:r>
          </w:p>
        </w:tc>
        <w:tc>
          <w:tcPr>
            <w:tcW w:type="dxa" w:w="3024"/>
          </w:tcPr>
          <w:p>
            <w:r/>
            <w:r>
              <w:rPr>
                <w:color w:val="363B3B"/>
                <w:sz w:val="18"/>
              </w:rPr>
              <w:t>Safety &amp; Monitoring — immunoglobulin monitoring card</w:t>
            </w:r>
          </w:p>
        </w:tc>
        <w:tc>
          <w:tcPr>
            <w:tcW w:type="dxa" w:w="3024"/>
          </w:tcPr>
          <w:p>
            <w:r/>
            <w:r>
              <w:rPr>
                <w:color w:val="363B3B"/>
                <w:sz w:val="18"/>
              </w:rPr>
              <w:t>https://velox-images.pages.dev/card-hepatic.jpeg</w:t>
            </w:r>
          </w:p>
        </w:tc>
      </w:tr>
      <w:tr>
        <w:tc>
          <w:tcPr>
            <w:tcW w:type="dxa" w:w="3024"/>
            <w:shd w:fill="F8F8F8"/>
          </w:tcPr>
          <w:p>
            <w:r/>
            <w:r>
              <w:rPr>
                <w:color w:val="363B3B"/>
                <w:sz w:val="18"/>
              </w:rPr>
              <w:t>card-gi-events.jpeg</w:t>
            </w:r>
          </w:p>
        </w:tc>
        <w:tc>
          <w:tcPr>
            <w:tcW w:type="dxa" w:w="3024"/>
            <w:shd w:fill="F8F8F8"/>
          </w:tcPr>
          <w:p>
            <w:r/>
            <w:r>
              <w:rPr>
                <w:color w:val="363B3B"/>
                <w:sz w:val="18"/>
              </w:rPr>
              <w:t>Safety &amp; Monitoring — infection risk card</w:t>
            </w:r>
          </w:p>
        </w:tc>
        <w:tc>
          <w:tcPr>
            <w:tcW w:type="dxa" w:w="3024"/>
            <w:shd w:fill="F8F8F8"/>
          </w:tcPr>
          <w:p>
            <w:r/>
            <w:r>
              <w:rPr>
                <w:color w:val="363B3B"/>
                <w:sz w:val="18"/>
              </w:rPr>
              <w:t>https://velox-images.pages.dev/card-gi-events.jpeg</w:t>
            </w:r>
          </w:p>
        </w:tc>
      </w:tr>
      <w:tr>
        <w:tc>
          <w:tcPr>
            <w:tcW w:type="dxa" w:w="3024"/>
          </w:tcPr>
          <w:p>
            <w:r/>
            <w:r>
              <w:rPr>
                <w:color w:val="363B3B"/>
                <w:sz w:val="18"/>
              </w:rPr>
              <w:t>columns-dosing.jpeg</w:t>
            </w:r>
          </w:p>
        </w:tc>
        <w:tc>
          <w:tcPr>
            <w:tcW w:type="dxa" w:w="3024"/>
          </w:tcPr>
          <w:p>
            <w:r/>
            <w:r>
              <w:rPr>
                <w:color w:val="363B3B"/>
                <w:sz w:val="18"/>
              </w:rPr>
              <w:t>Dosing &amp; Administration — SC injection at home</w:t>
            </w:r>
          </w:p>
        </w:tc>
        <w:tc>
          <w:tcPr>
            <w:tcW w:type="dxa" w:w="3024"/>
          </w:tcPr>
          <w:p>
            <w:r/>
            <w:r>
              <w:rPr>
                <w:color w:val="363B3B"/>
                <w:sz w:val="18"/>
              </w:rPr>
              <w:t>https://velox-images.pages.dev/columns-dosing.jpeg</w:t>
            </w:r>
          </w:p>
        </w:tc>
      </w:tr>
      <w:tr>
        <w:tc>
          <w:tcPr>
            <w:tcW w:type="dxa" w:w="3024"/>
            <w:shd w:fill="F8F8F8"/>
          </w:tcPr>
          <w:p>
            <w:r/>
            <w:r>
              <w:rPr>
                <w:color w:val="363B3B"/>
                <w:sz w:val="18"/>
              </w:rPr>
              <w:t>columns-monitoring.jpeg</w:t>
            </w:r>
          </w:p>
        </w:tc>
        <w:tc>
          <w:tcPr>
            <w:tcW w:type="dxa" w:w="3024"/>
            <w:shd w:fill="F8F8F8"/>
          </w:tcPr>
          <w:p>
            <w:r/>
            <w:r>
              <w:rPr>
                <w:color w:val="363B3B"/>
                <w:sz w:val="18"/>
              </w:rPr>
              <w:t>Safety &amp; Monitoring — monitoring schedule</w:t>
            </w:r>
          </w:p>
        </w:tc>
        <w:tc>
          <w:tcPr>
            <w:tcW w:type="dxa" w:w="3024"/>
            <w:shd w:fill="F8F8F8"/>
          </w:tcPr>
          <w:p>
            <w:r/>
            <w:r>
              <w:rPr>
                <w:color w:val="363B3B"/>
                <w:sz w:val="18"/>
              </w:rPr>
              <w:t>https://velox-images.pages.dev/columns-monitoring.jpeg</w:t>
            </w:r>
          </w:p>
        </w:tc>
      </w:tr>
      <w:tr>
        <w:tc>
          <w:tcPr>
            <w:tcW w:type="dxa" w:w="3024"/>
          </w:tcPr>
          <w:p>
            <w:r/>
            <w:r>
              <w:rPr>
                <w:color w:val="363B3B"/>
                <w:sz w:val="18"/>
              </w:rPr>
              <w:t>card-prescribing.jpeg</w:t>
            </w:r>
          </w:p>
        </w:tc>
        <w:tc>
          <w:tcPr>
            <w:tcW w:type="dxa" w:w="3024"/>
          </w:tcPr>
          <w:p>
            <w:r/>
            <w:r>
              <w:rPr>
                <w:color w:val="363B3B"/>
                <w:sz w:val="18"/>
              </w:rPr>
              <w:t>HCP Resources — prescribing guide card</w:t>
            </w:r>
          </w:p>
        </w:tc>
        <w:tc>
          <w:tcPr>
            <w:tcW w:type="dxa" w:w="3024"/>
          </w:tcPr>
          <w:p>
            <w:r/>
            <w:r>
              <w:rPr>
                <w:color w:val="363B3B"/>
                <w:sz w:val="18"/>
              </w:rPr>
              <w:t>https://velox-images.pages.dev/card-prescribing.jpeg</w:t>
            </w:r>
          </w:p>
        </w:tc>
      </w:tr>
    </w:tbl>
    <w:p/>
    <w:p>
      <w:pPr>
        <w:pStyle w:val="Heading2"/>
      </w:pPr>
      <w:r>
        <w:rPr>
          <w:color w:val="830051"/>
        </w:rPr>
        <w:t>Image previews</w:t>
      </w:r>
    </w:p>
    <w:p>
      <w:r>
        <w:rPr>
          <w:b w:val="0"/>
          <w:i/>
          <w:color w:val="363B3B"/>
          <w:sz w:val="20"/>
        </w:rPr>
        <w:t>Visual previews of all 15 images:</w:t>
      </w:r>
    </w:p>
    <w:p/>
    <w:p>
      <w:r>
        <w:rPr>
          <w:b/>
          <w:i w:val="0"/>
          <w:color w:val="363B3B"/>
          <w:sz w:val="18"/>
        </w:rPr>
        <w:t>hero-home.jpeg — Home — hero</w:t>
      </w:r>
    </w:p>
    <w:p>
      <w:pPr>
        <w:jc w:val="center"/>
      </w:pPr>
      <w:r>
        <w:drawing>
          <wp:inline xmlns:a="http://schemas.openxmlformats.org/drawingml/2006/main" xmlns:pic="http://schemas.openxmlformats.org/drawingml/2006/picture">
            <wp:extent cx="3657600" cy="2041451"/>
            <wp:docPr id="21" name="Picture 21"/>
            <wp:cNvGraphicFramePr>
              <a:graphicFrameLocks noChangeAspect="1"/>
            </wp:cNvGraphicFramePr>
            <a:graphic>
              <a:graphicData uri="http://schemas.openxmlformats.org/drawingml/2006/picture">
                <pic:pic>
                  <pic:nvPicPr>
                    <pic:cNvPr id="0" name="hero-home.jpeg"/>
                    <pic:cNvPicPr/>
                  </pic:nvPicPr>
                  <pic:blipFill>
                    <a:blip r:embed="rId9"/>
                    <a:stretch>
                      <a:fillRect/>
                    </a:stretch>
                  </pic:blipFill>
                  <pic:spPr>
                    <a:xfrm>
                      <a:off x="0" y="0"/>
                      <a:ext cx="3657600" cy="2041451"/>
                    </a:xfrm>
                    <a:prstGeom prst="rect"/>
                  </pic:spPr>
                </pic:pic>
              </a:graphicData>
            </a:graphic>
          </wp:inline>
        </w:drawing>
      </w:r>
    </w:p>
    <w:p>
      <w:pPr>
        <w:jc w:val="center"/>
      </w:pPr>
      <w:r>
        <w:rPr>
          <w:color w:val="005599"/>
          <w:sz w:val="16"/>
          <w:u w:val="single"/>
        </w:rPr>
        <w:t>https://velox-images.pages.dev/hero-home.jpeg</w:t>
      </w:r>
    </w:p>
    <w:p>
      <w:pPr>
        <w:jc w:val="center"/>
      </w:pPr>
      <w:r>
        <w:rPr>
          <w:i/>
          <w:color w:val="666666"/>
          <w:sz w:val="16"/>
        </w:rPr>
        <w:t>Usage: Home — hero</w:t>
      </w:r>
    </w:p>
    <w:p/>
    <w:p>
      <w:r>
        <w:rPr>
          <w:b/>
          <w:i w:val="0"/>
          <w:color w:val="363B3B"/>
          <w:sz w:val="18"/>
        </w:rPr>
        <w:t>hero-efficacy.jpeg — Living with Lupus — hero</w:t>
      </w:r>
    </w:p>
    <w:p>
      <w:pPr>
        <w:jc w:val="center"/>
      </w:pPr>
      <w:r>
        <w:drawing>
          <wp:inline xmlns:a="http://schemas.openxmlformats.org/drawingml/2006/main" xmlns:pic="http://schemas.openxmlformats.org/drawingml/2006/picture">
            <wp:extent cx="3657600" cy="2041451"/>
            <wp:docPr id="22" name="Picture 22"/>
            <wp:cNvGraphicFramePr>
              <a:graphicFrameLocks noChangeAspect="1"/>
            </wp:cNvGraphicFramePr>
            <a:graphic>
              <a:graphicData uri="http://schemas.openxmlformats.org/drawingml/2006/picture">
                <pic:pic>
                  <pic:nvPicPr>
                    <pic:cNvPr id="0" name="hero-efficacy.jpeg"/>
                    <pic:cNvPicPr/>
                  </pic:nvPicPr>
                  <pic:blipFill>
                    <a:blip r:embed="rId16"/>
                    <a:stretch>
                      <a:fillRect/>
                    </a:stretch>
                  </pic:blipFill>
                  <pic:spPr>
                    <a:xfrm>
                      <a:off x="0" y="0"/>
                      <a:ext cx="3657600" cy="2041451"/>
                    </a:xfrm>
                    <a:prstGeom prst="rect"/>
                  </pic:spPr>
                </pic:pic>
              </a:graphicData>
            </a:graphic>
          </wp:inline>
        </w:drawing>
      </w:r>
    </w:p>
    <w:p>
      <w:pPr>
        <w:jc w:val="center"/>
      </w:pPr>
      <w:r>
        <w:rPr>
          <w:color w:val="005599"/>
          <w:sz w:val="16"/>
          <w:u w:val="single"/>
        </w:rPr>
        <w:t>https://velox-images.pages.dev/hero-efficacy.jpeg</w:t>
      </w:r>
    </w:p>
    <w:p>
      <w:pPr>
        <w:jc w:val="center"/>
      </w:pPr>
      <w:r>
        <w:rPr>
          <w:i/>
          <w:color w:val="666666"/>
          <w:sz w:val="16"/>
        </w:rPr>
        <w:t>Usage: Living with Lupus — hero</w:t>
      </w:r>
    </w:p>
    <w:p/>
    <w:p>
      <w:r>
        <w:rPr>
          <w:b/>
          <w:i w:val="0"/>
          <w:color w:val="363B3B"/>
          <w:sz w:val="18"/>
        </w:rPr>
        <w:t>hero-moa.jpeg — How AXURA Works — hero</w:t>
      </w:r>
    </w:p>
    <w:p>
      <w:pPr>
        <w:jc w:val="center"/>
      </w:pPr>
      <w:r>
        <w:drawing>
          <wp:inline xmlns:a="http://schemas.openxmlformats.org/drawingml/2006/main" xmlns:pic="http://schemas.openxmlformats.org/drawingml/2006/picture">
            <wp:extent cx="3657600" cy="2041451"/>
            <wp:docPr id="23" name="Picture 23"/>
            <wp:cNvGraphicFramePr>
              <a:graphicFrameLocks noChangeAspect="1"/>
            </wp:cNvGraphicFramePr>
            <a:graphic>
              <a:graphicData uri="http://schemas.openxmlformats.org/drawingml/2006/picture">
                <pic:pic>
                  <pic:nvPicPr>
                    <pic:cNvPr id="0" name="hero-moa.jpeg"/>
                    <pic:cNvPicPr/>
                  </pic:nvPicPr>
                  <pic:blipFill>
                    <a:blip r:embed="rId22"/>
                    <a:stretch>
                      <a:fillRect/>
                    </a:stretch>
                  </pic:blipFill>
                  <pic:spPr>
                    <a:xfrm>
                      <a:off x="0" y="0"/>
                      <a:ext cx="3657600" cy="2041451"/>
                    </a:xfrm>
                    <a:prstGeom prst="rect"/>
                  </pic:spPr>
                </pic:pic>
              </a:graphicData>
            </a:graphic>
          </wp:inline>
        </w:drawing>
      </w:r>
    </w:p>
    <w:p>
      <w:pPr>
        <w:jc w:val="center"/>
      </w:pPr>
      <w:r>
        <w:rPr>
          <w:color w:val="005599"/>
          <w:sz w:val="16"/>
          <w:u w:val="single"/>
        </w:rPr>
        <w:t>https://velox-images.pages.dev/hero-moa.jpeg</w:t>
      </w:r>
    </w:p>
    <w:p>
      <w:pPr>
        <w:jc w:val="center"/>
      </w:pPr>
      <w:r>
        <w:rPr>
          <w:i/>
          <w:color w:val="666666"/>
          <w:sz w:val="16"/>
        </w:rPr>
        <w:t>Usage: How AXURA Works — hero</w:t>
      </w:r>
    </w:p>
    <w:p/>
    <w:p>
      <w:r>
        <w:rPr>
          <w:b/>
          <w:i w:val="0"/>
          <w:color w:val="363B3B"/>
          <w:sz w:val="18"/>
        </w:rPr>
        <w:t>card-stroke.jpeg — Home — SRI-4 response card</w:t>
      </w:r>
    </w:p>
    <w:p>
      <w:pPr>
        <w:jc w:val="center"/>
      </w:pPr>
      <w:r>
        <w:drawing>
          <wp:inline xmlns:a="http://schemas.openxmlformats.org/drawingml/2006/main" xmlns:pic="http://schemas.openxmlformats.org/drawingml/2006/picture">
            <wp:extent cx="3657600" cy="2731008"/>
            <wp:docPr id="24" name="Picture 24"/>
            <wp:cNvGraphicFramePr>
              <a:graphicFrameLocks noChangeAspect="1"/>
            </wp:cNvGraphicFramePr>
            <a:graphic>
              <a:graphicData uri="http://schemas.openxmlformats.org/drawingml/2006/picture">
                <pic:pic>
                  <pic:nvPicPr>
                    <pic:cNvPr id="0" name="card-stroke.jpeg"/>
                    <pic:cNvPicPr/>
                  </pic:nvPicPr>
                  <pic:blipFill>
                    <a:blip r:embed="rId10"/>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https://velox-images.pages.dev/card-stroke.jpeg</w:t>
      </w:r>
    </w:p>
    <w:p>
      <w:pPr>
        <w:jc w:val="center"/>
      </w:pPr>
      <w:r>
        <w:rPr>
          <w:i/>
          <w:color w:val="666666"/>
          <w:sz w:val="16"/>
        </w:rPr>
        <w:t>Usage: Home — SRI-4 response card</w:t>
      </w:r>
    </w:p>
    <w:p/>
    <w:p>
      <w:r>
        <w:rPr>
          <w:b/>
          <w:i w:val="0"/>
          <w:color w:val="363B3B"/>
          <w:sz w:val="18"/>
        </w:rPr>
        <w:t>card-bleeding.jpeg — Home — flare reduction card</w:t>
      </w:r>
    </w:p>
    <w:p>
      <w:pPr>
        <w:jc w:val="center"/>
      </w:pPr>
      <w:r>
        <w:drawing>
          <wp:inline xmlns:a="http://schemas.openxmlformats.org/drawingml/2006/main" xmlns:pic="http://schemas.openxmlformats.org/drawingml/2006/picture">
            <wp:extent cx="3657600" cy="2731008"/>
            <wp:docPr id="25" name="Picture 25"/>
            <wp:cNvGraphicFramePr>
              <a:graphicFrameLocks noChangeAspect="1"/>
            </wp:cNvGraphicFramePr>
            <a:graphic>
              <a:graphicData uri="http://schemas.openxmlformats.org/drawingml/2006/picture">
                <pic:pic>
                  <pic:nvPicPr>
                    <pic:cNvPr id="0" name="card-bleeding.jpeg"/>
                    <pic:cNvPicPr/>
                  </pic:nvPicPr>
                  <pic:blipFill>
                    <a:blip r:embed="rId11"/>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https://velox-images.pages.dev/card-bleeding.jpeg</w:t>
      </w:r>
    </w:p>
    <w:p>
      <w:pPr>
        <w:jc w:val="center"/>
      </w:pPr>
      <w:r>
        <w:rPr>
          <w:i/>
          <w:color w:val="666666"/>
          <w:sz w:val="16"/>
        </w:rPr>
        <w:t>Usage: Home — flare reduction card</w:t>
      </w:r>
    </w:p>
    <w:p/>
    <w:p>
      <w:r>
        <w:rPr>
          <w:b/>
          <w:i w:val="0"/>
          <w:color w:val="363B3B"/>
          <w:sz w:val="18"/>
        </w:rPr>
        <w:t>card-dosing.jpeg — Home — subcutaneous dosing card</w:t>
      </w:r>
    </w:p>
    <w:p>
      <w:pPr>
        <w:jc w:val="center"/>
      </w:pPr>
      <w:r>
        <w:drawing>
          <wp:inline xmlns:a="http://schemas.openxmlformats.org/drawingml/2006/main" xmlns:pic="http://schemas.openxmlformats.org/drawingml/2006/picture">
            <wp:extent cx="3657600" cy="2731008"/>
            <wp:docPr id="26" name="Picture 26"/>
            <wp:cNvGraphicFramePr>
              <a:graphicFrameLocks noChangeAspect="1"/>
            </wp:cNvGraphicFramePr>
            <a:graphic>
              <a:graphicData uri="http://schemas.openxmlformats.org/drawingml/2006/picture">
                <pic:pic>
                  <pic:nvPicPr>
                    <pic:cNvPr id="0" name="card-dosing.jpeg"/>
                    <pic:cNvPicPr/>
                  </pic:nvPicPr>
                  <pic:blipFill>
                    <a:blip r:embed="rId12"/>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https://velox-images.pages.dev/card-dosing.jpeg</w:t>
      </w:r>
    </w:p>
    <w:p>
      <w:pPr>
        <w:jc w:val="center"/>
      </w:pPr>
      <w:r>
        <w:rPr>
          <w:i/>
          <w:color w:val="666666"/>
          <w:sz w:val="16"/>
        </w:rPr>
        <w:t>Usage: Home — subcutaneous dosing card</w:t>
      </w:r>
    </w:p>
    <w:p/>
    <w:p>
      <w:r>
        <w:rPr>
          <w:b/>
          <w:i w:val="0"/>
          <w:color w:val="363B3B"/>
          <w:sz w:val="18"/>
        </w:rPr>
        <w:t>columns-moa-preview.jpeg — Home — MoA teaser</w:t>
      </w:r>
    </w:p>
    <w:p>
      <w:pPr>
        <w:jc w:val="center"/>
      </w:pPr>
      <w:r>
        <w:drawing>
          <wp:inline xmlns:a="http://schemas.openxmlformats.org/drawingml/2006/main" xmlns:pic="http://schemas.openxmlformats.org/drawingml/2006/picture">
            <wp:extent cx="3657600" cy="2731008"/>
            <wp:docPr id="27" name="Picture 27"/>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https://velox-images.pages.dev/columns-moa-preview.jpeg</w:t>
      </w:r>
    </w:p>
    <w:p>
      <w:pPr>
        <w:jc w:val="center"/>
      </w:pPr>
      <w:r>
        <w:rPr>
          <w:i/>
          <w:color w:val="666666"/>
          <w:sz w:val="16"/>
        </w:rPr>
        <w:t>Usage: Home — MoA teaser</w:t>
      </w:r>
    </w:p>
    <w:p/>
    <w:p>
      <w:r>
        <w:rPr>
          <w:b/>
          <w:i w:val="0"/>
          <w:color w:val="363B3B"/>
          <w:sz w:val="18"/>
        </w:rPr>
        <w:t>tab-velocity-af.jpeg — AURORA Data — AURORA-1 tab</w:t>
      </w:r>
    </w:p>
    <w:p>
      <w:pPr>
        <w:jc w:val="center"/>
      </w:pPr>
      <w:r>
        <w:drawing>
          <wp:inline xmlns:a="http://schemas.openxmlformats.org/drawingml/2006/main" xmlns:pic="http://schemas.openxmlformats.org/drawingml/2006/picture">
            <wp:extent cx="3657600" cy="2731008"/>
            <wp:docPr id="28" name="Picture 28"/>
            <wp:cNvGraphicFramePr>
              <a:graphicFrameLocks noChangeAspect="1"/>
            </wp:cNvGraphicFramePr>
            <a:graphic>
              <a:graphicData uri="http://schemas.openxmlformats.org/drawingml/2006/picture">
                <pic:pic>
                  <pic:nvPicPr>
                    <pic:cNvPr id="0" name="tab-velocity-af.jpeg"/>
                    <pic:cNvPicPr/>
                  </pic:nvPicPr>
                  <pic:blipFill>
                    <a:blip r:embed="rId14"/>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https://velox-images.pages.dev/tab-velocity-af.jpeg</w:t>
      </w:r>
    </w:p>
    <w:p>
      <w:pPr>
        <w:jc w:val="center"/>
      </w:pPr>
      <w:r>
        <w:rPr>
          <w:i/>
          <w:color w:val="666666"/>
          <w:sz w:val="16"/>
        </w:rPr>
        <w:t>Usage: AURORA Data — AURORA-1 tab</w:t>
      </w:r>
    </w:p>
    <w:p/>
    <w:p>
      <w:r>
        <w:rPr>
          <w:b/>
          <w:i w:val="0"/>
          <w:color w:val="363B3B"/>
          <w:sz w:val="18"/>
        </w:rPr>
        <w:t>tab-velocity-bleed.jpeg — AURORA Data — AURORA-LN tab</w:t>
      </w:r>
    </w:p>
    <w:p>
      <w:pPr>
        <w:jc w:val="center"/>
      </w:pPr>
      <w:r>
        <w:drawing>
          <wp:inline xmlns:a="http://schemas.openxmlformats.org/drawingml/2006/main" xmlns:pic="http://schemas.openxmlformats.org/drawingml/2006/picture">
            <wp:extent cx="3657600" cy="2731008"/>
            <wp:docPr id="29" name="Picture 29"/>
            <wp:cNvGraphicFramePr>
              <a:graphicFrameLocks noChangeAspect="1"/>
            </wp:cNvGraphicFramePr>
            <a:graphic>
              <a:graphicData uri="http://schemas.openxmlformats.org/drawingml/2006/picture">
                <pic:pic>
                  <pic:nvPicPr>
                    <pic:cNvPr id="0" name="tab-velocity-bleed.jpeg"/>
                    <pic:cNvPicPr/>
                  </pic:nvPicPr>
                  <pic:blipFill>
                    <a:blip r:embed="rId15"/>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https://velox-images.pages.dev/tab-velocity-bleed.jpeg</w:t>
      </w:r>
    </w:p>
    <w:p>
      <w:pPr>
        <w:jc w:val="center"/>
      </w:pPr>
      <w:r>
        <w:rPr>
          <w:i/>
          <w:color w:val="666666"/>
          <w:sz w:val="16"/>
        </w:rPr>
        <w:t>Usage: AURORA Data — AURORA-LN tab</w:t>
      </w:r>
    </w:p>
    <w:p/>
    <w:p>
      <w:r>
        <w:rPr>
          <w:b/>
          <w:i w:val="0"/>
          <w:color w:val="363B3B"/>
          <w:sz w:val="18"/>
        </w:rPr>
        <w:t>card-bleeding-events.jpeg — Safety &amp; Monitoring — infusion/injection reactions card</w:t>
      </w:r>
    </w:p>
    <w:p>
      <w:pPr>
        <w:jc w:val="center"/>
      </w:pPr>
      <w:r>
        <w:drawing>
          <wp:inline xmlns:a="http://schemas.openxmlformats.org/drawingml/2006/main" xmlns:pic="http://schemas.openxmlformats.org/drawingml/2006/picture">
            <wp:extent cx="3657600" cy="2731008"/>
            <wp:docPr id="30" name="Picture 30"/>
            <wp:cNvGraphicFramePr>
              <a:graphicFrameLocks noChangeAspect="1"/>
            </wp:cNvGraphicFramePr>
            <a:graphic>
              <a:graphicData uri="http://schemas.openxmlformats.org/drawingml/2006/picture">
                <pic:pic>
                  <pic:nvPicPr>
                    <pic:cNvPr id="0" name="card-bleeding-events.jpeg"/>
                    <pic:cNvPicPr/>
                  </pic:nvPicPr>
                  <pic:blipFill>
                    <a:blip r:embed="rId17"/>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https://velox-images.pages.dev/card-bleeding-events.jpeg</w:t>
      </w:r>
    </w:p>
    <w:p>
      <w:pPr>
        <w:jc w:val="center"/>
      </w:pPr>
      <w:r>
        <w:rPr>
          <w:i/>
          <w:color w:val="666666"/>
          <w:sz w:val="16"/>
        </w:rPr>
        <w:t>Usage: Safety &amp; Monitoring — infusion/injection reactions card</w:t>
      </w:r>
    </w:p>
    <w:p/>
    <w:p>
      <w:r>
        <w:rPr>
          <w:b/>
          <w:i w:val="0"/>
          <w:color w:val="363B3B"/>
          <w:sz w:val="18"/>
        </w:rPr>
        <w:t>card-hepatic.jpeg — Safety &amp; Monitoring — immunoglobulin monitoring card</w:t>
      </w:r>
    </w:p>
    <w:p>
      <w:pPr>
        <w:jc w:val="center"/>
      </w:pPr>
      <w:r>
        <w:drawing>
          <wp:inline xmlns:a="http://schemas.openxmlformats.org/drawingml/2006/main" xmlns:pic="http://schemas.openxmlformats.org/drawingml/2006/picture">
            <wp:extent cx="3657600" cy="2731008"/>
            <wp:docPr id="31" name="Picture 31"/>
            <wp:cNvGraphicFramePr>
              <a:graphicFrameLocks noChangeAspect="1"/>
            </wp:cNvGraphicFramePr>
            <a:graphic>
              <a:graphicData uri="http://schemas.openxmlformats.org/drawingml/2006/picture">
                <pic:pic>
                  <pic:nvPicPr>
                    <pic:cNvPr id="0" name="card-hepatic.jpeg"/>
                    <pic:cNvPicPr/>
                  </pic:nvPicPr>
                  <pic:blipFill>
                    <a:blip r:embed="rId18"/>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https://velox-images.pages.dev/card-hepatic.jpeg</w:t>
      </w:r>
    </w:p>
    <w:p>
      <w:pPr>
        <w:jc w:val="center"/>
      </w:pPr>
      <w:r>
        <w:rPr>
          <w:i/>
          <w:color w:val="666666"/>
          <w:sz w:val="16"/>
        </w:rPr>
        <w:t>Usage: Safety &amp; Monitoring — immunoglobulin monitoring card</w:t>
      </w:r>
    </w:p>
    <w:p/>
    <w:p>
      <w:r>
        <w:rPr>
          <w:b/>
          <w:i w:val="0"/>
          <w:color w:val="363B3B"/>
          <w:sz w:val="18"/>
        </w:rPr>
        <w:t>card-gi-events.jpeg — Safety &amp; Monitoring — infection risk card</w:t>
      </w:r>
    </w:p>
    <w:p>
      <w:pPr>
        <w:jc w:val="center"/>
      </w:pPr>
      <w:r>
        <w:drawing>
          <wp:inline xmlns:a="http://schemas.openxmlformats.org/drawingml/2006/main" xmlns:pic="http://schemas.openxmlformats.org/drawingml/2006/picture">
            <wp:extent cx="3657600" cy="2731008"/>
            <wp:docPr id="32" name="Picture 32"/>
            <wp:cNvGraphicFramePr>
              <a:graphicFrameLocks noChangeAspect="1"/>
            </wp:cNvGraphicFramePr>
            <a:graphic>
              <a:graphicData uri="http://schemas.openxmlformats.org/drawingml/2006/picture">
                <pic:pic>
                  <pic:nvPicPr>
                    <pic:cNvPr id="0" name="card-gi-events.jpeg"/>
                    <pic:cNvPicPr/>
                  </pic:nvPicPr>
                  <pic:blipFill>
                    <a:blip r:embed="rId19"/>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https://velox-images.pages.dev/card-gi-events.jpeg</w:t>
      </w:r>
    </w:p>
    <w:p>
      <w:pPr>
        <w:jc w:val="center"/>
      </w:pPr>
      <w:r>
        <w:rPr>
          <w:i/>
          <w:color w:val="666666"/>
          <w:sz w:val="16"/>
        </w:rPr>
        <w:t>Usage: Safety &amp; Monitoring — infection risk card</w:t>
      </w:r>
    </w:p>
    <w:p/>
    <w:p>
      <w:r>
        <w:rPr>
          <w:b/>
          <w:i w:val="0"/>
          <w:color w:val="363B3B"/>
          <w:sz w:val="18"/>
        </w:rPr>
        <w:t>columns-dosing.jpeg — Dosing &amp; Administration — SC injection at home</w:t>
      </w:r>
    </w:p>
    <w:p>
      <w:pPr>
        <w:jc w:val="center"/>
      </w:pPr>
      <w:r>
        <w:drawing>
          <wp:inline xmlns:a="http://schemas.openxmlformats.org/drawingml/2006/main" xmlns:pic="http://schemas.openxmlformats.org/drawingml/2006/picture">
            <wp:extent cx="3657600" cy="2731008"/>
            <wp:docPr id="33" name="Picture 33"/>
            <wp:cNvGraphicFramePr>
              <a:graphicFrameLocks noChangeAspect="1"/>
            </wp:cNvGraphicFramePr>
            <a:graphic>
              <a:graphicData uri="http://schemas.openxmlformats.org/drawingml/2006/picture">
                <pic:pic>
                  <pic:nvPicPr>
                    <pic:cNvPr id="0" name="columns-dosing.jpeg"/>
                    <pic:cNvPicPr/>
                  </pic:nvPicPr>
                  <pic:blipFill>
                    <a:blip r:embed="rId21"/>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https://velox-images.pages.dev/columns-dosing.jpeg</w:t>
      </w:r>
    </w:p>
    <w:p>
      <w:pPr>
        <w:jc w:val="center"/>
      </w:pPr>
      <w:r>
        <w:rPr>
          <w:i/>
          <w:color w:val="666666"/>
          <w:sz w:val="16"/>
        </w:rPr>
        <w:t>Usage: Dosing &amp; Administration — SC injection at home</w:t>
      </w:r>
    </w:p>
    <w:p/>
    <w:p>
      <w:r>
        <w:rPr>
          <w:b/>
          <w:i w:val="0"/>
          <w:color w:val="363B3B"/>
          <w:sz w:val="18"/>
        </w:rPr>
        <w:t>columns-monitoring.jpeg — Safety &amp; Monitoring — monitoring schedule</w:t>
      </w:r>
    </w:p>
    <w:p>
      <w:pPr>
        <w:jc w:val="center"/>
      </w:pPr>
      <w:r>
        <w:drawing>
          <wp:inline xmlns:a="http://schemas.openxmlformats.org/drawingml/2006/main" xmlns:pic="http://schemas.openxmlformats.org/drawingml/2006/picture">
            <wp:extent cx="3657600" cy="2731008"/>
            <wp:docPr id="34" name="Picture 34"/>
            <wp:cNvGraphicFramePr>
              <a:graphicFrameLocks noChangeAspect="1"/>
            </wp:cNvGraphicFramePr>
            <a:graphic>
              <a:graphicData uri="http://schemas.openxmlformats.org/drawingml/2006/picture">
                <pic:pic>
                  <pic:nvPicPr>
                    <pic:cNvPr id="0" name="columns-monitoring.jpeg"/>
                    <pic:cNvPicPr/>
                  </pic:nvPicPr>
                  <pic:blipFill>
                    <a:blip r:embed="rId20"/>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https://velox-images.pages.dev/columns-monitoring.jpeg</w:t>
      </w:r>
    </w:p>
    <w:p>
      <w:pPr>
        <w:jc w:val="center"/>
      </w:pPr>
      <w:r>
        <w:rPr>
          <w:i/>
          <w:color w:val="666666"/>
          <w:sz w:val="16"/>
        </w:rPr>
        <w:t>Usage: Safety &amp; Monitoring — monitoring schedule</w:t>
      </w:r>
    </w:p>
    <w:p/>
    <w:p>
      <w:r>
        <w:rPr>
          <w:b/>
          <w:i w:val="0"/>
          <w:color w:val="363B3B"/>
          <w:sz w:val="18"/>
        </w:rPr>
        <w:t>card-prescribing.jpeg — HCP Resources — prescribing guide card</w:t>
      </w:r>
    </w:p>
    <w:p>
      <w:pPr>
        <w:jc w:val="center"/>
      </w:pPr>
      <w:r>
        <w:drawing>
          <wp:inline xmlns:a="http://schemas.openxmlformats.org/drawingml/2006/main" xmlns:pic="http://schemas.openxmlformats.org/drawingml/2006/picture">
            <wp:extent cx="3657600" cy="2731008"/>
            <wp:docPr id="35" name="Picture 35"/>
            <wp:cNvGraphicFramePr>
              <a:graphicFrameLocks noChangeAspect="1"/>
            </wp:cNvGraphicFramePr>
            <a:graphic>
              <a:graphicData uri="http://schemas.openxmlformats.org/drawingml/2006/picture">
                <pic:pic>
                  <pic:nvPicPr>
                    <pic:cNvPr id="0" name="card-prescribing.jpeg"/>
                    <pic:cNvPicPr/>
                  </pic:nvPicPr>
                  <pic:blipFill>
                    <a:blip r:embed="rId23"/>
                    <a:stretch>
                      <a:fillRect/>
                    </a:stretch>
                  </pic:blipFill>
                  <pic:spPr>
                    <a:xfrm>
                      <a:off x="0" y="0"/>
                      <a:ext cx="3657600" cy="2731008"/>
                    </a:xfrm>
                    <a:prstGeom prst="rect"/>
                  </pic:spPr>
                </pic:pic>
              </a:graphicData>
            </a:graphic>
          </wp:inline>
        </w:drawing>
      </w:r>
    </w:p>
    <w:p>
      <w:pPr>
        <w:jc w:val="center"/>
      </w:pPr>
      <w:r>
        <w:rPr>
          <w:color w:val="005599"/>
          <w:sz w:val="16"/>
          <w:u w:val="single"/>
        </w:rPr>
        <w:t>https://velox-images.pages.dev/card-prescribing.jpeg</w:t>
      </w:r>
    </w:p>
    <w:p>
      <w:pPr>
        <w:jc w:val="center"/>
      </w:pPr>
      <w:r>
        <w:rPr>
          <w:i/>
          <w:color w:val="666666"/>
          <w:sz w:val="16"/>
        </w:rPr>
        <w:t>Usage: HCP Resources — prescribing guide card</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63B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300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300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300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83005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