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30051"/>
          <w:sz w:val="72"/>
        </w:rPr>
        <w:t>LUMIVEX®</w:t>
      </w:r>
    </w:p>
    <w:p>
      <w:pPr>
        <w:jc w:val="center"/>
      </w:pPr>
      <w:r>
        <w:rPr>
          <w:color w:val="363B3B"/>
          <w:sz w:val="36"/>
        </w:rPr>
        <w:t>(lumvecitinib)</w:t>
      </w:r>
    </w:p>
    <w:p/>
    <w:p>
      <w:pPr>
        <w:jc w:val="center"/>
      </w:pPr>
      <w:r>
        <w:rPr>
          <w:b/>
          <w:color w:val="D4851F"/>
          <w:sz w:val="48"/>
        </w:rPr>
        <w:t>Website Briefing</w:t>
      </w:r>
    </w:p>
    <w:p/>
    <w:p>
      <w:pPr>
        <w:jc w:val="center"/>
      </w:pPr>
      <w:r>
        <w:rPr>
          <w:color w:val="666666"/>
          <w:sz w:val="20"/>
        </w:rPr>
        <w:t>Document type: Final approved marketing brief for HCP website build</w:t>
      </w:r>
    </w:p>
    <w:p>
      <w:pPr>
        <w:jc w:val="center"/>
      </w:pPr>
      <w:r>
        <w:rPr>
          <w:color w:val="666666"/>
          <w:sz w:val="20"/>
        </w:rPr>
        <w:t>Prepared by: Marketing — UK Dermatology Franchise</w:t>
      </w:r>
    </w:p>
    <w:p>
      <w:pPr>
        <w:jc w:val="center"/>
      </w:pPr>
      <w:r>
        <w:rPr>
          <w:color w:val="666666"/>
          <w:sz w:val="20"/>
        </w:rPr>
        <w:t>Approval status: MLR-approved copy — do not modify</w:t>
      </w:r>
    </w:p>
    <w:p>
      <w:pPr>
        <w:jc w:val="center"/>
      </w:pPr>
      <w:r>
        <w:rPr>
          <w:color w:val="666666"/>
          <w:sz w:val="20"/>
        </w:rPr>
        <w:t>Date: March 2026</w:t>
      </w:r>
    </w:p>
    <w:p>
      <w:pPr>
        <w:jc w:val="center"/>
      </w:pPr>
      <w:r>
        <w:rPr>
          <w:color w:val="666666"/>
          <w:sz w:val="20"/>
        </w:rPr>
        <w:t>Approval code: GB-94281 | DOP: March 2026</w:t>
      </w:r>
    </w:p>
    <w:p>
      <w:r>
        <w:br w:type="page"/>
      </w:r>
    </w:p>
    <w:p>
      <w:pPr>
        <w:pStyle w:val="Heading1"/>
      </w:pPr>
      <w:r>
        <w:rPr>
          <w:color w:val="830051"/>
        </w:rPr>
        <w:t>Contents</w:t>
      </w:r>
    </w:p>
    <w:p>
      <w:r>
        <w:rPr>
          <w:color w:val="363B3B"/>
          <w:sz w:val="20"/>
        </w:rPr>
        <w:t>1. Drug Profile</w:t>
      </w:r>
    </w:p>
    <w:p>
      <w:r>
        <w:rPr>
          <w:color w:val="363B3B"/>
          <w:sz w:val="20"/>
        </w:rPr>
        <w:t>2. Mechanism of Action</w:t>
      </w:r>
    </w:p>
    <w:p>
      <w:r>
        <w:rPr>
          <w:color w:val="363B3B"/>
          <w:sz w:val="20"/>
        </w:rPr>
        <w:t>3. Clinical Programme: LUMINANCE</w:t>
      </w:r>
    </w:p>
    <w:p>
      <w:r>
        <w:rPr>
          <w:color w:val="363B3B"/>
          <w:sz w:val="20"/>
        </w:rPr>
        <w:t>4. Safety Profile</w:t>
      </w:r>
    </w:p>
    <w:p>
      <w:r>
        <w:rPr>
          <w:color w:val="363B3B"/>
          <w:sz w:val="20"/>
        </w:rPr>
        <w:t>5. Prescribing Information</w:t>
      </w:r>
    </w:p>
    <w:p>
      <w:r>
        <w:rPr>
          <w:color w:val="363B3B"/>
          <w:sz w:val="20"/>
        </w:rPr>
        <w:t>6. Adverse Event Reporting</w:t>
      </w:r>
    </w:p>
    <w:p>
      <w:r>
        <w:rPr>
          <w:color w:val="363B3B"/>
          <w:sz w:val="20"/>
        </w:rPr>
        <w:t>7. References</w:t>
      </w:r>
    </w:p>
    <w:p>
      <w:r>
        <w:rPr>
          <w:color w:val="363B3B"/>
          <w:sz w:val="20"/>
        </w:rPr>
        <w:t>8. Site Navigation</w:t>
      </w:r>
    </w:p>
    <w:p>
      <w:r>
        <w:rPr>
          <w:color w:val="363B3B"/>
          <w:sz w:val="20"/>
        </w:rPr>
        <w:t>9. Page Content</w:t>
      </w:r>
    </w:p>
    <w:p>
      <w:r>
        <w:rPr>
          <w:color w:val="363B3B"/>
          <w:sz w:val="20"/>
        </w:rPr>
        <w:t xml:space="preserve">   Page 1: Home</w:t>
      </w:r>
    </w:p>
    <w:p>
      <w:r>
        <w:rPr>
          <w:color w:val="363B3B"/>
          <w:sz w:val="20"/>
        </w:rPr>
        <w:t xml:space="preserve">   Page 2: Efficacy</w:t>
      </w:r>
    </w:p>
    <w:p>
      <w:r>
        <w:rPr>
          <w:color w:val="363B3B"/>
          <w:sz w:val="20"/>
        </w:rPr>
        <w:t xml:space="preserve">   Page 3: Safety</w:t>
      </w:r>
    </w:p>
    <w:p>
      <w:r>
        <w:rPr>
          <w:color w:val="363B3B"/>
          <w:sz w:val="20"/>
        </w:rPr>
        <w:t xml:space="preserve">   Page 4: Dosing &amp; Administration</w:t>
      </w:r>
    </w:p>
    <w:p>
      <w:r>
        <w:rPr>
          <w:color w:val="363B3B"/>
          <w:sz w:val="20"/>
        </w:rPr>
        <w:t xml:space="preserve">   Page 5: Mechanism of Action</w:t>
      </w:r>
    </w:p>
    <w:p>
      <w:r>
        <w:rPr>
          <w:color w:val="363B3B"/>
          <w:sz w:val="20"/>
        </w:rPr>
        <w:t xml:space="preserve">   Page 6: Resources</w:t>
      </w:r>
    </w:p>
    <w:p>
      <w:r>
        <w:rPr>
          <w:color w:val="363B3B"/>
          <w:sz w:val="20"/>
        </w:rPr>
        <w:t>10. Footer Content</w:t>
      </w:r>
    </w:p>
    <w:p>
      <w:r>
        <w:rPr>
          <w:color w:val="363B3B"/>
          <w:sz w:val="20"/>
        </w:rPr>
        <w:t>11. Image Assets</w:t>
      </w:r>
    </w:p>
    <w:p>
      <w:r>
        <w:br w:type="page"/>
      </w:r>
    </w:p>
    <w:p>
      <w:pPr>
        <w:pStyle w:val="Heading1"/>
      </w:pPr>
      <w:r>
        <w:rPr>
          <w:color w:val="830051"/>
        </w:rPr>
        <w:t>1. Drug Profile</w:t>
      </w:r>
    </w:p>
    <w:tbl>
      <w:tblPr>
        <w:tblStyle w:val="TableGrid"/>
        <w:tblW w:type="auto" w:w="0"/>
        <w:jc w:val="center"/>
        <w:tblLook w:firstColumn="1" w:firstRow="1" w:lastColumn="0" w:lastRow="0" w:noHBand="0" w:noVBand="1" w:val="04A0"/>
      </w:tblPr>
      <w:tblGrid>
        <w:gridCol w:w="4536"/>
        <w:gridCol w:w="4536"/>
      </w:tblGrid>
      <w:tr>
        <w:tc>
          <w:tcPr>
            <w:tcW w:type="dxa" w:w="4536"/>
            <w:shd w:fill="830051"/>
          </w:tcPr>
          <w:p>
            <w:r/>
            <w:r>
              <w:rPr>
                <w:b/>
                <w:color w:val="FFFFFF"/>
                <w:sz w:val="18"/>
              </w:rPr>
              <w:t>Field</w:t>
            </w:r>
          </w:p>
        </w:tc>
        <w:tc>
          <w:tcPr>
            <w:tcW w:type="dxa" w:w="4536"/>
            <w:shd w:fill="830051"/>
          </w:tcPr>
          <w:p>
            <w:r/>
            <w:r>
              <w:rPr>
                <w:b/>
                <w:color w:val="FFFFFF"/>
                <w:sz w:val="18"/>
              </w:rPr>
              <w:t>Detail</w:t>
            </w:r>
          </w:p>
        </w:tc>
      </w:tr>
      <w:tr>
        <w:tc>
          <w:tcPr>
            <w:tcW w:type="dxa" w:w="4536"/>
          </w:tcPr>
          <w:p>
            <w:r/>
            <w:r>
              <w:rPr>
                <w:color w:val="363B3B"/>
                <w:sz w:val="18"/>
              </w:rPr>
              <w:t>Brand name</w:t>
            </w:r>
          </w:p>
        </w:tc>
        <w:tc>
          <w:tcPr>
            <w:tcW w:type="dxa" w:w="4536"/>
          </w:tcPr>
          <w:p>
            <w:r/>
            <w:r>
              <w:rPr>
                <w:color w:val="363B3B"/>
                <w:sz w:val="18"/>
              </w:rPr>
              <w:t>LUMIVEX®</w:t>
            </w:r>
          </w:p>
        </w:tc>
      </w:tr>
      <w:tr>
        <w:tc>
          <w:tcPr>
            <w:tcW w:type="dxa" w:w="4536"/>
            <w:shd w:fill="F8F8F8"/>
          </w:tcPr>
          <w:p>
            <w:r/>
            <w:r>
              <w:rPr>
                <w:color w:val="363B3B"/>
                <w:sz w:val="18"/>
              </w:rPr>
              <w:t>Generic name</w:t>
            </w:r>
          </w:p>
        </w:tc>
        <w:tc>
          <w:tcPr>
            <w:tcW w:type="dxa" w:w="4536"/>
            <w:shd w:fill="F8F8F8"/>
          </w:tcPr>
          <w:p>
            <w:r/>
            <w:r>
              <w:rPr>
                <w:color w:val="363B3B"/>
                <w:sz w:val="18"/>
              </w:rPr>
              <w:t>lumvecitinib</w:t>
            </w:r>
          </w:p>
        </w:tc>
      </w:tr>
      <w:tr>
        <w:tc>
          <w:tcPr>
            <w:tcW w:type="dxa" w:w="4536"/>
          </w:tcPr>
          <w:p>
            <w:r/>
            <w:r>
              <w:rPr>
                <w:color w:val="363B3B"/>
                <w:sz w:val="18"/>
              </w:rPr>
              <w:t>Drug class</w:t>
            </w:r>
          </w:p>
        </w:tc>
        <w:tc>
          <w:tcPr>
            <w:tcW w:type="dxa" w:w="4536"/>
          </w:tcPr>
          <w:p>
            <w:r/>
            <w:r>
              <w:rPr>
                <w:color w:val="363B3B"/>
                <w:sz w:val="18"/>
              </w:rPr>
              <w:t>Selective allosteric tyrosine kinase 2 (TYK2) inhibitor</w:t>
            </w:r>
          </w:p>
        </w:tc>
      </w:tr>
      <w:tr>
        <w:tc>
          <w:tcPr>
            <w:tcW w:type="dxa" w:w="4536"/>
            <w:shd w:fill="F8F8F8"/>
          </w:tcPr>
          <w:p>
            <w:r/>
            <w:r>
              <w:rPr>
                <w:color w:val="363B3B"/>
                <w:sz w:val="18"/>
              </w:rPr>
              <w:t>Indication</w:t>
            </w:r>
          </w:p>
        </w:tc>
        <w:tc>
          <w:tcPr>
            <w:tcW w:type="dxa" w:w="4536"/>
            <w:shd w:fill="F8F8F8"/>
          </w:tcPr>
          <w:p>
            <w:r/>
            <w:r>
              <w:rPr>
                <w:color w:val="363B3B"/>
                <w:sz w:val="18"/>
              </w:rPr>
              <w:t>Treatment of adults with moderate-to-severe plaque psoriasis who are candidates for systemic therapy</w:t>
            </w:r>
          </w:p>
        </w:tc>
      </w:tr>
      <w:tr>
        <w:tc>
          <w:tcPr>
            <w:tcW w:type="dxa" w:w="4536"/>
          </w:tcPr>
          <w:p>
            <w:r/>
            <w:r>
              <w:rPr>
                <w:color w:val="363B3B"/>
                <w:sz w:val="18"/>
              </w:rPr>
              <w:t>Formulation</w:t>
            </w:r>
          </w:p>
        </w:tc>
        <w:tc>
          <w:tcPr>
            <w:tcW w:type="dxa" w:w="4536"/>
          </w:tcPr>
          <w:p>
            <w:r/>
            <w:r>
              <w:rPr>
                <w:color w:val="363B3B"/>
                <w:sz w:val="18"/>
              </w:rPr>
              <w:t>6 mg film-coated tablet</w:t>
            </w:r>
          </w:p>
        </w:tc>
      </w:tr>
      <w:tr>
        <w:tc>
          <w:tcPr>
            <w:tcW w:type="dxa" w:w="4536"/>
            <w:shd w:fill="F8F8F8"/>
          </w:tcPr>
          <w:p>
            <w:r/>
            <w:r>
              <w:rPr>
                <w:color w:val="363B3B"/>
                <w:sz w:val="18"/>
              </w:rPr>
              <w:t>Dosing</w:t>
            </w:r>
          </w:p>
        </w:tc>
        <w:tc>
          <w:tcPr>
            <w:tcW w:type="dxa" w:w="4536"/>
            <w:shd w:fill="F8F8F8"/>
          </w:tcPr>
          <w:p>
            <w:r/>
            <w:r>
              <w:rPr>
                <w:color w:val="363B3B"/>
                <w:sz w:val="18"/>
              </w:rPr>
              <w:t>One tablet once daily, with or without food</w:t>
            </w:r>
          </w:p>
        </w:tc>
      </w:tr>
      <w:tr>
        <w:tc>
          <w:tcPr>
            <w:tcW w:type="dxa" w:w="4536"/>
          </w:tcPr>
          <w:p>
            <w:r/>
            <w:r>
              <w:rPr>
                <w:color w:val="363B3B"/>
                <w:sz w:val="18"/>
              </w:rPr>
              <w:t>Approval</w:t>
            </w:r>
          </w:p>
        </w:tc>
        <w:tc>
          <w:tcPr>
            <w:tcW w:type="dxa" w:w="4536"/>
          </w:tcPr>
          <w:p>
            <w:r/>
            <w:r>
              <w:rPr>
                <w:color w:val="363B3B"/>
                <w:sz w:val="18"/>
              </w:rPr>
              <w:t>MHRA — February 2026</w:t>
            </w:r>
          </w:p>
        </w:tc>
      </w:tr>
      <w:tr>
        <w:tc>
          <w:tcPr>
            <w:tcW w:type="dxa" w:w="4536"/>
            <w:shd w:fill="F8F8F8"/>
          </w:tcPr>
          <w:p>
            <w:r/>
            <w:r>
              <w:rPr>
                <w:color w:val="363B3B"/>
                <w:sz w:val="18"/>
              </w:rPr>
              <w:t>Brand colour</w:t>
            </w:r>
          </w:p>
        </w:tc>
        <w:tc>
          <w:tcPr>
            <w:tcW w:type="dxa" w:w="4536"/>
            <w:shd w:fill="F8F8F8"/>
          </w:tcPr>
          <w:p>
            <w:r/>
            <w:r>
              <w:rPr>
                <w:color w:val="363B3B"/>
                <w:sz w:val="18"/>
              </w:rPr>
              <w:t>Luminous Amber #D4851F</w:t>
            </w:r>
          </w:p>
        </w:tc>
      </w:tr>
      <w:tr>
        <w:tc>
          <w:tcPr>
            <w:tcW w:type="dxa" w:w="4536"/>
          </w:tcPr>
          <w:p>
            <w:r/>
            <w:r>
              <w:rPr>
                <w:color w:val="363B3B"/>
                <w:sz w:val="18"/>
              </w:rPr>
              <w:t>Approval code</w:t>
            </w:r>
          </w:p>
        </w:tc>
        <w:tc>
          <w:tcPr>
            <w:tcW w:type="dxa" w:w="4536"/>
          </w:tcPr>
          <w:p>
            <w:r/>
            <w:r>
              <w:rPr>
                <w:color w:val="363B3B"/>
                <w:sz w:val="18"/>
              </w:rPr>
              <w:t>GB-94281</w:t>
            </w:r>
          </w:p>
        </w:tc>
      </w:tr>
    </w:tbl>
    <w:p/>
    <w:p>
      <w:pPr>
        <w:jc w:val="center"/>
      </w:pPr>
      <w:r>
        <w:rPr>
          <w:color w:val="CCCCCC"/>
          <w:sz w:val="16"/>
        </w:rPr>
        <w:t>────────────────────────────────────────────────────────────</w:t>
      </w:r>
    </w:p>
    <w:p>
      <w:pPr>
        <w:pStyle w:val="Heading1"/>
      </w:pPr>
      <w:r>
        <w:rPr>
          <w:color w:val="830051"/>
        </w:rPr>
        <w:t>2. Mechanism of Action</w:t>
      </w:r>
    </w:p>
    <w:p>
      <w:r>
        <w:rPr>
          <w:b w:val="0"/>
          <w:i w:val="0"/>
          <w:color w:val="363B3B"/>
          <w:sz w:val="20"/>
        </w:rPr>
        <w:t>Lumvecitinib is a selective allosteric inhibitor of tyrosine kinase 2 (TYK2), binding to the pseudokinase (JH2) regulatory domain rather than the catalytic (JH1) domain. This allosteric mechanism confers high selectivity for TYK2 over JAK1, JAK2, and JAK3, minimising the haematological and immunosuppressive effects associated with pan-JAK inhibition.</w:t>
      </w:r>
    </w:p>
    <w:p>
      <w:r>
        <w:rPr>
          <w:b w:val="0"/>
          <w:i w:val="0"/>
          <w:color w:val="363B3B"/>
          <w:sz w:val="20"/>
        </w:rPr>
        <w:t>TYK2 mediates intracellular signalling through the IL-23, IL-12, and type I interferon (IFN) receptors — key drivers of the Th17 and Th1 immune responses that underlie psoriatic inflammation. IL-23 activates TYK2, which phosphorylates STAT3, promoting Th17 cell differentiation and IL-17A/F production. IL-17 drives keratinocyte hyperproliferation, neutrophil recruitment, and the characteristic epidermal thickening of plaque psoriasis.</w:t>
      </w:r>
    </w:p>
    <w:p>
      <w:r>
        <w:rPr>
          <w:b w:val="0"/>
          <w:i w:val="0"/>
          <w:color w:val="363B3B"/>
          <w:sz w:val="20"/>
        </w:rPr>
        <w:t>By selectively inhibiting TYK2, lumvecitinib reduces IL-23-dependent Th17 cell activation and IL-17 production, normalising keratinocyte proliferation and resolving psoriatic plaques. The selective mechanism preserves JAK1/2/3-mediated haematopoiesis and broader immune surveillance, resulting in a favourable tolerability profile distinct from non-selective JAK inhibitors.</w:t>
      </w:r>
    </w:p>
    <w:p>
      <w:pPr>
        <w:jc w:val="center"/>
      </w:pPr>
      <w:r>
        <w:rPr>
          <w:color w:val="CCCCCC"/>
          <w:sz w:val="16"/>
        </w:rPr>
        <w:t>────────────────────────────────────────────────────────────</w:t>
      </w:r>
    </w:p>
    <w:p>
      <w:pPr>
        <w:pStyle w:val="Heading1"/>
      </w:pPr>
      <w:r>
        <w:rPr>
          <w:color w:val="830051"/>
        </w:rPr>
        <w:t>3. Clinical Programme: LUMINANCE</w:t>
      </w:r>
    </w:p>
    <w:p>
      <w:pPr>
        <w:pStyle w:val="Heading2"/>
      </w:pPr>
      <w:r>
        <w:rPr>
          <w:color w:val="830051"/>
        </w:rPr>
        <w:t>LUMINANCE-1: Efficacy vs placebo</w:t>
      </w:r>
    </w:p>
    <w:p>
      <w:r>
        <w:rPr>
          <w:b/>
          <w:sz w:val="20"/>
        </w:rPr>
        <w:t xml:space="preserve">Design: </w:t>
      </w:r>
      <w:r>
        <w:rPr>
          <w:sz w:val="20"/>
        </w:rPr>
        <w:t>Phase III, randomised, double-blind, placebo-controlled, 52-week trial</w:t>
      </w:r>
    </w:p>
    <w:p>
      <w:r>
        <w:rPr>
          <w:b/>
          <w:sz w:val="20"/>
        </w:rPr>
        <w:t xml:space="preserve">Population: </w:t>
      </w:r>
      <w:r>
        <w:rPr>
          <w:sz w:val="20"/>
        </w:rPr>
        <w:t>1,020 adults with moderate-to-severe plaque psoriasis (BSA ≥10%, PASI ≥12, IGA ≥3), inadequate response or intolerance to ≥1 conventional systemic therapy</w:t>
      </w:r>
    </w:p>
    <w:p>
      <w:r>
        <w:rPr>
          <w:b/>
          <w:sz w:val="20"/>
        </w:rPr>
        <w:t xml:space="preserve">Primary endpoint: </w:t>
      </w:r>
      <w:r>
        <w:rPr>
          <w:sz w:val="20"/>
        </w:rPr>
        <w:t>Proportion achieving PASI 75 response at Week 16</w:t>
      </w:r>
    </w:p>
    <w:p>
      <w:r>
        <w:rPr>
          <w:b/>
          <w:sz w:val="20"/>
        </w:rPr>
        <w:t xml:space="preserve">Key secondary: </w:t>
      </w:r>
      <w:r>
        <w:rPr>
          <w:sz w:val="20"/>
        </w:rPr>
        <w:t>PASI 90, IGA 0/1 at Week 16; PASI 75 maintenance at Week 52</w:t>
      </w:r>
    </w:p>
    <w:p>
      <w:r>
        <w:rPr>
          <w:b/>
          <w:sz w:val="20"/>
        </w:rPr>
        <w:t xml:space="preserve">Publication: </w:t>
      </w:r>
      <w:r>
        <w:rPr>
          <w:sz w:val="20"/>
        </w:rPr>
        <w:t>Morrison et al. N Engl J Med 2025; 392(12): 1089–1101</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Lumvecitinib 6 mg (n=510)</w:t>
            </w:r>
          </w:p>
        </w:tc>
        <w:tc>
          <w:tcPr>
            <w:tcW w:type="dxa" w:w="2268"/>
            <w:shd w:fill="830051"/>
          </w:tcPr>
          <w:p>
            <w:r/>
            <w:r>
              <w:rPr>
                <w:b/>
                <w:color w:val="FFFFFF"/>
                <w:sz w:val="18"/>
              </w:rPr>
              <w:t>Placebo (n=510)</w:t>
            </w:r>
          </w:p>
        </w:tc>
        <w:tc>
          <w:tcPr>
            <w:tcW w:type="dxa" w:w="2268"/>
            <w:shd w:fill="830051"/>
          </w:tcPr>
          <w:p>
            <w:r/>
            <w:r>
              <w:rPr>
                <w:b/>
                <w:color w:val="FFFFFF"/>
                <w:sz w:val="18"/>
              </w:rPr>
              <w:t>Difference (95% CI)</w:t>
            </w:r>
          </w:p>
        </w:tc>
      </w:tr>
      <w:tr>
        <w:tc>
          <w:tcPr>
            <w:tcW w:type="dxa" w:w="2268"/>
          </w:tcPr>
          <w:p>
            <w:r/>
            <w:r>
              <w:rPr>
                <w:color w:val="363B3B"/>
                <w:sz w:val="18"/>
              </w:rPr>
              <w:t>PASI 75 at Week 16 (primary)</w:t>
            </w:r>
          </w:p>
        </w:tc>
        <w:tc>
          <w:tcPr>
            <w:tcW w:type="dxa" w:w="2268"/>
          </w:tcPr>
          <w:p>
            <w:r/>
            <w:r>
              <w:rPr>
                <w:color w:val="363B3B"/>
                <w:sz w:val="18"/>
              </w:rPr>
              <w:t>72.4%</w:t>
            </w:r>
          </w:p>
        </w:tc>
        <w:tc>
          <w:tcPr>
            <w:tcW w:type="dxa" w:w="2268"/>
          </w:tcPr>
          <w:p>
            <w:r/>
            <w:r>
              <w:rPr>
                <w:color w:val="363B3B"/>
                <w:sz w:val="18"/>
              </w:rPr>
              <w:t>8.6%</w:t>
            </w:r>
          </w:p>
        </w:tc>
        <w:tc>
          <w:tcPr>
            <w:tcW w:type="dxa" w:w="2268"/>
          </w:tcPr>
          <w:p>
            <w:r/>
            <w:r>
              <w:rPr>
                <w:color w:val="363B3B"/>
                <w:sz w:val="18"/>
              </w:rPr>
              <w:t>63.8% (58.9 to 68.7); P&lt;0.001</w:t>
            </w:r>
          </w:p>
        </w:tc>
      </w:tr>
      <w:tr>
        <w:tc>
          <w:tcPr>
            <w:tcW w:type="dxa" w:w="2268"/>
            <w:shd w:fill="F8F8F8"/>
          </w:tcPr>
          <w:p>
            <w:r/>
            <w:r>
              <w:rPr>
                <w:color w:val="363B3B"/>
                <w:sz w:val="18"/>
              </w:rPr>
              <w:t>PASI 90 at Week 16</w:t>
            </w:r>
          </w:p>
        </w:tc>
        <w:tc>
          <w:tcPr>
            <w:tcW w:type="dxa" w:w="2268"/>
            <w:shd w:fill="F8F8F8"/>
          </w:tcPr>
          <w:p>
            <w:r/>
            <w:r>
              <w:rPr>
                <w:color w:val="363B3B"/>
                <w:sz w:val="18"/>
              </w:rPr>
              <w:t>48.1%</w:t>
            </w:r>
          </w:p>
        </w:tc>
        <w:tc>
          <w:tcPr>
            <w:tcW w:type="dxa" w:w="2268"/>
            <w:shd w:fill="F8F8F8"/>
          </w:tcPr>
          <w:p>
            <w:r/>
            <w:r>
              <w:rPr>
                <w:color w:val="363B3B"/>
                <w:sz w:val="18"/>
              </w:rPr>
              <w:t>3.2%</w:t>
            </w:r>
          </w:p>
        </w:tc>
        <w:tc>
          <w:tcPr>
            <w:tcW w:type="dxa" w:w="2268"/>
            <w:shd w:fill="F8F8F8"/>
          </w:tcPr>
          <w:p>
            <w:r/>
            <w:r>
              <w:rPr>
                <w:color w:val="363B3B"/>
                <w:sz w:val="18"/>
              </w:rPr>
              <w:t>44.9% (40.3 to 49.5); P&lt;0.001</w:t>
            </w:r>
          </w:p>
        </w:tc>
      </w:tr>
      <w:tr>
        <w:tc>
          <w:tcPr>
            <w:tcW w:type="dxa" w:w="2268"/>
          </w:tcPr>
          <w:p>
            <w:r/>
            <w:r>
              <w:rPr>
                <w:color w:val="363B3B"/>
                <w:sz w:val="18"/>
              </w:rPr>
              <w:t>PASI 100 at Week 16</w:t>
            </w:r>
          </w:p>
        </w:tc>
        <w:tc>
          <w:tcPr>
            <w:tcW w:type="dxa" w:w="2268"/>
          </w:tcPr>
          <w:p>
            <w:r/>
            <w:r>
              <w:rPr>
                <w:color w:val="363B3B"/>
                <w:sz w:val="18"/>
              </w:rPr>
              <w:t>24.7%</w:t>
            </w:r>
          </w:p>
        </w:tc>
        <w:tc>
          <w:tcPr>
            <w:tcW w:type="dxa" w:w="2268"/>
          </w:tcPr>
          <w:p>
            <w:r/>
            <w:r>
              <w:rPr>
                <w:color w:val="363B3B"/>
                <w:sz w:val="18"/>
              </w:rPr>
              <w:t>1.0%</w:t>
            </w:r>
          </w:p>
        </w:tc>
        <w:tc>
          <w:tcPr>
            <w:tcW w:type="dxa" w:w="2268"/>
          </w:tcPr>
          <w:p>
            <w:r/>
            <w:r>
              <w:rPr>
                <w:color w:val="363B3B"/>
                <w:sz w:val="18"/>
              </w:rPr>
              <w:t>23.7% (19.8 to 27.6); P&lt;0.001</w:t>
            </w:r>
          </w:p>
        </w:tc>
      </w:tr>
      <w:tr>
        <w:tc>
          <w:tcPr>
            <w:tcW w:type="dxa" w:w="2268"/>
            <w:shd w:fill="F8F8F8"/>
          </w:tcPr>
          <w:p>
            <w:r/>
            <w:r>
              <w:rPr>
                <w:color w:val="363B3B"/>
                <w:sz w:val="18"/>
              </w:rPr>
              <w:t>IGA 0/1 at Week 16</w:t>
            </w:r>
          </w:p>
        </w:tc>
        <w:tc>
          <w:tcPr>
            <w:tcW w:type="dxa" w:w="2268"/>
            <w:shd w:fill="F8F8F8"/>
          </w:tcPr>
          <w:p>
            <w:r/>
            <w:r>
              <w:rPr>
                <w:color w:val="363B3B"/>
                <w:sz w:val="18"/>
              </w:rPr>
              <w:t>54.3%</w:t>
            </w:r>
          </w:p>
        </w:tc>
        <w:tc>
          <w:tcPr>
            <w:tcW w:type="dxa" w:w="2268"/>
            <w:shd w:fill="F8F8F8"/>
          </w:tcPr>
          <w:p>
            <w:r/>
            <w:r>
              <w:rPr>
                <w:color w:val="363B3B"/>
                <w:sz w:val="18"/>
              </w:rPr>
              <w:t>7.1%</w:t>
            </w:r>
          </w:p>
        </w:tc>
        <w:tc>
          <w:tcPr>
            <w:tcW w:type="dxa" w:w="2268"/>
            <w:shd w:fill="F8F8F8"/>
          </w:tcPr>
          <w:p>
            <w:r/>
            <w:r>
              <w:rPr>
                <w:color w:val="363B3B"/>
                <w:sz w:val="18"/>
              </w:rPr>
              <w:t>47.2% (42.4 to 52.0); P&lt;0.001</w:t>
            </w:r>
          </w:p>
        </w:tc>
      </w:tr>
      <w:tr>
        <w:tc>
          <w:tcPr>
            <w:tcW w:type="dxa" w:w="2268"/>
          </w:tcPr>
          <w:p>
            <w:r/>
            <w:r>
              <w:rPr>
                <w:color w:val="363B3B"/>
                <w:sz w:val="18"/>
              </w:rPr>
              <w:t>PASI 75 at Week 52</w:t>
            </w:r>
          </w:p>
        </w:tc>
        <w:tc>
          <w:tcPr>
            <w:tcW w:type="dxa" w:w="2268"/>
          </w:tcPr>
          <w:p>
            <w:r/>
            <w:r>
              <w:rPr>
                <w:color w:val="363B3B"/>
                <w:sz w:val="18"/>
              </w:rPr>
              <w:t>84.6%*</w:t>
            </w:r>
          </w:p>
        </w:tc>
        <w:tc>
          <w:tcPr>
            <w:tcW w:type="dxa" w:w="2268"/>
          </w:tcPr>
          <w:p>
            <w:r/>
            <w:r>
              <w:rPr>
                <w:color w:val="363B3B"/>
                <w:sz w:val="18"/>
              </w:rPr>
              <w:t>—</w:t>
            </w:r>
          </w:p>
        </w:tc>
        <w:tc>
          <w:tcPr>
            <w:tcW w:type="dxa" w:w="2268"/>
          </w:tcPr>
          <w:p>
            <w:r/>
            <w:r>
              <w:rPr>
                <w:color w:val="363B3B"/>
                <w:sz w:val="18"/>
              </w:rPr>
              <w:t>*of Week 16 PASI 75 responders</w:t>
            </w:r>
          </w:p>
        </w:tc>
      </w:tr>
      <w:tr>
        <w:tc>
          <w:tcPr>
            <w:tcW w:type="dxa" w:w="2268"/>
            <w:shd w:fill="F8F8F8"/>
          </w:tcPr>
          <w:p>
            <w:r/>
            <w:r>
              <w:rPr>
                <w:color w:val="363B3B"/>
                <w:sz w:val="18"/>
              </w:rPr>
              <w:t>DLQI 0/1 at Week 16</w:t>
            </w:r>
          </w:p>
        </w:tc>
        <w:tc>
          <w:tcPr>
            <w:tcW w:type="dxa" w:w="2268"/>
            <w:shd w:fill="F8F8F8"/>
          </w:tcPr>
          <w:p>
            <w:r/>
            <w:r>
              <w:rPr>
                <w:color w:val="363B3B"/>
                <w:sz w:val="18"/>
              </w:rPr>
              <w:t>41.8%</w:t>
            </w:r>
          </w:p>
        </w:tc>
        <w:tc>
          <w:tcPr>
            <w:tcW w:type="dxa" w:w="2268"/>
            <w:shd w:fill="F8F8F8"/>
          </w:tcPr>
          <w:p>
            <w:r/>
            <w:r>
              <w:rPr>
                <w:color w:val="363B3B"/>
                <w:sz w:val="18"/>
              </w:rPr>
              <w:t>5.9%</w:t>
            </w:r>
          </w:p>
        </w:tc>
        <w:tc>
          <w:tcPr>
            <w:tcW w:type="dxa" w:w="2268"/>
            <w:shd w:fill="F8F8F8"/>
          </w:tcPr>
          <w:p>
            <w:r/>
            <w:r>
              <w:rPr>
                <w:color w:val="363B3B"/>
                <w:sz w:val="18"/>
              </w:rPr>
              <w:t>35.9% (31.3 to 40.5); P&lt;0.001</w:t>
            </w:r>
          </w:p>
        </w:tc>
      </w:tr>
    </w:tbl>
    <w:p/>
    <w:p>
      <w:pPr>
        <w:pStyle w:val="Heading2"/>
      </w:pPr>
      <w:r>
        <w:rPr>
          <w:color w:val="830051"/>
        </w:rPr>
        <w:t>LUMINANCE-2: Superiority vs adalimumab</w:t>
      </w:r>
    </w:p>
    <w:p>
      <w:r>
        <w:rPr>
          <w:b/>
          <w:sz w:val="20"/>
        </w:rPr>
        <w:t xml:space="preserve">Design: </w:t>
      </w:r>
      <w:r>
        <w:rPr>
          <w:sz w:val="20"/>
        </w:rPr>
        <w:t>Phase III, randomised, double-blind, double-dummy, active-controlled, 52-week trial</w:t>
      </w:r>
    </w:p>
    <w:p>
      <w:r>
        <w:rPr>
          <w:b/>
          <w:sz w:val="20"/>
        </w:rPr>
        <w:t xml:space="preserve">Population: </w:t>
      </w:r>
      <w:r>
        <w:rPr>
          <w:sz w:val="20"/>
        </w:rPr>
        <w:t>1,428 biologic-naïve adults with moderate-to-severe plaque psoriasis (BSA ≥10%, PASI ≥12, IGA ≥3)</w:t>
      </w:r>
    </w:p>
    <w:p>
      <w:r>
        <w:rPr>
          <w:b/>
          <w:sz w:val="20"/>
        </w:rPr>
        <w:t xml:space="preserve">Primary endpoint: </w:t>
      </w:r>
      <w:r>
        <w:rPr>
          <w:sz w:val="20"/>
        </w:rPr>
        <w:t>PASI 90 response at Week 16 (non-inferiority margin 10%, with pre-specified superiority test)</w:t>
      </w:r>
    </w:p>
    <w:p>
      <w:r>
        <w:rPr>
          <w:b/>
          <w:sz w:val="20"/>
        </w:rPr>
        <w:t xml:space="preserve">Publication: </w:t>
      </w:r>
      <w:r>
        <w:rPr>
          <w:sz w:val="20"/>
        </w:rPr>
        <w:t>Park et al. Lancet 2025; 405(10478): 823–836</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Lumvecitinib 6 mg (n=714)</w:t>
            </w:r>
          </w:p>
        </w:tc>
        <w:tc>
          <w:tcPr>
            <w:tcW w:type="dxa" w:w="2268"/>
            <w:shd w:fill="830051"/>
          </w:tcPr>
          <w:p>
            <w:r/>
            <w:r>
              <w:rPr>
                <w:b/>
                <w:color w:val="FFFFFF"/>
                <w:sz w:val="18"/>
              </w:rPr>
              <w:t>Adalimumab 40 mg (n=714)</w:t>
            </w:r>
          </w:p>
        </w:tc>
        <w:tc>
          <w:tcPr>
            <w:tcW w:type="dxa" w:w="2268"/>
            <w:shd w:fill="830051"/>
          </w:tcPr>
          <w:p>
            <w:r/>
            <w:r>
              <w:rPr>
                <w:b/>
                <w:color w:val="FFFFFF"/>
                <w:sz w:val="18"/>
              </w:rPr>
              <w:t>Difference (95% CI)</w:t>
            </w:r>
          </w:p>
        </w:tc>
      </w:tr>
      <w:tr>
        <w:tc>
          <w:tcPr>
            <w:tcW w:type="dxa" w:w="2268"/>
          </w:tcPr>
          <w:p>
            <w:r/>
            <w:r>
              <w:rPr>
                <w:color w:val="363B3B"/>
                <w:sz w:val="18"/>
              </w:rPr>
              <w:t>PASI 90 at Week 16 (primary)</w:t>
            </w:r>
          </w:p>
        </w:tc>
        <w:tc>
          <w:tcPr>
            <w:tcW w:type="dxa" w:w="2268"/>
          </w:tcPr>
          <w:p>
            <w:r/>
            <w:r>
              <w:rPr>
                <w:color w:val="363B3B"/>
                <w:sz w:val="18"/>
              </w:rPr>
              <w:t>52.8%</w:t>
            </w:r>
          </w:p>
        </w:tc>
        <w:tc>
          <w:tcPr>
            <w:tcW w:type="dxa" w:w="2268"/>
          </w:tcPr>
          <w:p>
            <w:r/>
            <w:r>
              <w:rPr>
                <w:color w:val="363B3B"/>
                <w:sz w:val="18"/>
              </w:rPr>
              <w:t>38.2%</w:t>
            </w:r>
          </w:p>
        </w:tc>
        <w:tc>
          <w:tcPr>
            <w:tcW w:type="dxa" w:w="2268"/>
          </w:tcPr>
          <w:p>
            <w:r/>
            <w:r>
              <w:rPr>
                <w:color w:val="363B3B"/>
                <w:sz w:val="18"/>
              </w:rPr>
              <w:t>14.6% (9.5 to 19.7); P&lt;0.001 superiority</w:t>
            </w:r>
          </w:p>
        </w:tc>
      </w:tr>
      <w:tr>
        <w:tc>
          <w:tcPr>
            <w:tcW w:type="dxa" w:w="2268"/>
            <w:shd w:fill="F8F8F8"/>
          </w:tcPr>
          <w:p>
            <w:r/>
            <w:r>
              <w:rPr>
                <w:color w:val="363B3B"/>
                <w:sz w:val="18"/>
              </w:rPr>
              <w:t>PASI 75 at Week 16</w:t>
            </w:r>
          </w:p>
        </w:tc>
        <w:tc>
          <w:tcPr>
            <w:tcW w:type="dxa" w:w="2268"/>
            <w:shd w:fill="F8F8F8"/>
          </w:tcPr>
          <w:p>
            <w:r/>
            <w:r>
              <w:rPr>
                <w:color w:val="363B3B"/>
                <w:sz w:val="18"/>
              </w:rPr>
              <w:t>78.1%</w:t>
            </w:r>
          </w:p>
        </w:tc>
        <w:tc>
          <w:tcPr>
            <w:tcW w:type="dxa" w:w="2268"/>
            <w:shd w:fill="F8F8F8"/>
          </w:tcPr>
          <w:p>
            <w:r/>
            <w:r>
              <w:rPr>
                <w:color w:val="363B3B"/>
                <w:sz w:val="18"/>
              </w:rPr>
              <w:t>65.4%</w:t>
            </w:r>
          </w:p>
        </w:tc>
        <w:tc>
          <w:tcPr>
            <w:tcW w:type="dxa" w:w="2268"/>
            <w:shd w:fill="F8F8F8"/>
          </w:tcPr>
          <w:p>
            <w:r/>
            <w:r>
              <w:rPr>
                <w:color w:val="363B3B"/>
                <w:sz w:val="18"/>
              </w:rPr>
              <w:t>12.7% (8.0 to 17.4); P&lt;0.001</w:t>
            </w:r>
          </w:p>
        </w:tc>
      </w:tr>
      <w:tr>
        <w:tc>
          <w:tcPr>
            <w:tcW w:type="dxa" w:w="2268"/>
          </w:tcPr>
          <w:p>
            <w:r/>
            <w:r>
              <w:rPr>
                <w:color w:val="363B3B"/>
                <w:sz w:val="18"/>
              </w:rPr>
              <w:t>IGA 0/1 at Week 16</w:t>
            </w:r>
          </w:p>
        </w:tc>
        <w:tc>
          <w:tcPr>
            <w:tcW w:type="dxa" w:w="2268"/>
          </w:tcPr>
          <w:p>
            <w:r/>
            <w:r>
              <w:rPr>
                <w:color w:val="363B3B"/>
                <w:sz w:val="18"/>
              </w:rPr>
              <w:t>59.2%</w:t>
            </w:r>
          </w:p>
        </w:tc>
        <w:tc>
          <w:tcPr>
            <w:tcW w:type="dxa" w:w="2268"/>
          </w:tcPr>
          <w:p>
            <w:r/>
            <w:r>
              <w:rPr>
                <w:color w:val="363B3B"/>
                <w:sz w:val="18"/>
              </w:rPr>
              <w:t>43.8%</w:t>
            </w:r>
          </w:p>
        </w:tc>
        <w:tc>
          <w:tcPr>
            <w:tcW w:type="dxa" w:w="2268"/>
          </w:tcPr>
          <w:p>
            <w:r/>
            <w:r>
              <w:rPr>
                <w:color w:val="363B3B"/>
                <w:sz w:val="18"/>
              </w:rPr>
              <w:t>15.4% (10.4 to 20.4); P&lt;0.001</w:t>
            </w:r>
          </w:p>
        </w:tc>
      </w:tr>
      <w:tr>
        <w:tc>
          <w:tcPr>
            <w:tcW w:type="dxa" w:w="2268"/>
            <w:shd w:fill="F8F8F8"/>
          </w:tcPr>
          <w:p>
            <w:r/>
            <w:r>
              <w:rPr>
                <w:color w:val="363B3B"/>
                <w:sz w:val="18"/>
              </w:rPr>
              <w:t>PASI 90 at Week 52</w:t>
            </w:r>
          </w:p>
        </w:tc>
        <w:tc>
          <w:tcPr>
            <w:tcW w:type="dxa" w:w="2268"/>
            <w:shd w:fill="F8F8F8"/>
          </w:tcPr>
          <w:p>
            <w:r/>
            <w:r>
              <w:rPr>
                <w:color w:val="363B3B"/>
                <w:sz w:val="18"/>
              </w:rPr>
              <w:t>61.4%</w:t>
            </w:r>
          </w:p>
        </w:tc>
        <w:tc>
          <w:tcPr>
            <w:tcW w:type="dxa" w:w="2268"/>
            <w:shd w:fill="F8F8F8"/>
          </w:tcPr>
          <w:p>
            <w:r/>
            <w:r>
              <w:rPr>
                <w:color w:val="363B3B"/>
                <w:sz w:val="18"/>
              </w:rPr>
              <w:t>34.7%</w:t>
            </w:r>
          </w:p>
        </w:tc>
        <w:tc>
          <w:tcPr>
            <w:tcW w:type="dxa" w:w="2268"/>
            <w:shd w:fill="F8F8F8"/>
          </w:tcPr>
          <w:p>
            <w:r/>
            <w:r>
              <w:rPr>
                <w:color w:val="363B3B"/>
                <w:sz w:val="18"/>
              </w:rPr>
              <w:t>26.7% (21.9 to 31.5); P&lt;0.001</w:t>
            </w:r>
          </w:p>
        </w:tc>
      </w:tr>
      <w:tr>
        <w:tc>
          <w:tcPr>
            <w:tcW w:type="dxa" w:w="2268"/>
          </w:tcPr>
          <w:p>
            <w:r/>
            <w:r>
              <w:rPr>
                <w:color w:val="363B3B"/>
                <w:sz w:val="18"/>
              </w:rPr>
              <w:t>DLQI 0/1 at Week 16</w:t>
            </w:r>
          </w:p>
        </w:tc>
        <w:tc>
          <w:tcPr>
            <w:tcW w:type="dxa" w:w="2268"/>
          </w:tcPr>
          <w:p>
            <w:r/>
            <w:r>
              <w:rPr>
                <w:color w:val="363B3B"/>
                <w:sz w:val="18"/>
              </w:rPr>
              <w:t>46.3%</w:t>
            </w:r>
          </w:p>
        </w:tc>
        <w:tc>
          <w:tcPr>
            <w:tcW w:type="dxa" w:w="2268"/>
          </w:tcPr>
          <w:p>
            <w:r/>
            <w:r>
              <w:rPr>
                <w:color w:val="363B3B"/>
                <w:sz w:val="18"/>
              </w:rPr>
              <w:t>33.1%</w:t>
            </w:r>
          </w:p>
        </w:tc>
        <w:tc>
          <w:tcPr>
            <w:tcW w:type="dxa" w:w="2268"/>
          </w:tcPr>
          <w:p>
            <w:r/>
            <w:r>
              <w:rPr>
                <w:color w:val="363B3B"/>
                <w:sz w:val="18"/>
              </w:rPr>
              <w:t>13.2% (8.4 to 18.0); P&lt;0.001</w:t>
            </w:r>
          </w:p>
        </w:tc>
      </w:tr>
    </w:tbl>
    <w:p/>
    <w:p>
      <w:pPr>
        <w:pStyle w:val="Heading2"/>
      </w:pPr>
      <w:r>
        <w:rPr>
          <w:color w:val="830051"/>
        </w:rPr>
        <w:t>LUMINANCE-3: Long-term safety and efficacy (open-label extension)</w:t>
      </w:r>
    </w:p>
    <w:p>
      <w:r>
        <w:rPr>
          <w:b/>
          <w:sz w:val="20"/>
        </w:rPr>
        <w:t xml:space="preserve">Design: </w:t>
      </w:r>
      <w:r>
        <w:rPr>
          <w:sz w:val="20"/>
        </w:rPr>
        <w:t>Open-label extension of LUMINANCE-1 and -2, up to 3 years</w:t>
      </w:r>
    </w:p>
    <w:p>
      <w:r>
        <w:rPr>
          <w:b/>
          <w:sz w:val="20"/>
        </w:rPr>
        <w:t xml:space="preserve">Population: </w:t>
      </w:r>
      <w:r>
        <w:rPr>
          <w:sz w:val="20"/>
        </w:rPr>
        <w:t>2,186 patients who completed parent trials</w:t>
      </w:r>
    </w:p>
    <w:p>
      <w:r>
        <w:rPr>
          <w:b/>
          <w:sz w:val="20"/>
        </w:rPr>
        <w:t xml:space="preserve">Publication: </w:t>
      </w:r>
      <w:r>
        <w:rPr>
          <w:sz w:val="20"/>
        </w:rPr>
        <w:t>Morrison et al. Br J Dermatol 2026; 194(2): 412–425</w:t>
      </w:r>
    </w:p>
    <w:p/>
    <w:p>
      <w:r>
        <w:rPr>
          <w:b/>
          <w:i w:val="0"/>
          <w:color w:val="363B3B"/>
          <w:sz w:val="20"/>
        </w:rPr>
        <w:t>Key results:</w:t>
      </w:r>
    </w:p>
    <w:p>
      <w:pPr>
        <w:pStyle w:val="ListBullet"/>
      </w:pPr>
      <w:r>
        <w:rPr>
          <w:sz w:val="20"/>
        </w:rPr>
        <w:t>PASI 90 maintained at Week 148: 67.3% (observed cases)</w:t>
      </w:r>
    </w:p>
    <w:p>
      <w:pPr>
        <w:pStyle w:val="ListBullet"/>
      </w:pPr>
      <w:r>
        <w:rPr>
          <w:sz w:val="20"/>
        </w:rPr>
        <w:t>No new safety signals identified through 148 weeks of continuous treatment</w:t>
      </w:r>
    </w:p>
    <w:p>
      <w:pPr>
        <w:pStyle w:val="ListBullet"/>
      </w:pPr>
      <w:r>
        <w:rPr>
          <w:sz w:val="20"/>
        </w:rPr>
        <w:t>Serious infection rate: stable at 1.0–1.3 per 100 patient-years across all three years</w:t>
      </w:r>
    </w:p>
    <w:p>
      <w:pPr>
        <w:pStyle w:val="ListBullet"/>
      </w:pPr>
      <w:r>
        <w:rPr>
          <w:sz w:val="20"/>
        </w:rPr>
        <w:t>No increase in opportunistic infections, herpes zoster reactivation, or tuberculosis</w:t>
      </w:r>
    </w:p>
    <w:p>
      <w:pPr>
        <w:pStyle w:val="ListBullet"/>
      </w:pPr>
      <w:r>
        <w:rPr>
          <w:sz w:val="20"/>
        </w:rPr>
        <w:t>Malignancy rates: comparable to age- and sex-matched general psoriasis population</w:t>
      </w:r>
    </w:p>
    <w:p>
      <w:pPr>
        <w:pStyle w:val="ListBullet"/>
      </w:pPr>
      <w:r>
        <w:rPr>
          <w:sz w:val="20"/>
        </w:rPr>
        <w:t>No clinically meaningful changes in haematological parameters, lipid profiles, or hepatic function tests</w:t>
      </w:r>
    </w:p>
    <w:p>
      <w:pPr>
        <w:pStyle w:val="ListBullet"/>
      </w:pPr>
      <w:r>
        <w:rPr>
          <w:sz w:val="20"/>
        </w:rPr>
        <w:t>Treatment satisfaction (DLQI 0/1) maintained in 52.6% at Week 148</w:t>
      </w:r>
    </w:p>
    <w:p>
      <w:pPr>
        <w:jc w:val="center"/>
      </w:pPr>
      <w:r>
        <w:rPr>
          <w:color w:val="CCCCCC"/>
          <w:sz w:val="16"/>
        </w:rPr>
        <w:t>────────────────────────────────────────────────────────────</w:t>
      </w:r>
    </w:p>
    <w:p>
      <w:pPr>
        <w:pStyle w:val="Heading1"/>
      </w:pPr>
      <w:r>
        <w:rPr>
          <w:color w:val="830051"/>
        </w:rPr>
        <w:t>4. Safety Profile</w:t>
      </w:r>
    </w:p>
    <w:p>
      <w:pPr>
        <w:pStyle w:val="Heading2"/>
      </w:pPr>
      <w:r>
        <w:rPr>
          <w:color w:val="830051"/>
        </w:rPr>
        <w:t>Pooled adverse events (LUMINANCE-1 and -2; N=1,224 lumvecitinib)</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Adverse event</w:t>
            </w:r>
          </w:p>
        </w:tc>
        <w:tc>
          <w:tcPr>
            <w:tcW w:type="dxa" w:w="3024"/>
            <w:shd w:fill="830051"/>
          </w:tcPr>
          <w:p>
            <w:r/>
            <w:r>
              <w:rPr>
                <w:b/>
                <w:color w:val="FFFFFF"/>
                <w:sz w:val="18"/>
              </w:rPr>
              <w:t>Lumvecitinib 6 mg (%)</w:t>
            </w:r>
          </w:p>
        </w:tc>
        <w:tc>
          <w:tcPr>
            <w:tcW w:type="dxa" w:w="3024"/>
            <w:shd w:fill="830051"/>
          </w:tcPr>
          <w:p>
            <w:r/>
            <w:r>
              <w:rPr>
                <w:b/>
                <w:color w:val="FFFFFF"/>
                <w:sz w:val="18"/>
              </w:rPr>
              <w:t>Comparator (%)</w:t>
            </w:r>
          </w:p>
        </w:tc>
      </w:tr>
      <w:tr>
        <w:tc>
          <w:tcPr>
            <w:tcW w:type="dxa" w:w="3024"/>
          </w:tcPr>
          <w:p>
            <w:r/>
            <w:r>
              <w:rPr>
                <w:color w:val="363B3B"/>
                <w:sz w:val="18"/>
              </w:rPr>
              <w:t>Upper respiratory tract infection</w:t>
            </w:r>
          </w:p>
        </w:tc>
        <w:tc>
          <w:tcPr>
            <w:tcW w:type="dxa" w:w="3024"/>
          </w:tcPr>
          <w:p>
            <w:r/>
            <w:r>
              <w:rPr>
                <w:color w:val="363B3B"/>
                <w:sz w:val="18"/>
              </w:rPr>
              <w:t>8.4</w:t>
            </w:r>
          </w:p>
        </w:tc>
        <w:tc>
          <w:tcPr>
            <w:tcW w:type="dxa" w:w="3024"/>
          </w:tcPr>
          <w:p>
            <w:r/>
            <w:r>
              <w:rPr>
                <w:color w:val="363B3B"/>
                <w:sz w:val="18"/>
              </w:rPr>
              <w:t>7.2</w:t>
            </w:r>
          </w:p>
        </w:tc>
      </w:tr>
      <w:tr>
        <w:tc>
          <w:tcPr>
            <w:tcW w:type="dxa" w:w="3024"/>
            <w:shd w:fill="F8F8F8"/>
          </w:tcPr>
          <w:p>
            <w:r/>
            <w:r>
              <w:rPr>
                <w:color w:val="363B3B"/>
                <w:sz w:val="18"/>
              </w:rPr>
              <w:t>Nasopharyngitis</w:t>
            </w:r>
          </w:p>
        </w:tc>
        <w:tc>
          <w:tcPr>
            <w:tcW w:type="dxa" w:w="3024"/>
            <w:shd w:fill="F8F8F8"/>
          </w:tcPr>
          <w:p>
            <w:r/>
            <w:r>
              <w:rPr>
                <w:color w:val="363B3B"/>
                <w:sz w:val="18"/>
              </w:rPr>
              <w:t>6.1</w:t>
            </w:r>
          </w:p>
        </w:tc>
        <w:tc>
          <w:tcPr>
            <w:tcW w:type="dxa" w:w="3024"/>
            <w:shd w:fill="F8F8F8"/>
          </w:tcPr>
          <w:p>
            <w:r/>
            <w:r>
              <w:rPr>
                <w:color w:val="363B3B"/>
                <w:sz w:val="18"/>
              </w:rPr>
              <w:t>5.8</w:t>
            </w:r>
          </w:p>
        </w:tc>
      </w:tr>
      <w:tr>
        <w:tc>
          <w:tcPr>
            <w:tcW w:type="dxa" w:w="3024"/>
          </w:tcPr>
          <w:p>
            <w:r/>
            <w:r>
              <w:rPr>
                <w:color w:val="363B3B"/>
                <w:sz w:val="18"/>
              </w:rPr>
              <w:t>Headache</w:t>
            </w:r>
          </w:p>
        </w:tc>
        <w:tc>
          <w:tcPr>
            <w:tcW w:type="dxa" w:w="3024"/>
          </w:tcPr>
          <w:p>
            <w:r/>
            <w:r>
              <w:rPr>
                <w:color w:val="363B3B"/>
                <w:sz w:val="18"/>
              </w:rPr>
              <w:t>4.7</w:t>
            </w:r>
          </w:p>
        </w:tc>
        <w:tc>
          <w:tcPr>
            <w:tcW w:type="dxa" w:w="3024"/>
          </w:tcPr>
          <w:p>
            <w:r/>
            <w:r>
              <w:rPr>
                <w:color w:val="363B3B"/>
                <w:sz w:val="18"/>
              </w:rPr>
              <w:t>4.1</w:t>
            </w:r>
          </w:p>
        </w:tc>
      </w:tr>
      <w:tr>
        <w:tc>
          <w:tcPr>
            <w:tcW w:type="dxa" w:w="3024"/>
            <w:shd w:fill="F8F8F8"/>
          </w:tcPr>
          <w:p>
            <w:r/>
            <w:r>
              <w:rPr>
                <w:color w:val="363B3B"/>
                <w:sz w:val="18"/>
              </w:rPr>
              <w:t>Acne</w:t>
            </w:r>
          </w:p>
        </w:tc>
        <w:tc>
          <w:tcPr>
            <w:tcW w:type="dxa" w:w="3024"/>
            <w:shd w:fill="F8F8F8"/>
          </w:tcPr>
          <w:p>
            <w:r/>
            <w:r>
              <w:rPr>
                <w:color w:val="363B3B"/>
                <w:sz w:val="18"/>
              </w:rPr>
              <w:t>3.9</w:t>
            </w:r>
          </w:p>
        </w:tc>
        <w:tc>
          <w:tcPr>
            <w:tcW w:type="dxa" w:w="3024"/>
            <w:shd w:fill="F8F8F8"/>
          </w:tcPr>
          <w:p>
            <w:r/>
            <w:r>
              <w:rPr>
                <w:color w:val="363B3B"/>
                <w:sz w:val="18"/>
              </w:rPr>
              <w:t>0.8</w:t>
            </w:r>
          </w:p>
        </w:tc>
      </w:tr>
      <w:tr>
        <w:tc>
          <w:tcPr>
            <w:tcW w:type="dxa" w:w="3024"/>
          </w:tcPr>
          <w:p>
            <w:r/>
            <w:r>
              <w:rPr>
                <w:color w:val="363B3B"/>
                <w:sz w:val="18"/>
              </w:rPr>
              <w:t>Diarrhoea</w:t>
            </w:r>
          </w:p>
        </w:tc>
        <w:tc>
          <w:tcPr>
            <w:tcW w:type="dxa" w:w="3024"/>
          </w:tcPr>
          <w:p>
            <w:r/>
            <w:r>
              <w:rPr>
                <w:color w:val="363B3B"/>
                <w:sz w:val="18"/>
              </w:rPr>
              <w:t>3.1</w:t>
            </w:r>
          </w:p>
        </w:tc>
        <w:tc>
          <w:tcPr>
            <w:tcW w:type="dxa" w:w="3024"/>
          </w:tcPr>
          <w:p>
            <w:r/>
            <w:r>
              <w:rPr>
                <w:color w:val="363B3B"/>
                <w:sz w:val="18"/>
              </w:rPr>
              <w:t>2.4</w:t>
            </w:r>
          </w:p>
        </w:tc>
      </w:tr>
      <w:tr>
        <w:tc>
          <w:tcPr>
            <w:tcW w:type="dxa" w:w="3024"/>
            <w:shd w:fill="F8F8F8"/>
          </w:tcPr>
          <w:p>
            <w:r/>
            <w:r>
              <w:rPr>
                <w:color w:val="363B3B"/>
                <w:sz w:val="18"/>
              </w:rPr>
              <w:t>Herpes zoster</w:t>
            </w:r>
          </w:p>
        </w:tc>
        <w:tc>
          <w:tcPr>
            <w:tcW w:type="dxa" w:w="3024"/>
            <w:shd w:fill="F8F8F8"/>
          </w:tcPr>
          <w:p>
            <w:r/>
            <w:r>
              <w:rPr>
                <w:color w:val="363B3B"/>
                <w:sz w:val="18"/>
              </w:rPr>
              <w:t>1.4</w:t>
            </w:r>
          </w:p>
        </w:tc>
        <w:tc>
          <w:tcPr>
            <w:tcW w:type="dxa" w:w="3024"/>
            <w:shd w:fill="F8F8F8"/>
          </w:tcPr>
          <w:p>
            <w:r/>
            <w:r>
              <w:rPr>
                <w:color w:val="363B3B"/>
                <w:sz w:val="18"/>
              </w:rPr>
              <w:t>0.6</w:t>
            </w:r>
          </w:p>
        </w:tc>
      </w:tr>
      <w:tr>
        <w:tc>
          <w:tcPr>
            <w:tcW w:type="dxa" w:w="3024"/>
          </w:tcPr>
          <w:p>
            <w:r/>
            <w:r>
              <w:rPr>
                <w:color w:val="363B3B"/>
                <w:sz w:val="18"/>
              </w:rPr>
              <w:t>CPK elevation (&gt;5× ULN)</w:t>
            </w:r>
          </w:p>
        </w:tc>
        <w:tc>
          <w:tcPr>
            <w:tcW w:type="dxa" w:w="3024"/>
          </w:tcPr>
          <w:p>
            <w:r/>
            <w:r>
              <w:rPr>
                <w:color w:val="363B3B"/>
                <w:sz w:val="18"/>
              </w:rPr>
              <w:t>1.2</w:t>
            </w:r>
          </w:p>
        </w:tc>
        <w:tc>
          <w:tcPr>
            <w:tcW w:type="dxa" w:w="3024"/>
          </w:tcPr>
          <w:p>
            <w:r/>
            <w:r>
              <w:rPr>
                <w:color w:val="363B3B"/>
                <w:sz w:val="18"/>
              </w:rPr>
              <w:t>0.5</w:t>
            </w:r>
          </w:p>
        </w:tc>
      </w:tr>
      <w:tr>
        <w:tc>
          <w:tcPr>
            <w:tcW w:type="dxa" w:w="3024"/>
            <w:shd w:fill="F8F8F8"/>
          </w:tcPr>
          <w:p>
            <w:r/>
            <w:r>
              <w:rPr>
                <w:color w:val="363B3B"/>
                <w:sz w:val="18"/>
              </w:rPr>
              <w:t>Folliculitis</w:t>
            </w:r>
          </w:p>
        </w:tc>
        <w:tc>
          <w:tcPr>
            <w:tcW w:type="dxa" w:w="3024"/>
            <w:shd w:fill="F8F8F8"/>
          </w:tcPr>
          <w:p>
            <w:r/>
            <w:r>
              <w:rPr>
                <w:color w:val="363B3B"/>
                <w:sz w:val="18"/>
              </w:rPr>
              <w:t>1.1</w:t>
            </w:r>
          </w:p>
        </w:tc>
        <w:tc>
          <w:tcPr>
            <w:tcW w:type="dxa" w:w="3024"/>
            <w:shd w:fill="F8F8F8"/>
          </w:tcPr>
          <w:p>
            <w:r/>
            <w:r>
              <w:rPr>
                <w:color w:val="363B3B"/>
                <w:sz w:val="18"/>
              </w:rPr>
              <w:t>0.4</w:t>
            </w:r>
          </w:p>
        </w:tc>
      </w:tr>
      <w:tr>
        <w:tc>
          <w:tcPr>
            <w:tcW w:type="dxa" w:w="3024"/>
          </w:tcPr>
          <w:p>
            <w:r/>
            <w:r>
              <w:rPr>
                <w:color w:val="363B3B"/>
                <w:sz w:val="18"/>
              </w:rPr>
              <w:t>ALT elevation (&gt;3× ULN)</w:t>
            </w:r>
          </w:p>
        </w:tc>
        <w:tc>
          <w:tcPr>
            <w:tcW w:type="dxa" w:w="3024"/>
          </w:tcPr>
          <w:p>
            <w:r/>
            <w:r>
              <w:rPr>
                <w:color w:val="363B3B"/>
                <w:sz w:val="18"/>
              </w:rPr>
              <w:t>0.8</w:t>
            </w:r>
          </w:p>
        </w:tc>
        <w:tc>
          <w:tcPr>
            <w:tcW w:type="dxa" w:w="3024"/>
          </w:tcPr>
          <w:p>
            <w:r/>
            <w:r>
              <w:rPr>
                <w:color w:val="363B3B"/>
                <w:sz w:val="18"/>
              </w:rPr>
              <w:t>0.4</w:t>
            </w:r>
          </w:p>
        </w:tc>
      </w:tr>
    </w:tbl>
    <w:p/>
    <w:p>
      <w:pPr>
        <w:pStyle w:val="Heading2"/>
      </w:pPr>
      <w:r>
        <w:rPr>
          <w:color w:val="830051"/>
        </w:rPr>
        <w:t>Key safety findings</w:t>
      </w:r>
    </w:p>
    <w:p>
      <w:r>
        <w:rPr>
          <w:b/>
          <w:sz w:val="20"/>
        </w:rPr>
        <w:t xml:space="preserve">Infections: </w:t>
      </w:r>
      <w:r>
        <w:rPr>
          <w:sz w:val="20"/>
        </w:rPr>
        <w:t>Upper respiratory tract infections and nasopharyngitis were the most common adverse events. Serious infections occurred in 1.1% vs 0.9% of patients. No opportunistic infections were reported in controlled trials. Herpes zoster occurred in 1.4% of lumvecitinib-treated patients; all cases were non-serious, dermatomal, and did not require treatment discontinuation.¹⁻³</w:t>
      </w:r>
    </w:p>
    <w:p>
      <w:r>
        <w:rPr>
          <w:b/>
          <w:sz w:val="20"/>
        </w:rPr>
        <w:t xml:space="preserve">Haematological effects: </w:t>
      </w:r>
      <w:r>
        <w:rPr>
          <w:sz w:val="20"/>
        </w:rPr>
        <w:t>No clinically meaningful changes in haemoglobin, neutrophil, lymphocyte, or platelet counts were observed. Unlike non-selective JAK inhibitors, lumvecitinib did not cause dose-dependent cytopenias, consistent with its selective TYK2 mechanism.¹⁻³</w:t>
      </w:r>
    </w:p>
    <w:p>
      <w:r>
        <w:rPr>
          <w:b/>
          <w:sz w:val="20"/>
        </w:rPr>
        <w:t xml:space="preserve">Hepatic effects: </w:t>
      </w:r>
      <w:r>
        <w:rPr>
          <w:sz w:val="20"/>
        </w:rPr>
        <w:t>ALT elevations &gt;3× ULN occurred in 0.8% of patients. No cases met criteria for drug-induced liver injury (Hy's Law). Liver function tests should be performed prior to initiation and periodically during treatment.⁴</w:t>
      </w:r>
    </w:p>
    <w:p>
      <w:r>
        <w:rPr>
          <w:b/>
          <w:sz w:val="20"/>
        </w:rPr>
        <w:t xml:space="preserve">Malignancy: </w:t>
      </w:r>
      <w:r>
        <w:rPr>
          <w:sz w:val="20"/>
        </w:rPr>
        <w:t>Non-melanoma skin cancer (NMSC) was reported in 0.2% of patients, consistent with background rates in the psoriasis population. No lymphomas were reported. Long-term data from LUMINANCE-3 (up to 148 weeks) showed no increase in malignancy rates over time.¹⁻³</w:t>
      </w:r>
    </w:p>
    <w:p>
      <w:r>
        <w:rPr>
          <w:b/>
          <w:sz w:val="20"/>
        </w:rPr>
        <w:t xml:space="preserve">Cardiovascular safety: </w:t>
      </w:r>
      <w:r>
        <w:rPr>
          <w:sz w:val="20"/>
        </w:rPr>
        <w:t>No major adverse cardiovascular events (MACE) signal was identified. No venous thromboembolism (VTE) signal was detected. Lipid parameters remained stable throughout treatment.¹⁻³</w:t>
      </w:r>
    </w:p>
    <w:p/>
    <w:p>
      <w:pPr>
        <w:pStyle w:val="Heading2"/>
      </w:pPr>
      <w:r>
        <w:rPr>
          <w:color w:val="830051"/>
        </w:rPr>
        <w:t>Special populations</w:t>
      </w:r>
    </w:p>
    <w:p>
      <w:pPr>
        <w:pStyle w:val="ListBullet"/>
      </w:pPr>
      <w:r>
        <w:rPr>
          <w:b/>
          <w:sz w:val="20"/>
        </w:rPr>
        <w:t>Renal impairment:</w:t>
      </w:r>
      <w:r>
        <w:rPr>
          <w:sz w:val="20"/>
        </w:rPr>
        <w:t xml:space="preserve"> No dose adjustment is required for patients with mild or moderate renal impairment (eGFR ≥30 mL/min/1.73m²). Lumvecitinib has not been studied in patients with severe renal impairment (eGFR &lt;30 mL/min/1.73m²) or end-stage renal disease.⁴</w:t>
      </w:r>
    </w:p>
    <w:p>
      <w:pPr>
        <w:pStyle w:val="ListBullet"/>
      </w:pPr>
      <w:r>
        <w:rPr>
          <w:b/>
          <w:sz w:val="20"/>
        </w:rPr>
        <w:t>Hepatic impairment:</w:t>
      </w:r>
      <w:r>
        <w:rPr>
          <w:sz w:val="20"/>
        </w:rPr>
        <w:t xml:space="preserve"> No dose adjustment is required in mild hepatic impairment (Child-Pugh A). Lumvecitinib is not recommended in patients with moderate (Child-Pugh B) or severe (Child-Pugh C) hepatic impairment due to insufficient clinical data.⁴</w:t>
      </w:r>
    </w:p>
    <w:p>
      <w:pPr>
        <w:pStyle w:val="ListBullet"/>
      </w:pPr>
      <w:r>
        <w:rPr>
          <w:b/>
          <w:sz w:val="20"/>
        </w:rPr>
        <w:t>Elderly (≥65 years):</w:t>
      </w:r>
      <w:r>
        <w:rPr>
          <w:sz w:val="20"/>
        </w:rPr>
        <w:t xml:space="preserve"> No dose adjustment is required. Clinical experience in patients aged ≥75 years is limited; use with caution in this population.⁴</w:t>
      </w:r>
    </w:p>
    <w:p>
      <w:pPr>
        <w:pStyle w:val="ListBullet"/>
      </w:pPr>
      <w:r>
        <w:rPr>
          <w:b/>
          <w:sz w:val="20"/>
        </w:rPr>
        <w:t>Pregnancy and lactation:</w:t>
      </w:r>
      <w:r>
        <w:rPr>
          <w:sz w:val="20"/>
        </w:rPr>
        <w:t xml:space="preserve"> Lumvecitinib is contraindicated in pregnancy. Women of childbearing potential must use effective contraception during treatment and for 4 weeks after the last dose. It is not known whether lumvecitinib is excreted in human milk; a decision must be made whether to discontinue breast-feeding or to discontinue therapy.⁴</w:t>
      </w:r>
    </w:p>
    <w:p>
      <w:pPr>
        <w:jc w:val="center"/>
      </w:pPr>
      <w:r>
        <w:rPr>
          <w:color w:val="CCCCCC"/>
          <w:sz w:val="16"/>
        </w:rPr>
        <w:t>────────────────────────────────────────────────────────────</w:t>
      </w:r>
    </w:p>
    <w:p>
      <w:pPr>
        <w:pStyle w:val="Heading1"/>
      </w:pPr>
      <w:r>
        <w:rPr>
          <w:color w:val="830051"/>
        </w:rPr>
        <w:t>5. Prescribing Information (abbreviated — for every page footer)</w:t>
      </w:r>
    </w:p>
    <w:p>
      <w:r>
        <w:rPr>
          <w:b w:val="0"/>
          <w:i w:val="0"/>
          <w:color w:val="363B3B"/>
          <w:sz w:val="18"/>
        </w:rPr>
        <w:t>LUMIVEX (lumvecitinib) 6 mg film-coated tablets. Please refer to the Summary of Product Characteristics (SmPC) before prescribing. Indication: Treatment of adults with moderate-to-severe plaque psoriasis who are candidates for systemic therapy. Dosage and administration: 6 mg once daily, with or without food. The tablet should be swallowed whole. Contraindications: Hypersensitivity to lumvecitinib or any excipient. Active serious infections, including tuberculosis. Pregnancy. Warnings and precautions: Evaluate patients for tuberculosis prior to initiation. Monitor for signs and symptoms of infection during and after treatment. Perform liver function tests prior to initiation and periodically thereafter. Check complete blood count including absolute lymphocyte count, absolute neutrophil count, and haemoglobin prior to initiation and periodically during treatment. Assess lipid parameters 12 weeks after initiation. Not recommended in combination with biological immunomodulators or other potent immunosuppressants. Interactions: Avoid concomitant use with strong CYP3A4 inducers. Side effects: Very common (≥1/10): none. Common (≥1/100 to &lt;1/10): upper respiratory tract infection, nasopharyngitis, headache, acne, diarrhoea. Uncommon (≥1/1000 to &lt;1/100): herpes zoster, CPK elevation, folliculitis, ALT increase. Legal category: POM. Pack and price: 28 tablets: £894.35. Marketing authorisation holder: AstraZeneca UK Ltd. MA number: PLGB 17901/0512. Full prescribing information available from: AstraZeneca UK Ltd, 2 Pancras Square, London N1C 4AG. GB-94281 | DOP: March 2026.</w:t>
      </w:r>
    </w:p>
    <w:p>
      <w:pPr>
        <w:jc w:val="center"/>
      </w:pPr>
      <w:r>
        <w:rPr>
          <w:color w:val="CCCCCC"/>
          <w:sz w:val="16"/>
        </w:rPr>
        <w:t>────────────────────────────────────────────────────────────</w:t>
      </w:r>
    </w:p>
    <w:p>
      <w:pPr>
        <w:pStyle w:val="Heading1"/>
      </w:pPr>
      <w:r>
        <w:rPr>
          <w:color w:val="830051"/>
        </w:rPr>
        <w:t>6. Adverse Event Reporting (for every page footer)</w:t>
      </w:r>
    </w:p>
    <w:p>
      <w:r>
        <w:rPr>
          <w:b w:val="0"/>
          <w:i w:val="0"/>
          <w:color w:val="363B3B"/>
          <w:sz w:val="20"/>
        </w:rPr>
        <w:t>Adverse events should be reported. Reporting forms and information can be found at www.mhra.gov.uk/yellowcard or search for MHRA Yellow Card in the Google Play or Apple App Store. Adverse events should also be reported to AstraZeneca by visiting contactazmedical.astrazeneca.com or by calling 0800 783 0033.</w:t>
      </w:r>
    </w:p>
    <w:p>
      <w:pPr>
        <w:jc w:val="center"/>
      </w:pPr>
      <w:r>
        <w:rPr>
          <w:color w:val="CCCCCC"/>
          <w:sz w:val="16"/>
        </w:rPr>
        <w:t>────────────────────────────────────────────────────────────</w:t>
      </w:r>
    </w:p>
    <w:p>
      <w:pPr>
        <w:pStyle w:val="Heading1"/>
      </w:pPr>
      <w:r>
        <w:rPr>
          <w:color w:val="830051"/>
        </w:rPr>
        <w:t>7. References (for every page footer)</w:t>
      </w:r>
    </w:p>
    <w:p>
      <w:r>
        <w:rPr>
          <w:i/>
          <w:sz w:val="20"/>
        </w:rPr>
        <w:t>1.  Morrison et al. N Engl J Med 2025; 392(12): 1089–1101.</w:t>
      </w:r>
    </w:p>
    <w:p>
      <w:r>
        <w:rPr>
          <w:i/>
          <w:sz w:val="20"/>
        </w:rPr>
        <w:t>2.  Park et al. Lancet 2025; 405(10478): 823–836.</w:t>
      </w:r>
    </w:p>
    <w:p>
      <w:r>
        <w:rPr>
          <w:i/>
          <w:sz w:val="20"/>
        </w:rPr>
        <w:t>3.  Morrison et al. Br J Dermatol 2026; 194(2): 412–425.</w:t>
      </w:r>
    </w:p>
    <w:p>
      <w:r>
        <w:rPr>
          <w:i/>
          <w:sz w:val="20"/>
        </w:rPr>
        <w:t>4.  Lumivex (lumvecitinib) Summary of Product Characteristics. AstraZeneca UK Ltd. February 2026.</w:t>
      </w:r>
    </w:p>
    <w:p>
      <w:pPr>
        <w:jc w:val="center"/>
      </w:pPr>
      <w:r>
        <w:rPr>
          <w:color w:val="CCCCCC"/>
          <w:sz w:val="16"/>
        </w:rPr>
        <w:t>────────────────────────────────────────────────────────────</w:t>
      </w:r>
    </w:p>
    <w:p>
      <w:pPr>
        <w:pStyle w:val="Heading1"/>
      </w:pPr>
      <w:r>
        <w:rPr>
          <w:color w:val="830051"/>
        </w:rPr>
        <w:t>8. Site Navigation</w:t>
      </w:r>
    </w:p>
    <w:p>
      <w:r>
        <w:rPr>
          <w:b/>
        </w:rPr>
        <w:t xml:space="preserve">Top bar links: </w:t>
      </w:r>
      <w:r>
        <w:t>Contact Us (https://www.astrazeneca.co.uk/contact-us.html) | AZ Employee Login (https://login.astrazeneca.com)</w:t>
      </w:r>
    </w:p>
    <w:p>
      <w:r>
        <w:rPr>
          <w:b/>
        </w:rPr>
        <w:t xml:space="preserve">Main navigation pages: </w:t>
      </w:r>
      <w:r>
        <w:t>Efficacy | Safety | Dosing | Mechanism of Action | Resources</w:t>
      </w:r>
    </w:p>
    <w:p>
      <w:r>
        <w:rPr>
          <w:b/>
        </w:rPr>
        <w:t xml:space="preserve">Utility: </w:t>
      </w:r>
      <w:r>
        <w:t>Search | Login</w:t>
      </w:r>
    </w:p>
    <w:p>
      <w:r>
        <w:br w:type="page"/>
      </w:r>
    </w:p>
    <w:p>
      <w:pPr>
        <w:pStyle w:val="Heading1"/>
      </w:pPr>
      <w:r>
        <w:rPr>
          <w:color w:val="830051"/>
        </w:rPr>
        <w:t>9. Page Content</w:t>
      </w:r>
    </w:p>
    <w:p>
      <w:r>
        <w:rPr>
          <w:b/>
          <w:color w:val="CC0000"/>
          <w:sz w:val="20"/>
        </w:rPr>
        <w:t>IMPORTANT: All copy below is final and MLR-approved. It must be used exactly as written — do not modify, rephrase, or abbreviate any text. All superscript reference numbers, statistical values, and regulatory language must be reproduced verbatim.</w:t>
      </w:r>
    </w:p>
    <w:p>
      <w:r>
        <w:rPr>
          <w:b/>
          <w:color w:val="CC0000"/>
          <w:sz w:val="20"/>
        </w:rPr>
        <w:t>Each page must end with expandable sections for Prescribing Information, Adverse Event Reporting, and References (see sections 5, 6, and 7 above).</w:t>
      </w:r>
    </w:p>
    <w:p>
      <w:pPr>
        <w:jc w:val="center"/>
      </w:pPr>
      <w:r>
        <w:rPr>
          <w:color w:val="CCCCCC"/>
          <w:sz w:val="16"/>
        </w:rPr>
        <w:t>────────────────────────────────────────────────────────────</w:t>
      </w:r>
    </w:p>
    <w:p>
      <w:pPr>
        <w:pStyle w:val="Heading2"/>
      </w:pPr>
      <w:r>
        <w:rPr>
          <w:color w:val="830051"/>
        </w:rPr>
        <w:t>PAGE 1: Home</w:t>
      </w:r>
    </w:p>
    <w:p>
      <w:r>
        <w:rPr>
          <w:b/>
          <w:sz w:val="20"/>
        </w:rPr>
        <w:t>URL path: /lumivex/</w:t>
      </w:r>
    </w:p>
    <w:p>
      <w:pPr>
        <w:jc w:val="center"/>
      </w:pPr>
      <w:r>
        <w:rPr>
          <w:color w:val="CCCCCC"/>
          <w:sz w:val="16"/>
        </w:rPr>
        <w:t>────────────────────────────────────────────────────────────</w:t>
      </w:r>
    </w:p>
    <w:p>
      <w:pPr>
        <w:pStyle w:val="Heading3"/>
      </w:pPr>
      <w:r>
        <w:rPr>
          <w:color w:val="D4851F"/>
        </w:rPr>
        <w:t>Section 1 — Hero (full-width image with text overlay)</w:t>
      </w:r>
    </w:p>
    <w:p>
      <w:r>
        <w:rPr>
          <w:b/>
        </w:rPr>
        <w:t>Block: hero-teaser</w:t>
      </w:r>
    </w:p>
    <w:p/>
    <w:p>
      <w:pPr>
        <w:jc w:val="center"/>
      </w:pPr>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5029200" cy="2806995"/>
                    </a:xfrm>
                    <a:prstGeom prst="rect"/>
                  </pic:spPr>
                </pic:pic>
              </a:graphicData>
            </a:graphic>
          </wp:inline>
        </w:drawing>
      </w:r>
    </w:p>
    <w:p>
      <w:pPr>
        <w:jc w:val="center"/>
      </w:pPr>
      <w:r>
        <w:rPr>
          <w:color w:val="005599"/>
          <w:sz w:val="16"/>
          <w:u w:val="single"/>
        </w:rPr>
        <w:t>https://lumivex-images.pages.dev/hero-home.jpeg</w:t>
      </w:r>
    </w:p>
    <w:p>
      <w:r>
        <w:rPr>
          <w:b/>
        </w:rPr>
        <w:t xml:space="preserve">Heading: </w:t>
      </w:r>
      <w:r>
        <w:t>LUMIVEX® (lumvecitinib): selective TYK2 inhibition for clearer skin</w:t>
      </w:r>
    </w:p>
    <w:p>
      <w:r>
        <w:rPr>
          <w:b/>
        </w:rPr>
        <w:t xml:space="preserve">Body text: </w:t>
      </w:r>
      <w:r>
        <w:t>A new standard in plaque psoriasis — the first selective allosteric TYK2 inhibitor to demonstrate superiority over adalimumab, with a once-daily oral tablet and a favourable tolerability profile distinct from non-selective JAK inhibition.¹˒²</w:t>
      </w:r>
    </w:p>
    <w:p>
      <w:r>
        <w:rPr>
          <w:b/>
        </w:rPr>
        <w:t xml:space="preserve">Call to action: </w:t>
      </w:r>
      <w:r>
        <w:t>Explore the LUMINANCE data → /lumivex/efficacy</w:t>
      </w:r>
    </w:p>
    <w:p>
      <w:pPr>
        <w:jc w:val="center"/>
      </w:pPr>
      <w:r>
        <w:rPr>
          <w:color w:val="CCCCCC"/>
          <w:sz w:val="16"/>
        </w:rPr>
        <w:t>────────────────────────────────────────────────────────────</w:t>
      </w:r>
    </w:p>
    <w:p>
      <w:pPr>
        <w:pStyle w:val="Heading3"/>
      </w:pPr>
      <w:r>
        <w:rPr>
          <w:color w:val="D4851F"/>
        </w:rPr>
        <w:t>Section 2 — Three key benefit cards (equal columns)</w:t>
      </w:r>
    </w:p>
    <w:p>
      <w:r>
        <w:rPr>
          <w:b/>
        </w:rPr>
        <w:t>Block: cards-teaser</w:t>
      </w:r>
    </w:p>
    <w:p/>
    <w:p>
      <w:pPr>
        <w:jc w:val="center"/>
      </w:pPr>
      <w:r>
        <w:drawing>
          <wp:inline xmlns:a="http://schemas.openxmlformats.org/drawingml/2006/main" xmlns:pic="http://schemas.openxmlformats.org/drawingml/2006/picture">
            <wp:extent cx="2743200" cy="2048256"/>
            <wp:docPr id="2" name="Picture 2"/>
            <wp:cNvGraphicFramePr>
              <a:graphicFrameLocks noChangeAspect="1"/>
            </wp:cNvGraphicFramePr>
            <a:graphic>
              <a:graphicData uri="http://schemas.openxmlformats.org/drawingml/2006/picture">
                <pic:pic>
                  <pic:nvPicPr>
                    <pic:cNvPr id="0" name="card-efficacy.jpeg"/>
                    <pic:cNvPicPr/>
                  </pic:nvPicPr>
                  <pic:blipFill>
                    <a:blip r:embed="rId10"/>
                    <a:stretch>
                      <a:fillRect/>
                    </a:stretch>
                  </pic:blipFill>
                  <pic:spPr>
                    <a:xfrm>
                      <a:off x="0" y="0"/>
                      <a:ext cx="2743200" cy="2048256"/>
                    </a:xfrm>
                    <a:prstGeom prst="rect"/>
                  </pic:spPr>
                </pic:pic>
              </a:graphicData>
            </a:graphic>
          </wp:inline>
        </w:drawing>
      </w:r>
    </w:p>
    <w:p>
      <w:pPr>
        <w:jc w:val="center"/>
      </w:pPr>
      <w:r>
        <w:rPr>
          <w:color w:val="005599"/>
          <w:sz w:val="16"/>
          <w:u w:val="single"/>
        </w:rPr>
        <w:t>https://lumivex-images.pages.dev/card-efficacy.jpeg</w:t>
      </w:r>
    </w:p>
    <w:p>
      <w:r>
        <w:rPr>
          <w:b/>
        </w:rPr>
        <w:t xml:space="preserve">Card heading: </w:t>
      </w:r>
      <w:r>
        <w:t>Superior skin clearance</w:t>
      </w:r>
    </w:p>
    <w:p>
      <w:r>
        <w:rPr>
          <w:b/>
        </w:rPr>
        <w:t xml:space="preserve">Card body: </w:t>
      </w:r>
      <w:r>
        <w:t>72.4% of patients achieved PASI 75 at Week 16 vs 8.6% with placebo (P&lt;0.001). Nearly half achieved PASI 90 — clear or almost clear skin.¹</w:t>
      </w:r>
    </w:p>
    <w:p>
      <w:r>
        <w:rPr>
          <w:b/>
        </w:rPr>
        <w:t xml:space="preserve">Card link: </w:t>
      </w:r>
      <w:r>
        <w:t>View efficacy data → /lumivex/efficacy</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3" name="Picture 3"/>
            <wp:cNvGraphicFramePr>
              <a:graphicFrameLocks noChangeAspect="1"/>
            </wp:cNvGraphicFramePr>
            <a:graphic>
              <a:graphicData uri="http://schemas.openxmlformats.org/drawingml/2006/picture">
                <pic:pic>
                  <pic:nvPicPr>
                    <pic:cNvPr id="0" name="card-safety.jpeg"/>
                    <pic:cNvPicPr/>
                  </pic:nvPicPr>
                  <pic:blipFill>
                    <a:blip r:embed="rId11"/>
                    <a:stretch>
                      <a:fillRect/>
                    </a:stretch>
                  </pic:blipFill>
                  <pic:spPr>
                    <a:xfrm>
                      <a:off x="0" y="0"/>
                      <a:ext cx="2743200" cy="2048256"/>
                    </a:xfrm>
                    <a:prstGeom prst="rect"/>
                  </pic:spPr>
                </pic:pic>
              </a:graphicData>
            </a:graphic>
          </wp:inline>
        </w:drawing>
      </w:r>
    </w:p>
    <w:p>
      <w:pPr>
        <w:jc w:val="center"/>
      </w:pPr>
      <w:r>
        <w:rPr>
          <w:color w:val="005599"/>
          <w:sz w:val="16"/>
          <w:u w:val="single"/>
        </w:rPr>
        <w:t>https://lumivex-images.pages.dev/card-safety.jpeg</w:t>
      </w:r>
    </w:p>
    <w:p>
      <w:r>
        <w:rPr>
          <w:b/>
        </w:rPr>
        <w:t xml:space="preserve">Card heading: </w:t>
      </w:r>
      <w:r>
        <w:t>Favourable tolerability profile</w:t>
      </w:r>
    </w:p>
    <w:p>
      <w:r>
        <w:rPr>
          <w:b/>
        </w:rPr>
        <w:t xml:space="preserve">Card body: </w:t>
      </w:r>
      <w:r>
        <w:t>Selective TYK2 inhibition with no dose-dependent cytopenias, no MACE signal, and no VTE signal — a differentiated safety profile across over 2,400 patients.¹⁻³</w:t>
      </w:r>
    </w:p>
    <w:p>
      <w:r>
        <w:rPr>
          <w:b/>
        </w:rPr>
        <w:t xml:space="preserve">Card link: </w:t>
      </w:r>
      <w:r>
        <w:t>Review safety data → /lumivex/safety</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4" name="Picture 4"/>
            <wp:cNvGraphicFramePr>
              <a:graphicFrameLocks noChangeAspect="1"/>
            </wp:cNvGraphicFramePr>
            <a:graphic>
              <a:graphicData uri="http://schemas.openxmlformats.org/drawingml/2006/picture">
                <pic:pic>
                  <pic:nvPicPr>
                    <pic:cNvPr id="0" name="card-dosing.jpeg"/>
                    <pic:cNvPicPr/>
                  </pic:nvPicPr>
                  <pic:blipFill>
                    <a:blip r:embed="rId12"/>
                    <a:stretch>
                      <a:fillRect/>
                    </a:stretch>
                  </pic:blipFill>
                  <pic:spPr>
                    <a:xfrm>
                      <a:off x="0" y="0"/>
                      <a:ext cx="2743200" cy="2048256"/>
                    </a:xfrm>
                    <a:prstGeom prst="rect"/>
                  </pic:spPr>
                </pic:pic>
              </a:graphicData>
            </a:graphic>
          </wp:inline>
        </w:drawing>
      </w:r>
    </w:p>
    <w:p>
      <w:pPr>
        <w:jc w:val="center"/>
      </w:pPr>
      <w:r>
        <w:rPr>
          <w:color w:val="005599"/>
          <w:sz w:val="16"/>
          <w:u w:val="single"/>
        </w:rPr>
        <w:t>https://lumivex-images.pages.dev/card-dosing.jpeg</w:t>
      </w:r>
    </w:p>
    <w:p>
      <w:r>
        <w:rPr>
          <w:b/>
        </w:rPr>
        <w:t xml:space="preserve">Card heading: </w:t>
      </w:r>
      <w:r>
        <w:t>Once-daily oral convenience</w:t>
      </w:r>
    </w:p>
    <w:p>
      <w:r>
        <w:rPr>
          <w:b/>
        </w:rPr>
        <w:t xml:space="preserve">Card body: </w:t>
      </w:r>
      <w:r>
        <w:t>A single 6 mg tablet once daily, with or without food — no injection, no titration, no fasting requirement. Simplicity in a single oral dose.⁴</w:t>
      </w:r>
    </w:p>
    <w:p>
      <w:r>
        <w:rPr>
          <w:b/>
        </w:rPr>
        <w:t xml:space="preserve">Card link: </w:t>
      </w:r>
      <w:r>
        <w:t>View dosing information → /lumivex/dosing</w:t>
      </w:r>
    </w:p>
    <w:p>
      <w:pPr>
        <w:jc w:val="center"/>
      </w:pPr>
      <w:r>
        <w:rPr>
          <w:color w:val="CCCCCC"/>
          <w:sz w:val="16"/>
        </w:rPr>
        <w:t>────────────────────────────────────────────────────────────</w:t>
      </w:r>
    </w:p>
    <w:p>
      <w:pPr>
        <w:pStyle w:val="Heading3"/>
      </w:pPr>
      <w:r>
        <w:rPr>
          <w:color w:val="D4851F"/>
        </w:rPr>
        <w:t>Section 3 — Disease context (centred text) | light background</w:t>
      </w:r>
    </w:p>
    <w:p>
      <w:r>
        <w:rPr>
          <w:b/>
        </w:rPr>
        <w:t>Block: introduction</w:t>
      </w:r>
      <w:r>
        <w:rPr>
          <w:color w:val="666666"/>
        </w:rPr>
        <w:t xml:space="preserve">  |  Section metadata: Style: light</w:t>
      </w:r>
    </w:p>
    <w:p>
      <w:r>
        <w:rPr>
          <w:b/>
        </w:rPr>
        <w:t xml:space="preserve">Heading: </w:t>
      </w:r>
      <w:r>
        <w:t>The unmet need in plaque psoriasis</w:t>
      </w:r>
    </w:p>
    <w:p>
      <w:r>
        <w:rPr>
          <w:b/>
        </w:rPr>
        <w:t xml:space="preserve">Body text: </w:t>
      </w:r>
      <w:r>
        <w:t>Plaque psoriasis affects approximately 1.8 million adults in the UK, with moderate-to-severe disease significantly impacting quality of life. Despite available treatments, many patients do not achieve or maintain adequate skin clearance — and concerns about injection burden, immunosuppression, and long-term safety remain barriers to treatment optimisation. There is a need for an effective oral therapy with a targeted mechanism and a well-characterised long-term safety profile.</w:t>
      </w:r>
    </w:p>
    <w:p>
      <w:pPr>
        <w:jc w:val="center"/>
      </w:pPr>
      <w:r>
        <w:rPr>
          <w:color w:val="CCCCCC"/>
          <w:sz w:val="16"/>
        </w:rPr>
        <w:t>────────────────────────────────────────────────────────────</w:t>
      </w:r>
    </w:p>
    <w:p>
      <w:pPr>
        <w:pStyle w:val="Heading3"/>
      </w:pPr>
      <w:r>
        <w:rPr>
          <w:color w:val="D4851F"/>
        </w:rPr>
        <w:t>Section 4 — Mechanism of action teaser (two-column) | highlighted background</w:t>
      </w:r>
    </w:p>
    <w:p>
      <w:r>
        <w:rPr>
          <w:b/>
        </w:rPr>
        <w:t>Block: columns-teaser</w:t>
      </w:r>
      <w:r>
        <w:rPr>
          <w:color w:val="666666"/>
        </w:rPr>
        <w:t xml:space="preserve">  |  Section metadata: Style: highlight</w:t>
      </w:r>
    </w:p>
    <w:p/>
    <w:p>
      <w:pPr>
        <w:jc w:val="center"/>
      </w:pPr>
      <w:r>
        <w:drawing>
          <wp:inline xmlns:a="http://schemas.openxmlformats.org/drawingml/2006/main" xmlns:pic="http://schemas.openxmlformats.org/drawingml/2006/picture">
            <wp:extent cx="3200400" cy="2389632"/>
            <wp:docPr id="5" name="Picture 5"/>
            <wp:cNvGraphicFramePr>
              <a:graphicFrameLocks noChangeAspect="1"/>
            </wp:cNvGraphicFramePr>
            <a:graphic>
              <a:graphicData uri="http://schemas.openxmlformats.org/drawingml/2006/picture">
                <pic:pic>
                  <pic:nvPicPr>
                    <pic:cNvPr id="0" name="columns-moa.jpeg"/>
                    <pic:cNvPicPr/>
                  </pic:nvPicPr>
                  <pic:blipFill>
                    <a:blip r:embed="rId13"/>
                    <a:stretch>
                      <a:fillRect/>
                    </a:stretch>
                  </pic:blipFill>
                  <pic:spPr>
                    <a:xfrm>
                      <a:off x="0" y="0"/>
                      <a:ext cx="3200400" cy="2389632"/>
                    </a:xfrm>
                    <a:prstGeom prst="rect"/>
                  </pic:spPr>
                </pic:pic>
              </a:graphicData>
            </a:graphic>
          </wp:inline>
        </w:drawing>
      </w:r>
    </w:p>
    <w:p>
      <w:pPr>
        <w:jc w:val="center"/>
      </w:pPr>
      <w:r>
        <w:rPr>
          <w:color w:val="005599"/>
          <w:sz w:val="16"/>
          <w:u w:val="single"/>
        </w:rPr>
        <w:t>https://lumivex-images.pages.dev/columns-moa.jpeg</w:t>
      </w:r>
    </w:p>
    <w:p>
      <w:r>
        <w:rPr>
          <w:b/>
        </w:rPr>
        <w:t xml:space="preserve">Heading: </w:t>
      </w:r>
      <w:r>
        <w:t>Selective TYK2 inhibition — a targeted approach</w:t>
      </w:r>
    </w:p>
    <w:p>
      <w:r>
        <w:rPr>
          <w:b/>
        </w:rPr>
        <w:t xml:space="preserve">Body text: </w:t>
      </w:r>
      <w:r>
        <w:t>Lumvecitinib selectively binds the TYK2 pseudokinase (JH2) domain, inhibiting IL-23, IL-12, and type I IFN signalling without affecting JAK1/2/3-mediated pathways. This allosteric mechanism targets the key drivers of psoriatic inflammation while preserving broader immune surveillance.⁴</w:t>
      </w:r>
    </w:p>
    <w:p>
      <w:r>
        <w:rPr>
          <w:b/>
        </w:rPr>
        <w:t xml:space="preserve">Call to action: </w:t>
      </w:r>
      <w:r>
        <w:t>Explore the mechanism of action → /lumivex/mechanism-of-action</w:t>
      </w:r>
    </w:p>
    <w:p>
      <w:pPr>
        <w:jc w:val="center"/>
      </w:pPr>
      <w:r>
        <w:rPr>
          <w:color w:val="CCCCCC"/>
          <w:sz w:val="16"/>
        </w:rPr>
        <w:t>────────────────────────────────────────────────────────────</w:t>
      </w:r>
    </w:p>
    <w:p>
      <w:pPr>
        <w:pStyle w:val="Heading3"/>
      </w:pPr>
      <w:r>
        <w:rPr>
          <w:color w:val="D4851F"/>
        </w:rPr>
        <w:t>Section 5 — Prescribing information footer</w:t>
      </w:r>
    </w:p>
    <w:p>
      <w:r>
        <w:rPr>
          <w:b/>
        </w:rPr>
        <w:t>Block: accordion</w:t>
      </w:r>
    </w:p>
    <w:p>
      <w:r>
        <w:rPr>
          <w:b w:val="0"/>
          <w:i/>
          <w:color w:val="363B3B"/>
          <w:sz w:val="20"/>
        </w:rPr>
        <w:t>Expandable sections for: Prescribing Information | Adverse Event Reporting | References (Use approved text from sections 5, 6, and 7 above)</w:t>
      </w:r>
    </w:p>
    <w:p/>
    <w:p>
      <w:r>
        <w:rPr>
          <w:b/>
          <w:color w:val="830051"/>
        </w:rPr>
        <w:t>Page metadata</w:t>
      </w:r>
    </w:p>
    <w:p>
      <w:r>
        <w:rPr>
          <w:b w:val="0"/>
          <w:i w:val="0"/>
          <w:color w:val="363B3B"/>
          <w:sz w:val="20"/>
        </w:rPr>
        <w:t>Title: LUMIVEX® (lumvecitinib) | Selective TYK2 Inhibitor for Plaque Psoriasis | AstraZeneca UK</w:t>
      </w:r>
    </w:p>
    <w:p>
      <w:r>
        <w:rPr>
          <w:b w:val="0"/>
          <w:i w:val="0"/>
          <w:color w:val="363B3B"/>
          <w:sz w:val="20"/>
        </w:rPr>
        <w:t>Description: LUMIVEX® (lumvecitinib) is a first-in-class selective allosteric TYK2 inhibitor for adults with moderate-to-severe plaque psoriasis. Explore efficacy, safety, and dosing information for UK healthcare professionals.</w:t>
      </w:r>
    </w:p>
    <w:p>
      <w:r>
        <w:br w:type="page"/>
      </w:r>
    </w:p>
    <w:p>
      <w:pPr>
        <w:pStyle w:val="Heading2"/>
      </w:pPr>
      <w:r>
        <w:rPr>
          <w:color w:val="830051"/>
        </w:rPr>
        <w:t>PAGE 2: Efficacy</w:t>
      </w:r>
    </w:p>
    <w:p>
      <w:r>
        <w:rPr>
          <w:b/>
        </w:rPr>
        <w:t>URL path: /lumivex/efficacy</w:t>
      </w:r>
    </w:p>
    <w:p>
      <w:pPr>
        <w:jc w:val="center"/>
      </w:pPr>
      <w:r>
        <w:rPr>
          <w:color w:val="CCCCCC"/>
          <w:sz w:val="16"/>
        </w:rPr>
        <w:t>────────────────────────────────────────────────────────────</w:t>
      </w:r>
    </w:p>
    <w:p>
      <w:pPr>
        <w:pStyle w:val="Heading3"/>
      </w:pPr>
      <w:r>
        <w:rPr>
          <w:color w:val="D4851F"/>
        </w:rPr>
        <w:t>Section 1 — Hero (full-width image with text overlay)</w:t>
      </w:r>
    </w:p>
    <w:p>
      <w:r>
        <w:rPr>
          <w:b/>
        </w:rPr>
        <w:t>Block: hero-teaser</w:t>
      </w:r>
    </w:p>
    <w:p/>
    <w:p>
      <w:pPr>
        <w:jc w:val="center"/>
      </w:pPr>
      <w:r>
        <w:drawing>
          <wp:inline xmlns:a="http://schemas.openxmlformats.org/drawingml/2006/main" xmlns:pic="http://schemas.openxmlformats.org/drawingml/2006/picture">
            <wp:extent cx="5029200" cy="2806995"/>
            <wp:docPr id="6" name="Picture 6"/>
            <wp:cNvGraphicFramePr>
              <a:graphicFrameLocks noChangeAspect="1"/>
            </wp:cNvGraphicFramePr>
            <a:graphic>
              <a:graphicData uri="http://schemas.openxmlformats.org/drawingml/2006/picture">
                <pic:pic>
                  <pic:nvPicPr>
                    <pic:cNvPr id="0" name="hero-efficacy.jpeg"/>
                    <pic:cNvPicPr/>
                  </pic:nvPicPr>
                  <pic:blipFill>
                    <a:blip r:embed="rId14"/>
                    <a:stretch>
                      <a:fillRect/>
                    </a:stretch>
                  </pic:blipFill>
                  <pic:spPr>
                    <a:xfrm>
                      <a:off x="0" y="0"/>
                      <a:ext cx="5029200" cy="2806995"/>
                    </a:xfrm>
                    <a:prstGeom prst="rect"/>
                  </pic:spPr>
                </pic:pic>
              </a:graphicData>
            </a:graphic>
          </wp:inline>
        </w:drawing>
      </w:r>
    </w:p>
    <w:p>
      <w:pPr>
        <w:jc w:val="center"/>
      </w:pPr>
      <w:r>
        <w:rPr>
          <w:color w:val="005599"/>
          <w:sz w:val="16"/>
          <w:u w:val="single"/>
        </w:rPr>
        <w:t>https://lumivex-images.pages.dev/hero-efficacy.jpeg</w:t>
      </w:r>
    </w:p>
    <w:p>
      <w:r>
        <w:rPr>
          <w:b/>
        </w:rPr>
        <w:t xml:space="preserve">Heading: </w:t>
      </w:r>
      <w:r>
        <w:t>Clinical evidence for LUMIVEX®</w:t>
      </w:r>
    </w:p>
    <w:p>
      <w:r>
        <w:rPr>
          <w:b/>
        </w:rPr>
        <w:t xml:space="preserve">Body text: </w:t>
      </w:r>
      <w:r>
        <w:t>The LUMINANCE clinical programme evaluated lumvecitinib in three studies encompassing over 2,400 adults with moderate-to-severe plaque psoriasis, including head-to-head comparison with adalimumab and long-term data up to 148 weeks.¹⁻³</w:t>
      </w:r>
    </w:p>
    <w:p>
      <w:pPr>
        <w:jc w:val="center"/>
      </w:pPr>
      <w:r>
        <w:rPr>
          <w:color w:val="CCCCCC"/>
          <w:sz w:val="16"/>
        </w:rPr>
        <w:t>────────────────────────────────────────────────────────────</w:t>
      </w:r>
    </w:p>
    <w:p>
      <w:pPr>
        <w:pStyle w:val="Heading3"/>
      </w:pPr>
      <w:r>
        <w:rPr>
          <w:color w:val="D4851F"/>
        </w:rPr>
        <w:t>Section 2 — Programme overview (centred text) | light background</w:t>
      </w:r>
    </w:p>
    <w:p>
      <w:r>
        <w:rPr>
          <w:b/>
        </w:rPr>
        <w:t>Block: introduction</w:t>
      </w:r>
      <w:r>
        <w:rPr>
          <w:color w:val="666666"/>
        </w:rPr>
        <w:t xml:space="preserve">  |  Section metadata: Style: light</w:t>
      </w:r>
    </w:p>
    <w:p>
      <w:r>
        <w:rPr>
          <w:b/>
        </w:rPr>
        <w:t xml:space="preserve">Heading: </w:t>
      </w:r>
      <w:r>
        <w:t>The LUMINANCE clinical programme</w:t>
      </w:r>
    </w:p>
    <w:p>
      <w:r>
        <w:rPr>
          <w:b/>
        </w:rPr>
        <w:t xml:space="preserve">Body text: </w:t>
      </w:r>
      <w:r>
        <w:t>Lumvecitinib was evaluated in three studies: LUMINANCE-1 assessed skin clearance and quality-of-life improvement versus placebo; LUMINANCE-2 demonstrated superiority to adalimumab in biologic-naïve patients; and LUMINANCE-3, an open-label extension, confirmed sustained efficacy and long-term safety through 148 weeks of continuous treatment.¹⁻³</w:t>
      </w:r>
    </w:p>
    <w:p>
      <w:pPr>
        <w:jc w:val="center"/>
      </w:pPr>
      <w:r>
        <w:rPr>
          <w:color w:val="CCCCCC"/>
          <w:sz w:val="16"/>
        </w:rPr>
        <w:t>────────────────────────────────────────────────────────────</w:t>
      </w:r>
    </w:p>
    <w:p>
      <w:pPr>
        <w:pStyle w:val="Heading3"/>
      </w:pPr>
      <w:r>
        <w:rPr>
          <w:color w:val="D4851F"/>
        </w:rPr>
        <w:t>Section 3 — Clinical data (two tabs)</w:t>
      </w:r>
    </w:p>
    <w:p>
      <w:r>
        <w:rPr>
          <w:b/>
        </w:rPr>
        <w:t>Block: tabs-large</w:t>
      </w:r>
    </w:p>
    <w:p/>
    <w:p>
      <w:r>
        <w:rPr>
          <w:b/>
          <w:i w:val="0"/>
          <w:color w:val="363B3B"/>
          <w:sz w:val="20"/>
        </w:rPr>
        <w:t>Tab 1: "LUMINANCE-1: Skin clearance vs placebo"</w:t>
      </w:r>
    </w:p>
    <w:p>
      <w:pPr>
        <w:jc w:val="center"/>
      </w:pPr>
      <w:r>
        <w:drawing>
          <wp:inline xmlns:a="http://schemas.openxmlformats.org/drawingml/2006/main" xmlns:pic="http://schemas.openxmlformats.org/drawingml/2006/picture">
            <wp:extent cx="3200400" cy="2389632"/>
            <wp:docPr id="7" name="Picture 7"/>
            <wp:cNvGraphicFramePr>
              <a:graphicFrameLocks noChangeAspect="1"/>
            </wp:cNvGraphicFramePr>
            <a:graphic>
              <a:graphicData uri="http://schemas.openxmlformats.org/drawingml/2006/picture">
                <pic:pic>
                  <pic:nvPicPr>
                    <pic:cNvPr id="0" name="tab-luminance1.jpeg"/>
                    <pic:cNvPicPr/>
                  </pic:nvPicPr>
                  <pic:blipFill>
                    <a:blip r:embed="rId15"/>
                    <a:stretch>
                      <a:fillRect/>
                    </a:stretch>
                  </pic:blipFill>
                  <pic:spPr>
                    <a:xfrm>
                      <a:off x="0" y="0"/>
                      <a:ext cx="3200400" cy="2389632"/>
                    </a:xfrm>
                    <a:prstGeom prst="rect"/>
                  </pic:spPr>
                </pic:pic>
              </a:graphicData>
            </a:graphic>
          </wp:inline>
        </w:drawing>
      </w:r>
    </w:p>
    <w:p>
      <w:pPr>
        <w:jc w:val="center"/>
      </w:pPr>
      <w:r>
        <w:rPr>
          <w:color w:val="005599"/>
          <w:sz w:val="16"/>
          <w:u w:val="single"/>
        </w:rPr>
        <w:t>https://lumivex-images.pages.dev/tab-luminance1.jpeg</w:t>
      </w:r>
    </w:p>
    <w:p>
      <w:r>
        <w:rPr>
          <w:b/>
        </w:rPr>
        <w:t xml:space="preserve">Heading: </w:t>
      </w:r>
      <w:r>
        <w:t>Superior PASI 75 response versus placebo</w:t>
      </w:r>
    </w:p>
    <w:p>
      <w:r>
        <w:rPr>
          <w:b/>
        </w:rPr>
        <w:t xml:space="preserve">Body text: </w:t>
      </w:r>
      <w:r>
        <w:t>In LUMINANCE-1, a 52-week randomised, double-blind, placebo-controlled trial in 1,020 adults with moderate-to-severe plaque psoriasis (BSA ≥10%, PASI ≥12, IGA ≥3), lumvecitinib 6 mg demonstrated significantly greater PASI 75 response versus placebo at Week 16, with sustained response through Week 52.¹</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Lumvecitinib 6 mg (n=510)</w:t>
            </w:r>
          </w:p>
        </w:tc>
        <w:tc>
          <w:tcPr>
            <w:tcW w:type="dxa" w:w="2268"/>
            <w:shd w:fill="830051"/>
          </w:tcPr>
          <w:p>
            <w:r/>
            <w:r>
              <w:rPr>
                <w:b/>
                <w:color w:val="FFFFFF"/>
                <w:sz w:val="18"/>
              </w:rPr>
              <w:t>Placebo (n=510)</w:t>
            </w:r>
          </w:p>
        </w:tc>
        <w:tc>
          <w:tcPr>
            <w:tcW w:type="dxa" w:w="2268"/>
            <w:shd w:fill="830051"/>
          </w:tcPr>
          <w:p>
            <w:r/>
            <w:r>
              <w:rPr>
                <w:b/>
                <w:color w:val="FFFFFF"/>
                <w:sz w:val="18"/>
              </w:rPr>
              <w:t>Difference (95% CI)</w:t>
            </w:r>
          </w:p>
        </w:tc>
      </w:tr>
      <w:tr>
        <w:tc>
          <w:tcPr>
            <w:tcW w:type="dxa" w:w="2268"/>
          </w:tcPr>
          <w:p>
            <w:r/>
            <w:r>
              <w:rPr>
                <w:color w:val="363B3B"/>
                <w:sz w:val="18"/>
              </w:rPr>
              <w:t>PASI 75 at Week 16 (primary)</w:t>
            </w:r>
          </w:p>
        </w:tc>
        <w:tc>
          <w:tcPr>
            <w:tcW w:type="dxa" w:w="2268"/>
          </w:tcPr>
          <w:p>
            <w:r/>
            <w:r>
              <w:rPr>
                <w:color w:val="363B3B"/>
                <w:sz w:val="18"/>
              </w:rPr>
              <w:t>72.4%</w:t>
            </w:r>
          </w:p>
        </w:tc>
        <w:tc>
          <w:tcPr>
            <w:tcW w:type="dxa" w:w="2268"/>
          </w:tcPr>
          <w:p>
            <w:r/>
            <w:r>
              <w:rPr>
                <w:color w:val="363B3B"/>
                <w:sz w:val="18"/>
              </w:rPr>
              <w:t>8.6%</w:t>
            </w:r>
          </w:p>
        </w:tc>
        <w:tc>
          <w:tcPr>
            <w:tcW w:type="dxa" w:w="2268"/>
          </w:tcPr>
          <w:p>
            <w:r/>
            <w:r>
              <w:rPr>
                <w:color w:val="363B3B"/>
                <w:sz w:val="18"/>
              </w:rPr>
              <w:t>63.8% (58.9 to 68.7); P&lt;0.001</w:t>
            </w:r>
          </w:p>
        </w:tc>
      </w:tr>
      <w:tr>
        <w:tc>
          <w:tcPr>
            <w:tcW w:type="dxa" w:w="2268"/>
            <w:shd w:fill="F8F8F8"/>
          </w:tcPr>
          <w:p>
            <w:r/>
            <w:r>
              <w:rPr>
                <w:color w:val="363B3B"/>
                <w:sz w:val="18"/>
              </w:rPr>
              <w:t>PASI 90 at Week 16</w:t>
            </w:r>
          </w:p>
        </w:tc>
        <w:tc>
          <w:tcPr>
            <w:tcW w:type="dxa" w:w="2268"/>
            <w:shd w:fill="F8F8F8"/>
          </w:tcPr>
          <w:p>
            <w:r/>
            <w:r>
              <w:rPr>
                <w:color w:val="363B3B"/>
                <w:sz w:val="18"/>
              </w:rPr>
              <w:t>48.1%</w:t>
            </w:r>
          </w:p>
        </w:tc>
        <w:tc>
          <w:tcPr>
            <w:tcW w:type="dxa" w:w="2268"/>
            <w:shd w:fill="F8F8F8"/>
          </w:tcPr>
          <w:p>
            <w:r/>
            <w:r>
              <w:rPr>
                <w:color w:val="363B3B"/>
                <w:sz w:val="18"/>
              </w:rPr>
              <w:t>3.2%</w:t>
            </w:r>
          </w:p>
        </w:tc>
        <w:tc>
          <w:tcPr>
            <w:tcW w:type="dxa" w:w="2268"/>
            <w:shd w:fill="F8F8F8"/>
          </w:tcPr>
          <w:p>
            <w:r/>
            <w:r>
              <w:rPr>
                <w:color w:val="363B3B"/>
                <w:sz w:val="18"/>
              </w:rPr>
              <w:t>44.9% (40.3 to 49.5); P&lt;0.001</w:t>
            </w:r>
          </w:p>
        </w:tc>
      </w:tr>
      <w:tr>
        <w:tc>
          <w:tcPr>
            <w:tcW w:type="dxa" w:w="2268"/>
          </w:tcPr>
          <w:p>
            <w:r/>
            <w:r>
              <w:rPr>
                <w:color w:val="363B3B"/>
                <w:sz w:val="18"/>
              </w:rPr>
              <w:t>PASI 100 at Week 16</w:t>
            </w:r>
          </w:p>
        </w:tc>
        <w:tc>
          <w:tcPr>
            <w:tcW w:type="dxa" w:w="2268"/>
          </w:tcPr>
          <w:p>
            <w:r/>
            <w:r>
              <w:rPr>
                <w:color w:val="363B3B"/>
                <w:sz w:val="18"/>
              </w:rPr>
              <w:t>24.7%</w:t>
            </w:r>
          </w:p>
        </w:tc>
        <w:tc>
          <w:tcPr>
            <w:tcW w:type="dxa" w:w="2268"/>
          </w:tcPr>
          <w:p>
            <w:r/>
            <w:r>
              <w:rPr>
                <w:color w:val="363B3B"/>
                <w:sz w:val="18"/>
              </w:rPr>
              <w:t>1.0%</w:t>
            </w:r>
          </w:p>
        </w:tc>
        <w:tc>
          <w:tcPr>
            <w:tcW w:type="dxa" w:w="2268"/>
          </w:tcPr>
          <w:p>
            <w:r/>
            <w:r>
              <w:rPr>
                <w:color w:val="363B3B"/>
                <w:sz w:val="18"/>
              </w:rPr>
              <w:t>23.7% (19.8 to 27.6); P&lt;0.001</w:t>
            </w:r>
          </w:p>
        </w:tc>
      </w:tr>
      <w:tr>
        <w:tc>
          <w:tcPr>
            <w:tcW w:type="dxa" w:w="2268"/>
            <w:shd w:fill="F8F8F8"/>
          </w:tcPr>
          <w:p>
            <w:r/>
            <w:r>
              <w:rPr>
                <w:color w:val="363B3B"/>
                <w:sz w:val="18"/>
              </w:rPr>
              <w:t>IGA 0/1 at Week 16</w:t>
            </w:r>
          </w:p>
        </w:tc>
        <w:tc>
          <w:tcPr>
            <w:tcW w:type="dxa" w:w="2268"/>
            <w:shd w:fill="F8F8F8"/>
          </w:tcPr>
          <w:p>
            <w:r/>
            <w:r>
              <w:rPr>
                <w:color w:val="363B3B"/>
                <w:sz w:val="18"/>
              </w:rPr>
              <w:t>54.3%</w:t>
            </w:r>
          </w:p>
        </w:tc>
        <w:tc>
          <w:tcPr>
            <w:tcW w:type="dxa" w:w="2268"/>
            <w:shd w:fill="F8F8F8"/>
          </w:tcPr>
          <w:p>
            <w:r/>
            <w:r>
              <w:rPr>
                <w:color w:val="363B3B"/>
                <w:sz w:val="18"/>
              </w:rPr>
              <w:t>7.1%</w:t>
            </w:r>
          </w:p>
        </w:tc>
        <w:tc>
          <w:tcPr>
            <w:tcW w:type="dxa" w:w="2268"/>
            <w:shd w:fill="F8F8F8"/>
          </w:tcPr>
          <w:p>
            <w:r/>
            <w:r>
              <w:rPr>
                <w:color w:val="363B3B"/>
                <w:sz w:val="18"/>
              </w:rPr>
              <w:t>47.2% (42.4 to 52.0); P&lt;0.001</w:t>
            </w:r>
          </w:p>
        </w:tc>
      </w:tr>
      <w:tr>
        <w:tc>
          <w:tcPr>
            <w:tcW w:type="dxa" w:w="2268"/>
          </w:tcPr>
          <w:p>
            <w:r/>
            <w:r>
              <w:rPr>
                <w:color w:val="363B3B"/>
                <w:sz w:val="18"/>
              </w:rPr>
              <w:t>DLQI 0/1 at Week 16</w:t>
            </w:r>
          </w:p>
        </w:tc>
        <w:tc>
          <w:tcPr>
            <w:tcW w:type="dxa" w:w="2268"/>
          </w:tcPr>
          <w:p>
            <w:r/>
            <w:r>
              <w:rPr>
                <w:color w:val="363B3B"/>
                <w:sz w:val="18"/>
              </w:rPr>
              <w:t>41.8%</w:t>
            </w:r>
          </w:p>
        </w:tc>
        <w:tc>
          <w:tcPr>
            <w:tcW w:type="dxa" w:w="2268"/>
          </w:tcPr>
          <w:p>
            <w:r/>
            <w:r>
              <w:rPr>
                <w:color w:val="363B3B"/>
                <w:sz w:val="18"/>
              </w:rPr>
              <w:t>5.9%</w:t>
            </w:r>
          </w:p>
        </w:tc>
        <w:tc>
          <w:tcPr>
            <w:tcW w:type="dxa" w:w="2268"/>
          </w:tcPr>
          <w:p>
            <w:r/>
            <w:r>
              <w:rPr>
                <w:color w:val="363B3B"/>
                <w:sz w:val="18"/>
              </w:rPr>
              <w:t>35.9% (31.3 to 40.5); P&lt;0.001</w:t>
            </w:r>
          </w:p>
        </w:tc>
      </w:tr>
    </w:tbl>
    <w:p/>
    <w:p>
      <w:r>
        <w:rPr>
          <w:b w:val="0"/>
          <w:i/>
          <w:color w:val="363B3B"/>
          <w:sz w:val="18"/>
        </w:rPr>
        <w:t>Footnote text: The primary endpoint was met with high statistical significance. PASI 90 and PASI 100 responses demonstrated deep skin clearance, and DLQI improvements confirmed meaningful quality-of-life benefit.¹</w:t>
      </w:r>
    </w:p>
    <w:p>
      <w:pPr>
        <w:jc w:val="center"/>
      </w:pPr>
      <w:r>
        <w:rPr>
          <w:color w:val="CCCCCC"/>
          <w:sz w:val="16"/>
        </w:rPr>
        <w:t>────────────────────────────────────────────────────────────</w:t>
      </w:r>
    </w:p>
    <w:p>
      <w:r>
        <w:rPr>
          <w:b/>
          <w:i w:val="0"/>
          <w:color w:val="363B3B"/>
          <w:sz w:val="20"/>
        </w:rPr>
        <w:t>Tab 2: "LUMINANCE-2: Superiority vs adalimumab"</w:t>
      </w:r>
    </w:p>
    <w:p>
      <w:pPr>
        <w:jc w:val="center"/>
      </w:pPr>
      <w:r>
        <w:drawing>
          <wp:inline xmlns:a="http://schemas.openxmlformats.org/drawingml/2006/main" xmlns:pic="http://schemas.openxmlformats.org/drawingml/2006/picture">
            <wp:extent cx="3200400" cy="2389632"/>
            <wp:docPr id="8" name="Picture 8"/>
            <wp:cNvGraphicFramePr>
              <a:graphicFrameLocks noChangeAspect="1"/>
            </wp:cNvGraphicFramePr>
            <a:graphic>
              <a:graphicData uri="http://schemas.openxmlformats.org/drawingml/2006/picture">
                <pic:pic>
                  <pic:nvPicPr>
                    <pic:cNvPr id="0" name="tab-luminance2.jpeg"/>
                    <pic:cNvPicPr/>
                  </pic:nvPicPr>
                  <pic:blipFill>
                    <a:blip r:embed="rId16"/>
                    <a:stretch>
                      <a:fillRect/>
                    </a:stretch>
                  </pic:blipFill>
                  <pic:spPr>
                    <a:xfrm>
                      <a:off x="0" y="0"/>
                      <a:ext cx="3200400" cy="2389632"/>
                    </a:xfrm>
                    <a:prstGeom prst="rect"/>
                  </pic:spPr>
                </pic:pic>
              </a:graphicData>
            </a:graphic>
          </wp:inline>
        </w:drawing>
      </w:r>
    </w:p>
    <w:p>
      <w:pPr>
        <w:jc w:val="center"/>
      </w:pPr>
      <w:r>
        <w:rPr>
          <w:color w:val="005599"/>
          <w:sz w:val="16"/>
          <w:u w:val="single"/>
        </w:rPr>
        <w:t>https://lumivex-images.pages.dev/tab-luminance2.jpeg</w:t>
      </w:r>
    </w:p>
    <w:p>
      <w:r>
        <w:rPr>
          <w:b/>
        </w:rPr>
        <w:t xml:space="preserve">Heading: </w:t>
      </w:r>
      <w:r>
        <w:t>Superior to adalimumab at Week 16, with increasing benefit over time</w:t>
      </w:r>
    </w:p>
    <w:p>
      <w:r>
        <w:rPr>
          <w:b/>
        </w:rPr>
        <w:t xml:space="preserve">Body text: </w:t>
      </w:r>
      <w:r>
        <w:t>In LUMINANCE-2, a 52-week randomised, double-blind, active-controlled trial in 1,428 biologic-naïve adults with moderate-to-severe plaque psoriasis, lumvecitinib 6 mg demonstrated superior PASI 90 response compared with adalimumab 40 mg at Week 16. The treatment difference increased further at Week 52, demonstrating durable superiority.²</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Lumvecitinib 6 mg (n=714)</w:t>
            </w:r>
          </w:p>
        </w:tc>
        <w:tc>
          <w:tcPr>
            <w:tcW w:type="dxa" w:w="2268"/>
            <w:shd w:fill="830051"/>
          </w:tcPr>
          <w:p>
            <w:r/>
            <w:r>
              <w:rPr>
                <w:b/>
                <w:color w:val="FFFFFF"/>
                <w:sz w:val="18"/>
              </w:rPr>
              <w:t>Adalimumab 40 mg (n=714)</w:t>
            </w:r>
          </w:p>
        </w:tc>
        <w:tc>
          <w:tcPr>
            <w:tcW w:type="dxa" w:w="2268"/>
            <w:shd w:fill="830051"/>
          </w:tcPr>
          <w:p>
            <w:r/>
            <w:r>
              <w:rPr>
                <w:b/>
                <w:color w:val="FFFFFF"/>
                <w:sz w:val="18"/>
              </w:rPr>
              <w:t>Difference (95% CI)</w:t>
            </w:r>
          </w:p>
        </w:tc>
      </w:tr>
      <w:tr>
        <w:tc>
          <w:tcPr>
            <w:tcW w:type="dxa" w:w="2268"/>
          </w:tcPr>
          <w:p>
            <w:r/>
            <w:r>
              <w:rPr>
                <w:color w:val="363B3B"/>
                <w:sz w:val="18"/>
              </w:rPr>
              <w:t>PASI 90 at Week 16 (primary)</w:t>
            </w:r>
          </w:p>
        </w:tc>
        <w:tc>
          <w:tcPr>
            <w:tcW w:type="dxa" w:w="2268"/>
          </w:tcPr>
          <w:p>
            <w:r/>
            <w:r>
              <w:rPr>
                <w:color w:val="363B3B"/>
                <w:sz w:val="18"/>
              </w:rPr>
              <w:t>52.8%</w:t>
            </w:r>
          </w:p>
        </w:tc>
        <w:tc>
          <w:tcPr>
            <w:tcW w:type="dxa" w:w="2268"/>
          </w:tcPr>
          <w:p>
            <w:r/>
            <w:r>
              <w:rPr>
                <w:color w:val="363B3B"/>
                <w:sz w:val="18"/>
              </w:rPr>
              <w:t>38.2%</w:t>
            </w:r>
          </w:p>
        </w:tc>
        <w:tc>
          <w:tcPr>
            <w:tcW w:type="dxa" w:w="2268"/>
          </w:tcPr>
          <w:p>
            <w:r/>
            <w:r>
              <w:rPr>
                <w:color w:val="363B3B"/>
                <w:sz w:val="18"/>
              </w:rPr>
              <w:t>14.6% (9.5 to 19.7); P&lt;0.001</w:t>
            </w:r>
          </w:p>
        </w:tc>
      </w:tr>
      <w:tr>
        <w:tc>
          <w:tcPr>
            <w:tcW w:type="dxa" w:w="2268"/>
            <w:shd w:fill="F8F8F8"/>
          </w:tcPr>
          <w:p>
            <w:r/>
            <w:r>
              <w:rPr>
                <w:color w:val="363B3B"/>
                <w:sz w:val="18"/>
              </w:rPr>
              <w:t>PASI 75 at Week 16</w:t>
            </w:r>
          </w:p>
        </w:tc>
        <w:tc>
          <w:tcPr>
            <w:tcW w:type="dxa" w:w="2268"/>
            <w:shd w:fill="F8F8F8"/>
          </w:tcPr>
          <w:p>
            <w:r/>
            <w:r>
              <w:rPr>
                <w:color w:val="363B3B"/>
                <w:sz w:val="18"/>
              </w:rPr>
              <w:t>78.1%</w:t>
            </w:r>
          </w:p>
        </w:tc>
        <w:tc>
          <w:tcPr>
            <w:tcW w:type="dxa" w:w="2268"/>
            <w:shd w:fill="F8F8F8"/>
          </w:tcPr>
          <w:p>
            <w:r/>
            <w:r>
              <w:rPr>
                <w:color w:val="363B3B"/>
                <w:sz w:val="18"/>
              </w:rPr>
              <w:t>65.4%</w:t>
            </w:r>
          </w:p>
        </w:tc>
        <w:tc>
          <w:tcPr>
            <w:tcW w:type="dxa" w:w="2268"/>
            <w:shd w:fill="F8F8F8"/>
          </w:tcPr>
          <w:p>
            <w:r/>
            <w:r>
              <w:rPr>
                <w:color w:val="363B3B"/>
                <w:sz w:val="18"/>
              </w:rPr>
              <w:t>12.7% (8.0 to 17.4); P&lt;0.001</w:t>
            </w:r>
          </w:p>
        </w:tc>
      </w:tr>
      <w:tr>
        <w:tc>
          <w:tcPr>
            <w:tcW w:type="dxa" w:w="2268"/>
          </w:tcPr>
          <w:p>
            <w:r/>
            <w:r>
              <w:rPr>
                <w:color w:val="363B3B"/>
                <w:sz w:val="18"/>
              </w:rPr>
              <w:t>IGA 0/1 at Week 16</w:t>
            </w:r>
          </w:p>
        </w:tc>
        <w:tc>
          <w:tcPr>
            <w:tcW w:type="dxa" w:w="2268"/>
          </w:tcPr>
          <w:p>
            <w:r/>
            <w:r>
              <w:rPr>
                <w:color w:val="363B3B"/>
                <w:sz w:val="18"/>
              </w:rPr>
              <w:t>59.2%</w:t>
            </w:r>
          </w:p>
        </w:tc>
        <w:tc>
          <w:tcPr>
            <w:tcW w:type="dxa" w:w="2268"/>
          </w:tcPr>
          <w:p>
            <w:r/>
            <w:r>
              <w:rPr>
                <w:color w:val="363B3B"/>
                <w:sz w:val="18"/>
              </w:rPr>
              <w:t>43.8%</w:t>
            </w:r>
          </w:p>
        </w:tc>
        <w:tc>
          <w:tcPr>
            <w:tcW w:type="dxa" w:w="2268"/>
          </w:tcPr>
          <w:p>
            <w:r/>
            <w:r>
              <w:rPr>
                <w:color w:val="363B3B"/>
                <w:sz w:val="18"/>
              </w:rPr>
              <w:t>15.4% (10.4 to 20.4); P&lt;0.001</w:t>
            </w:r>
          </w:p>
        </w:tc>
      </w:tr>
      <w:tr>
        <w:tc>
          <w:tcPr>
            <w:tcW w:type="dxa" w:w="2268"/>
            <w:shd w:fill="F8F8F8"/>
          </w:tcPr>
          <w:p>
            <w:r/>
            <w:r>
              <w:rPr>
                <w:color w:val="363B3B"/>
                <w:sz w:val="18"/>
              </w:rPr>
              <w:t>PASI 90 at Week 52</w:t>
            </w:r>
          </w:p>
        </w:tc>
        <w:tc>
          <w:tcPr>
            <w:tcW w:type="dxa" w:w="2268"/>
            <w:shd w:fill="F8F8F8"/>
          </w:tcPr>
          <w:p>
            <w:r/>
            <w:r>
              <w:rPr>
                <w:color w:val="363B3B"/>
                <w:sz w:val="18"/>
              </w:rPr>
              <w:t>61.4%</w:t>
            </w:r>
          </w:p>
        </w:tc>
        <w:tc>
          <w:tcPr>
            <w:tcW w:type="dxa" w:w="2268"/>
            <w:shd w:fill="F8F8F8"/>
          </w:tcPr>
          <w:p>
            <w:r/>
            <w:r>
              <w:rPr>
                <w:color w:val="363B3B"/>
                <w:sz w:val="18"/>
              </w:rPr>
              <w:t>34.7%</w:t>
            </w:r>
          </w:p>
        </w:tc>
        <w:tc>
          <w:tcPr>
            <w:tcW w:type="dxa" w:w="2268"/>
            <w:shd w:fill="F8F8F8"/>
          </w:tcPr>
          <w:p>
            <w:r/>
            <w:r>
              <w:rPr>
                <w:color w:val="363B3B"/>
                <w:sz w:val="18"/>
              </w:rPr>
              <w:t>26.7% (21.9 to 31.5); P&lt;0.001</w:t>
            </w:r>
          </w:p>
        </w:tc>
      </w:tr>
      <w:tr>
        <w:tc>
          <w:tcPr>
            <w:tcW w:type="dxa" w:w="2268"/>
          </w:tcPr>
          <w:p>
            <w:r/>
            <w:r>
              <w:rPr>
                <w:color w:val="363B3B"/>
                <w:sz w:val="18"/>
              </w:rPr>
              <w:t>DLQI 0/1 at Week 52</w:t>
            </w:r>
          </w:p>
        </w:tc>
        <w:tc>
          <w:tcPr>
            <w:tcW w:type="dxa" w:w="2268"/>
          </w:tcPr>
          <w:p>
            <w:r/>
            <w:r>
              <w:rPr>
                <w:color w:val="363B3B"/>
                <w:sz w:val="18"/>
              </w:rPr>
              <w:t>52.1%</w:t>
            </w:r>
          </w:p>
        </w:tc>
        <w:tc>
          <w:tcPr>
            <w:tcW w:type="dxa" w:w="2268"/>
          </w:tcPr>
          <w:p>
            <w:r/>
            <w:r>
              <w:rPr>
                <w:color w:val="363B3B"/>
                <w:sz w:val="18"/>
              </w:rPr>
              <w:t>28.9%</w:t>
            </w:r>
          </w:p>
        </w:tc>
        <w:tc>
          <w:tcPr>
            <w:tcW w:type="dxa" w:w="2268"/>
          </w:tcPr>
          <w:p>
            <w:r/>
            <w:r>
              <w:rPr>
                <w:color w:val="363B3B"/>
                <w:sz w:val="18"/>
              </w:rPr>
              <w:t>23.2% (18.4 to 28.0); P&lt;0.001</w:t>
            </w:r>
          </w:p>
        </w:tc>
      </w:tr>
    </w:tbl>
    <w:p/>
    <w:p>
      <w:r>
        <w:rPr>
          <w:b w:val="0"/>
          <w:i/>
          <w:color w:val="363B3B"/>
          <w:sz w:val="18"/>
        </w:rPr>
        <w:t>Footnote text: Lumvecitinib achieved superior skin clearance to adalimumab at Week 16, with the treatment difference widening at Week 52 — demonstrating both rapid onset and increasing efficacy over time.²</w:t>
      </w:r>
    </w:p>
    <w:p>
      <w:pPr>
        <w:jc w:val="center"/>
      </w:pPr>
      <w:r>
        <w:rPr>
          <w:color w:val="CCCCCC"/>
          <w:sz w:val="16"/>
        </w:rPr>
        <w:t>────────────────────────────────────────────────────────────</w:t>
      </w:r>
    </w:p>
    <w:p>
      <w:pPr>
        <w:pStyle w:val="Heading3"/>
      </w:pPr>
      <w:r>
        <w:rPr>
          <w:color w:val="D4851F"/>
        </w:rPr>
        <w:t>Section 4 — Long-term efficacy (two-column) | highlighted background</w:t>
      </w:r>
    </w:p>
    <w:p>
      <w:r>
        <w:rPr>
          <w:b/>
        </w:rPr>
        <w:t>Block: columns-teaser</w:t>
      </w:r>
      <w:r>
        <w:rPr>
          <w:color w:val="666666"/>
        </w:rPr>
        <w:t xml:space="preserve">  |  Section metadata: Style: highlight</w:t>
      </w:r>
    </w:p>
    <w:p/>
    <w:p>
      <w:pPr>
        <w:jc w:val="center"/>
      </w:pPr>
      <w:r>
        <w:drawing>
          <wp:inline xmlns:a="http://schemas.openxmlformats.org/drawingml/2006/main" xmlns:pic="http://schemas.openxmlformats.org/drawingml/2006/picture">
            <wp:extent cx="3200400" cy="2389632"/>
            <wp:docPr id="9" name="Picture 9"/>
            <wp:cNvGraphicFramePr>
              <a:graphicFrameLocks noChangeAspect="1"/>
            </wp:cNvGraphicFramePr>
            <a:graphic>
              <a:graphicData uri="http://schemas.openxmlformats.org/drawingml/2006/picture">
                <pic:pic>
                  <pic:nvPicPr>
                    <pic:cNvPr id="0" name="columns-longterm.jpeg"/>
                    <pic:cNvPicPr/>
                  </pic:nvPicPr>
                  <pic:blipFill>
                    <a:blip r:embed="rId17"/>
                    <a:stretch>
                      <a:fillRect/>
                    </a:stretch>
                  </pic:blipFill>
                  <pic:spPr>
                    <a:xfrm>
                      <a:off x="0" y="0"/>
                      <a:ext cx="3200400" cy="2389632"/>
                    </a:xfrm>
                    <a:prstGeom prst="rect"/>
                  </pic:spPr>
                </pic:pic>
              </a:graphicData>
            </a:graphic>
          </wp:inline>
        </w:drawing>
      </w:r>
    </w:p>
    <w:p>
      <w:pPr>
        <w:jc w:val="center"/>
      </w:pPr>
      <w:r>
        <w:rPr>
          <w:color w:val="005599"/>
          <w:sz w:val="16"/>
          <w:u w:val="single"/>
        </w:rPr>
        <w:t>https://lumivex-images.pages.dev/columns-longterm.jpeg</w:t>
      </w:r>
    </w:p>
    <w:p>
      <w:r>
        <w:rPr>
          <w:b/>
        </w:rPr>
        <w:t xml:space="preserve">Heading: </w:t>
      </w:r>
      <w:r>
        <w:t>Sustained response through 148 weeks in LUMINANCE-3</w:t>
      </w:r>
    </w:p>
    <w:p>
      <w:r>
        <w:rPr>
          <w:b/>
        </w:rPr>
        <w:t xml:space="preserve">Body text: </w:t>
      </w:r>
      <w:r>
        <w:t>In the open-label extension study LUMINANCE-3, PASI 90 response was maintained in 67.3% of patients at Week 148 (observed cases), with no new safety signals identified over 3 years of continuous treatment. Quality-of-life benefit was sustained, with 52.6% of patients maintaining DLQI 0/1 at Week 148.³</w:t>
      </w:r>
    </w:p>
    <w:p>
      <w:r>
        <w:rPr>
          <w:b/>
        </w:rPr>
        <w:t xml:space="preserve">Call to action: </w:t>
      </w:r>
      <w:r>
        <w:t>Review the full safety profile → /lumivex/safety</w:t>
      </w:r>
    </w:p>
    <w:p>
      <w:pPr>
        <w:jc w:val="center"/>
      </w:pPr>
      <w:r>
        <w:rPr>
          <w:color w:val="CCCCCC"/>
          <w:sz w:val="16"/>
        </w:rPr>
        <w:t>────────────────────────────────────────────────────────────</w:t>
      </w:r>
    </w:p>
    <w:p>
      <w:pPr>
        <w:pStyle w:val="Heading3"/>
      </w:pPr>
      <w:r>
        <w:rPr>
          <w:color w:val="D4851F"/>
        </w:rPr>
        <w:t>Section 5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Efficacy | LUMIVEX® (lumvecitinib) | LUMINANCE Clinical Data | AstraZeneca UK</w:t>
      </w:r>
    </w:p>
    <w:p>
      <w:r>
        <w:rPr>
          <w:b w:val="0"/>
          <w:i w:val="0"/>
          <w:color w:val="363B3B"/>
          <w:sz w:val="20"/>
        </w:rPr>
        <w:t>Description: Explore the LUMINANCE clinical programme for LUMIVEX® (lumvecitinib) — Phase III data on PASI 75/90/100 response, superiority vs adalimumab, and long-term efficacy up to 148 weeks in moderate-to-severe plaque psoriasis.</w:t>
      </w:r>
    </w:p>
    <w:p>
      <w:r>
        <w:br w:type="page"/>
      </w:r>
    </w:p>
    <w:p>
      <w:pPr>
        <w:pStyle w:val="Heading2"/>
      </w:pPr>
      <w:r>
        <w:rPr>
          <w:color w:val="830051"/>
        </w:rPr>
        <w:t>PAGE 3: Safety</w:t>
      </w:r>
    </w:p>
    <w:p>
      <w:r>
        <w:rPr>
          <w:b/>
        </w:rPr>
        <w:t>URL path: /lumivex/safety</w:t>
      </w:r>
    </w:p>
    <w:p>
      <w:pPr>
        <w:jc w:val="center"/>
      </w:pPr>
      <w:r>
        <w:rPr>
          <w:color w:val="CCCCCC"/>
          <w:sz w:val="16"/>
        </w:rPr>
        <w:t>────────────────────────────────────────────────────────────</w:t>
      </w:r>
    </w:p>
    <w:p>
      <w:pPr>
        <w:pStyle w:val="Heading3"/>
      </w:pPr>
      <w:r>
        <w:rPr>
          <w:color w:val="D4851F"/>
        </w:rPr>
        <w:t>Section 1 — Page header (text only, no image)</w:t>
      </w:r>
    </w:p>
    <w:p>
      <w:r>
        <w:rPr>
          <w:b/>
        </w:rPr>
        <w:t>Block: title</w:t>
      </w:r>
    </w:p>
    <w:p>
      <w:r>
        <w:rPr>
          <w:b/>
        </w:rPr>
        <w:t xml:space="preserve">Heading: </w:t>
      </w:r>
      <w:r>
        <w:t>Safety profile</w:t>
      </w:r>
    </w:p>
    <w:p>
      <w:r>
        <w:rPr>
          <w:b/>
        </w:rPr>
        <w:t xml:space="preserve">Body text: </w:t>
      </w:r>
      <w:r>
        <w:t>Lumvecitinib has been evaluated for safety in over 2,400 patients across the LUMINANCE clinical programme, including controlled and long-term open-label data up to 148 weeks.¹⁻³</w:t>
      </w:r>
    </w:p>
    <w:p>
      <w:pPr>
        <w:jc w:val="center"/>
      </w:pPr>
      <w:r>
        <w:rPr>
          <w:color w:val="CCCCCC"/>
          <w:sz w:val="16"/>
        </w:rPr>
        <w:t>────────────────────────────────────────────────────────────</w:t>
      </w:r>
    </w:p>
    <w:p>
      <w:pPr>
        <w:pStyle w:val="Heading3"/>
      </w:pPr>
      <w:r>
        <w:rPr>
          <w:color w:val="D4851F"/>
        </w:rPr>
        <w:t>Section 2 — Safety overview (centred text) | light background</w:t>
      </w:r>
    </w:p>
    <w:p>
      <w:r>
        <w:rPr>
          <w:b/>
        </w:rPr>
        <w:t>Block: introduction</w:t>
      </w:r>
      <w:r>
        <w:rPr>
          <w:color w:val="666666"/>
        </w:rPr>
        <w:t xml:space="preserve">  |  Section metadata: Style: light</w:t>
      </w:r>
    </w:p>
    <w:p>
      <w:r>
        <w:rPr>
          <w:b/>
        </w:rPr>
        <w:t xml:space="preserve">Heading: </w:t>
      </w:r>
      <w:r>
        <w:t>A selective mechanism with a favourable tolerability profile</w:t>
      </w:r>
    </w:p>
    <w:p>
      <w:r>
        <w:rPr>
          <w:b/>
        </w:rPr>
        <w:t xml:space="preserve">Body text: </w:t>
      </w:r>
      <w:r>
        <w:t>Lumvecitinib's selective allosteric TYK2 inhibition provides a distinct safety profile compared with non-selective JAK inhibitors. No dose-dependent cytopenias, no MACE signal, and no VTE signal were observed across the programme. The most commonly reported adverse events were upper respiratory tract infections and nasopharyngitis, consistent with the mild immunomodulatory profile expected from selective TYK2 blockade.¹⁻³</w:t>
      </w:r>
    </w:p>
    <w:p>
      <w:pPr>
        <w:jc w:val="center"/>
      </w:pPr>
      <w:r>
        <w:rPr>
          <w:color w:val="CCCCCC"/>
          <w:sz w:val="16"/>
        </w:rPr>
        <w:t>────────────────────────────────────────────────────────────</w:t>
      </w:r>
    </w:p>
    <w:p>
      <w:pPr>
        <w:pStyle w:val="Heading3"/>
      </w:pPr>
      <w:r>
        <w:rPr>
          <w:color w:val="D4851F"/>
        </w:rPr>
        <w:t>Section 3 — Three key safety consideration cards (equal columns)</w:t>
      </w:r>
    </w:p>
    <w:p>
      <w:r>
        <w:rPr>
          <w:b/>
        </w:rPr>
        <w:t>Block: cards-teaser</w:t>
      </w:r>
    </w:p>
    <w:p/>
    <w:p>
      <w:pPr>
        <w:jc w:val="center"/>
      </w:pPr>
      <w:r>
        <w:drawing>
          <wp:inline xmlns:a="http://schemas.openxmlformats.org/drawingml/2006/main" xmlns:pic="http://schemas.openxmlformats.org/drawingml/2006/picture">
            <wp:extent cx="2743200" cy="2048256"/>
            <wp:docPr id="10" name="Picture 10"/>
            <wp:cNvGraphicFramePr>
              <a:graphicFrameLocks noChangeAspect="1"/>
            </wp:cNvGraphicFramePr>
            <a:graphic>
              <a:graphicData uri="http://schemas.openxmlformats.org/drawingml/2006/picture">
                <pic:pic>
                  <pic:nvPicPr>
                    <pic:cNvPr id="0" name="card-infections.jpeg"/>
                    <pic:cNvPicPr/>
                  </pic:nvPicPr>
                  <pic:blipFill>
                    <a:blip r:embed="rId18"/>
                    <a:stretch>
                      <a:fillRect/>
                    </a:stretch>
                  </pic:blipFill>
                  <pic:spPr>
                    <a:xfrm>
                      <a:off x="0" y="0"/>
                      <a:ext cx="2743200" cy="2048256"/>
                    </a:xfrm>
                    <a:prstGeom prst="rect"/>
                  </pic:spPr>
                </pic:pic>
              </a:graphicData>
            </a:graphic>
          </wp:inline>
        </w:drawing>
      </w:r>
    </w:p>
    <w:p>
      <w:pPr>
        <w:jc w:val="center"/>
      </w:pPr>
      <w:r>
        <w:rPr>
          <w:color w:val="005599"/>
          <w:sz w:val="16"/>
          <w:u w:val="single"/>
        </w:rPr>
        <w:t>https://lumivex-images.pages.dev/card-infections.jpeg</w:t>
      </w:r>
    </w:p>
    <w:p>
      <w:r>
        <w:rPr>
          <w:b/>
        </w:rPr>
        <w:t xml:space="preserve">Card heading: </w:t>
      </w:r>
      <w:r>
        <w:t>Infection profile</w:t>
      </w:r>
    </w:p>
    <w:p>
      <w:r>
        <w:rPr>
          <w:b/>
        </w:rPr>
        <w:t xml:space="preserve">Card body: </w:t>
      </w:r>
      <w:r>
        <w:t>URTI (8.4%) and nasopharyngitis (6.1%) were the most common adverse events. Serious infections occurred in 1.1% vs 0.9%. No opportunistic infections were reported in controlled trials. Herpes zoster occurred in 1.4%, all non-serious and dermatomal.¹⁻³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1" name="Picture 11"/>
            <wp:cNvGraphicFramePr>
              <a:graphicFrameLocks noChangeAspect="1"/>
            </wp:cNvGraphicFramePr>
            <a:graphic>
              <a:graphicData uri="http://schemas.openxmlformats.org/drawingml/2006/picture">
                <pic:pic>
                  <pic:nvPicPr>
                    <pic:cNvPr id="0" name="card-selectivity.jpeg"/>
                    <pic:cNvPicPr/>
                  </pic:nvPicPr>
                  <pic:blipFill>
                    <a:blip r:embed="rId19"/>
                    <a:stretch>
                      <a:fillRect/>
                    </a:stretch>
                  </pic:blipFill>
                  <pic:spPr>
                    <a:xfrm>
                      <a:off x="0" y="0"/>
                      <a:ext cx="2743200" cy="2048256"/>
                    </a:xfrm>
                    <a:prstGeom prst="rect"/>
                  </pic:spPr>
                </pic:pic>
              </a:graphicData>
            </a:graphic>
          </wp:inline>
        </w:drawing>
      </w:r>
    </w:p>
    <w:p>
      <w:pPr>
        <w:jc w:val="center"/>
      </w:pPr>
      <w:r>
        <w:rPr>
          <w:color w:val="005599"/>
          <w:sz w:val="16"/>
          <w:u w:val="single"/>
        </w:rPr>
        <w:t>https://lumivex-images.pages.dev/card-selectivity.jpeg</w:t>
      </w:r>
    </w:p>
    <w:p>
      <w:r>
        <w:rPr>
          <w:b/>
        </w:rPr>
        <w:t xml:space="preserve">Card heading: </w:t>
      </w:r>
      <w:r>
        <w:t>Selective TYK2 mechanism</w:t>
      </w:r>
    </w:p>
    <w:p>
      <w:r>
        <w:rPr>
          <w:b/>
        </w:rPr>
        <w:t xml:space="preserve">Card body: </w:t>
      </w:r>
      <w:r>
        <w:t>No dose-dependent cytopenias observed — haemoglobin, neutrophil, lymphocyte, and platelet counts remained stable throughout treatment. This differentiates lumvecitinib from non-selective JAK inhibitors, reflecting its targeted allosteric mechanism.¹⁻³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2" name="Picture 12"/>
            <wp:cNvGraphicFramePr>
              <a:graphicFrameLocks noChangeAspect="1"/>
            </wp:cNvGraphicFramePr>
            <a:graphic>
              <a:graphicData uri="http://schemas.openxmlformats.org/drawingml/2006/picture">
                <pic:pic>
                  <pic:nvPicPr>
                    <pic:cNvPr id="0" name="card-longterm-safety.jpeg"/>
                    <pic:cNvPicPr/>
                  </pic:nvPicPr>
                  <pic:blipFill>
                    <a:blip r:embed="rId20"/>
                    <a:stretch>
                      <a:fillRect/>
                    </a:stretch>
                  </pic:blipFill>
                  <pic:spPr>
                    <a:xfrm>
                      <a:off x="0" y="0"/>
                      <a:ext cx="2743200" cy="2048256"/>
                    </a:xfrm>
                    <a:prstGeom prst="rect"/>
                  </pic:spPr>
                </pic:pic>
              </a:graphicData>
            </a:graphic>
          </wp:inline>
        </w:drawing>
      </w:r>
    </w:p>
    <w:p>
      <w:pPr>
        <w:jc w:val="center"/>
      </w:pPr>
      <w:r>
        <w:rPr>
          <w:color w:val="005599"/>
          <w:sz w:val="16"/>
          <w:u w:val="single"/>
        </w:rPr>
        <w:t>https://lumivex-images.pages.dev/card-longterm-safety.jpeg</w:t>
      </w:r>
    </w:p>
    <w:p>
      <w:r>
        <w:rPr>
          <w:b/>
        </w:rPr>
        <w:t xml:space="preserve">Card heading: </w:t>
      </w:r>
      <w:r>
        <w:t>Long-term safety (up to 148 weeks)</w:t>
      </w:r>
    </w:p>
    <w:p>
      <w:r>
        <w:rPr>
          <w:b/>
        </w:rPr>
        <w:t xml:space="preserve">Card body: </w:t>
      </w:r>
      <w:r>
        <w:t>LUMINANCE-3 confirmed no new safety signals through 148 weeks. Serious infection rates remained stable (1.0–1.3/100 patient-years). No MACE or VTE signal. Malignancy rates comparable to the general psoriasis population. No increase in herpes zoster over time.³</w:t>
      </w:r>
    </w:p>
    <w:p>
      <w:pPr>
        <w:jc w:val="center"/>
      </w:pPr>
      <w:r>
        <w:rPr>
          <w:color w:val="CCCCCC"/>
          <w:sz w:val="16"/>
        </w:rPr>
        <w:t>────────────────────────────────────────────────────────────</w:t>
      </w:r>
    </w:p>
    <w:p>
      <w:pPr>
        <w:pStyle w:val="Heading3"/>
      </w:pPr>
      <w:r>
        <w:rPr>
          <w:color w:val="D4851F"/>
        </w:rPr>
        <w:t>Section 4 — Adverse event summary table | light background</w:t>
      </w:r>
    </w:p>
    <w:p>
      <w:r>
        <w:rPr>
          <w:b/>
        </w:rPr>
        <w:t>Block: table-data</w:t>
      </w:r>
      <w:r>
        <w:rPr>
          <w:color w:val="666666"/>
        </w:rPr>
        <w:t xml:space="preserve">  |  Section metadata: Style: light</w:t>
      </w:r>
    </w:p>
    <w:p>
      <w:r>
        <w:rPr>
          <w:b/>
        </w:rPr>
        <w:t xml:space="preserve">Heading: </w:t>
      </w:r>
      <w:r>
        <w:t>Pooled adverse event data from the LUMINANCE programme¹⁻³</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Adverse event</w:t>
            </w:r>
          </w:p>
        </w:tc>
        <w:tc>
          <w:tcPr>
            <w:tcW w:type="dxa" w:w="3024"/>
            <w:shd w:fill="830051"/>
          </w:tcPr>
          <w:p>
            <w:r/>
            <w:r>
              <w:rPr>
                <w:b/>
                <w:color w:val="FFFFFF"/>
                <w:sz w:val="18"/>
              </w:rPr>
              <w:t>Lumvecitinib 6 mg (%)</w:t>
            </w:r>
          </w:p>
        </w:tc>
        <w:tc>
          <w:tcPr>
            <w:tcW w:type="dxa" w:w="3024"/>
            <w:shd w:fill="830051"/>
          </w:tcPr>
          <w:p>
            <w:r/>
            <w:r>
              <w:rPr>
                <w:b/>
                <w:color w:val="FFFFFF"/>
                <w:sz w:val="18"/>
              </w:rPr>
              <w:t>Comparator (%)</w:t>
            </w:r>
          </w:p>
        </w:tc>
      </w:tr>
      <w:tr>
        <w:tc>
          <w:tcPr>
            <w:tcW w:type="dxa" w:w="3024"/>
          </w:tcPr>
          <w:p>
            <w:r/>
            <w:r>
              <w:rPr>
                <w:color w:val="363B3B"/>
                <w:sz w:val="18"/>
              </w:rPr>
              <w:t>Upper respiratory tract infection</w:t>
            </w:r>
          </w:p>
        </w:tc>
        <w:tc>
          <w:tcPr>
            <w:tcW w:type="dxa" w:w="3024"/>
          </w:tcPr>
          <w:p>
            <w:r/>
            <w:r>
              <w:rPr>
                <w:color w:val="363B3B"/>
                <w:sz w:val="18"/>
              </w:rPr>
              <w:t>8.4</w:t>
            </w:r>
          </w:p>
        </w:tc>
        <w:tc>
          <w:tcPr>
            <w:tcW w:type="dxa" w:w="3024"/>
          </w:tcPr>
          <w:p>
            <w:r/>
            <w:r>
              <w:rPr>
                <w:color w:val="363B3B"/>
                <w:sz w:val="18"/>
              </w:rPr>
              <w:t>7.2</w:t>
            </w:r>
          </w:p>
        </w:tc>
      </w:tr>
      <w:tr>
        <w:tc>
          <w:tcPr>
            <w:tcW w:type="dxa" w:w="3024"/>
            <w:shd w:fill="F8F8F8"/>
          </w:tcPr>
          <w:p>
            <w:r/>
            <w:r>
              <w:rPr>
                <w:color w:val="363B3B"/>
                <w:sz w:val="18"/>
              </w:rPr>
              <w:t>Nasopharyngitis</w:t>
            </w:r>
          </w:p>
        </w:tc>
        <w:tc>
          <w:tcPr>
            <w:tcW w:type="dxa" w:w="3024"/>
            <w:shd w:fill="F8F8F8"/>
          </w:tcPr>
          <w:p>
            <w:r/>
            <w:r>
              <w:rPr>
                <w:color w:val="363B3B"/>
                <w:sz w:val="18"/>
              </w:rPr>
              <w:t>6.1</w:t>
            </w:r>
          </w:p>
        </w:tc>
        <w:tc>
          <w:tcPr>
            <w:tcW w:type="dxa" w:w="3024"/>
            <w:shd w:fill="F8F8F8"/>
          </w:tcPr>
          <w:p>
            <w:r/>
            <w:r>
              <w:rPr>
                <w:color w:val="363B3B"/>
                <w:sz w:val="18"/>
              </w:rPr>
              <w:t>5.8</w:t>
            </w:r>
          </w:p>
        </w:tc>
      </w:tr>
      <w:tr>
        <w:tc>
          <w:tcPr>
            <w:tcW w:type="dxa" w:w="3024"/>
          </w:tcPr>
          <w:p>
            <w:r/>
            <w:r>
              <w:rPr>
                <w:color w:val="363B3B"/>
                <w:sz w:val="18"/>
              </w:rPr>
              <w:t>Headache</w:t>
            </w:r>
          </w:p>
        </w:tc>
        <w:tc>
          <w:tcPr>
            <w:tcW w:type="dxa" w:w="3024"/>
          </w:tcPr>
          <w:p>
            <w:r/>
            <w:r>
              <w:rPr>
                <w:color w:val="363B3B"/>
                <w:sz w:val="18"/>
              </w:rPr>
              <w:t>4.7</w:t>
            </w:r>
          </w:p>
        </w:tc>
        <w:tc>
          <w:tcPr>
            <w:tcW w:type="dxa" w:w="3024"/>
          </w:tcPr>
          <w:p>
            <w:r/>
            <w:r>
              <w:rPr>
                <w:color w:val="363B3B"/>
                <w:sz w:val="18"/>
              </w:rPr>
              <w:t>4.1</w:t>
            </w:r>
          </w:p>
        </w:tc>
      </w:tr>
      <w:tr>
        <w:tc>
          <w:tcPr>
            <w:tcW w:type="dxa" w:w="3024"/>
            <w:shd w:fill="F8F8F8"/>
          </w:tcPr>
          <w:p>
            <w:r/>
            <w:r>
              <w:rPr>
                <w:color w:val="363B3B"/>
                <w:sz w:val="18"/>
              </w:rPr>
              <w:t>Acne</w:t>
            </w:r>
          </w:p>
        </w:tc>
        <w:tc>
          <w:tcPr>
            <w:tcW w:type="dxa" w:w="3024"/>
            <w:shd w:fill="F8F8F8"/>
          </w:tcPr>
          <w:p>
            <w:r/>
            <w:r>
              <w:rPr>
                <w:color w:val="363B3B"/>
                <w:sz w:val="18"/>
              </w:rPr>
              <w:t>3.9</w:t>
            </w:r>
          </w:p>
        </w:tc>
        <w:tc>
          <w:tcPr>
            <w:tcW w:type="dxa" w:w="3024"/>
            <w:shd w:fill="F8F8F8"/>
          </w:tcPr>
          <w:p>
            <w:r/>
            <w:r>
              <w:rPr>
                <w:color w:val="363B3B"/>
                <w:sz w:val="18"/>
              </w:rPr>
              <w:t>0.8</w:t>
            </w:r>
          </w:p>
        </w:tc>
      </w:tr>
      <w:tr>
        <w:tc>
          <w:tcPr>
            <w:tcW w:type="dxa" w:w="3024"/>
          </w:tcPr>
          <w:p>
            <w:r/>
            <w:r>
              <w:rPr>
                <w:color w:val="363B3B"/>
                <w:sz w:val="18"/>
              </w:rPr>
              <w:t>Diarrhoea</w:t>
            </w:r>
          </w:p>
        </w:tc>
        <w:tc>
          <w:tcPr>
            <w:tcW w:type="dxa" w:w="3024"/>
          </w:tcPr>
          <w:p>
            <w:r/>
            <w:r>
              <w:rPr>
                <w:color w:val="363B3B"/>
                <w:sz w:val="18"/>
              </w:rPr>
              <w:t>3.1</w:t>
            </w:r>
          </w:p>
        </w:tc>
        <w:tc>
          <w:tcPr>
            <w:tcW w:type="dxa" w:w="3024"/>
          </w:tcPr>
          <w:p>
            <w:r/>
            <w:r>
              <w:rPr>
                <w:color w:val="363B3B"/>
                <w:sz w:val="18"/>
              </w:rPr>
              <w:t>2.4</w:t>
            </w:r>
          </w:p>
        </w:tc>
      </w:tr>
      <w:tr>
        <w:tc>
          <w:tcPr>
            <w:tcW w:type="dxa" w:w="3024"/>
            <w:shd w:fill="F8F8F8"/>
          </w:tcPr>
          <w:p>
            <w:r/>
            <w:r>
              <w:rPr>
                <w:color w:val="363B3B"/>
                <w:sz w:val="18"/>
              </w:rPr>
              <w:t>Herpes zoster</w:t>
            </w:r>
          </w:p>
        </w:tc>
        <w:tc>
          <w:tcPr>
            <w:tcW w:type="dxa" w:w="3024"/>
            <w:shd w:fill="F8F8F8"/>
          </w:tcPr>
          <w:p>
            <w:r/>
            <w:r>
              <w:rPr>
                <w:color w:val="363B3B"/>
                <w:sz w:val="18"/>
              </w:rPr>
              <w:t>1.4</w:t>
            </w:r>
          </w:p>
        </w:tc>
        <w:tc>
          <w:tcPr>
            <w:tcW w:type="dxa" w:w="3024"/>
            <w:shd w:fill="F8F8F8"/>
          </w:tcPr>
          <w:p>
            <w:r/>
            <w:r>
              <w:rPr>
                <w:color w:val="363B3B"/>
                <w:sz w:val="18"/>
              </w:rPr>
              <w:t>0.6</w:t>
            </w:r>
          </w:p>
        </w:tc>
      </w:tr>
      <w:tr>
        <w:tc>
          <w:tcPr>
            <w:tcW w:type="dxa" w:w="3024"/>
          </w:tcPr>
          <w:p>
            <w:r/>
            <w:r>
              <w:rPr>
                <w:color w:val="363B3B"/>
                <w:sz w:val="18"/>
              </w:rPr>
              <w:t>CPK elevation (&gt;5× ULN)</w:t>
            </w:r>
          </w:p>
        </w:tc>
        <w:tc>
          <w:tcPr>
            <w:tcW w:type="dxa" w:w="3024"/>
          </w:tcPr>
          <w:p>
            <w:r/>
            <w:r>
              <w:rPr>
                <w:color w:val="363B3B"/>
                <w:sz w:val="18"/>
              </w:rPr>
              <w:t>1.2</w:t>
            </w:r>
          </w:p>
        </w:tc>
        <w:tc>
          <w:tcPr>
            <w:tcW w:type="dxa" w:w="3024"/>
          </w:tcPr>
          <w:p>
            <w:r/>
            <w:r>
              <w:rPr>
                <w:color w:val="363B3B"/>
                <w:sz w:val="18"/>
              </w:rPr>
              <w:t>0.5</w:t>
            </w:r>
          </w:p>
        </w:tc>
      </w:tr>
      <w:tr>
        <w:tc>
          <w:tcPr>
            <w:tcW w:type="dxa" w:w="3024"/>
            <w:shd w:fill="F8F8F8"/>
          </w:tcPr>
          <w:p>
            <w:r/>
            <w:r>
              <w:rPr>
                <w:color w:val="363B3B"/>
                <w:sz w:val="18"/>
              </w:rPr>
              <w:t>Folliculitis</w:t>
            </w:r>
          </w:p>
        </w:tc>
        <w:tc>
          <w:tcPr>
            <w:tcW w:type="dxa" w:w="3024"/>
            <w:shd w:fill="F8F8F8"/>
          </w:tcPr>
          <w:p>
            <w:r/>
            <w:r>
              <w:rPr>
                <w:color w:val="363B3B"/>
                <w:sz w:val="18"/>
              </w:rPr>
              <w:t>1.1</w:t>
            </w:r>
          </w:p>
        </w:tc>
        <w:tc>
          <w:tcPr>
            <w:tcW w:type="dxa" w:w="3024"/>
            <w:shd w:fill="F8F8F8"/>
          </w:tcPr>
          <w:p>
            <w:r/>
            <w:r>
              <w:rPr>
                <w:color w:val="363B3B"/>
                <w:sz w:val="18"/>
              </w:rPr>
              <w:t>0.4</w:t>
            </w:r>
          </w:p>
        </w:tc>
      </w:tr>
      <w:tr>
        <w:tc>
          <w:tcPr>
            <w:tcW w:type="dxa" w:w="3024"/>
          </w:tcPr>
          <w:p>
            <w:r/>
            <w:r>
              <w:rPr>
                <w:color w:val="363B3B"/>
                <w:sz w:val="18"/>
              </w:rPr>
              <w:t>ALT elevation (&gt;3× ULN)</w:t>
            </w:r>
          </w:p>
        </w:tc>
        <w:tc>
          <w:tcPr>
            <w:tcW w:type="dxa" w:w="3024"/>
          </w:tcPr>
          <w:p>
            <w:r/>
            <w:r>
              <w:rPr>
                <w:color w:val="363B3B"/>
                <w:sz w:val="18"/>
              </w:rPr>
              <w:t>0.8</w:t>
            </w:r>
          </w:p>
        </w:tc>
        <w:tc>
          <w:tcPr>
            <w:tcW w:type="dxa" w:w="3024"/>
          </w:tcPr>
          <w:p>
            <w:r/>
            <w:r>
              <w:rPr>
                <w:color w:val="363B3B"/>
                <w:sz w:val="18"/>
              </w:rPr>
              <w:t>0.4</w:t>
            </w:r>
          </w:p>
        </w:tc>
      </w:tr>
    </w:tbl>
    <w:p>
      <w:pPr>
        <w:jc w:val="center"/>
      </w:pPr>
      <w:r>
        <w:rPr>
          <w:color w:val="CCCCCC"/>
          <w:sz w:val="16"/>
        </w:rPr>
        <w:t>────────────────────────────────────────────────────────────</w:t>
      </w:r>
    </w:p>
    <w:p>
      <w:pPr>
        <w:pStyle w:val="Heading3"/>
      </w:pPr>
      <w:r>
        <w:rPr>
          <w:color w:val="D4851F"/>
        </w:rPr>
        <w:t>Section 5 — Special populations (two-column) | highlighted background</w:t>
      </w:r>
    </w:p>
    <w:p>
      <w:r>
        <w:rPr>
          <w:b/>
        </w:rPr>
        <w:t>Block: columns-teaser</w:t>
      </w:r>
      <w:r>
        <w:rPr>
          <w:color w:val="666666"/>
        </w:rPr>
        <w:t xml:space="preserve">  |  Section metadata: Style: highlight</w:t>
      </w:r>
    </w:p>
    <w:p/>
    <w:p>
      <w:pPr>
        <w:jc w:val="center"/>
      </w:pPr>
      <w:r>
        <w:drawing>
          <wp:inline xmlns:a="http://schemas.openxmlformats.org/drawingml/2006/main" xmlns:pic="http://schemas.openxmlformats.org/drawingml/2006/picture">
            <wp:extent cx="3200400" cy="2389632"/>
            <wp:docPr id="13" name="Picture 13"/>
            <wp:cNvGraphicFramePr>
              <a:graphicFrameLocks noChangeAspect="1"/>
            </wp:cNvGraphicFramePr>
            <a:graphic>
              <a:graphicData uri="http://schemas.openxmlformats.org/drawingml/2006/picture">
                <pic:pic>
                  <pic:nvPicPr>
                    <pic:cNvPr id="0" name="columns-special-pops.jpeg"/>
                    <pic:cNvPicPr/>
                  </pic:nvPicPr>
                  <pic:blipFill>
                    <a:blip r:embed="rId21"/>
                    <a:stretch>
                      <a:fillRect/>
                    </a:stretch>
                  </pic:blipFill>
                  <pic:spPr>
                    <a:xfrm>
                      <a:off x="0" y="0"/>
                      <a:ext cx="3200400" cy="2389632"/>
                    </a:xfrm>
                    <a:prstGeom prst="rect"/>
                  </pic:spPr>
                </pic:pic>
              </a:graphicData>
            </a:graphic>
          </wp:inline>
        </w:drawing>
      </w:r>
    </w:p>
    <w:p>
      <w:pPr>
        <w:jc w:val="center"/>
      </w:pPr>
      <w:r>
        <w:rPr>
          <w:color w:val="005599"/>
          <w:sz w:val="16"/>
          <w:u w:val="single"/>
        </w:rPr>
        <w:t>https://lumivex-images.pages.dev/columns-special-pops.jpeg</w:t>
      </w:r>
    </w:p>
    <w:p>
      <w:r>
        <w:rPr>
          <w:b/>
        </w:rPr>
        <w:t xml:space="preserve">Heading: </w:t>
      </w:r>
      <w:r>
        <w:t>Special populations</w:t>
      </w:r>
    </w:p>
    <w:p>
      <w:r>
        <w:rPr>
          <w:b/>
        </w:rPr>
        <w:t xml:space="preserve">Body text: </w:t>
      </w:r>
      <w:r>
        <w:t>Renal impairment: No dose adjustment is required for patients with mild or moderate renal impairment (eGFR ≥30 mL/min/1.73m²). Lumvecitinib has not been studied in patients with severe renal impairment (eGFR &lt;30 mL/min/1.73m²).⁴</w:t>
        <w:br/>
        <w:br/>
        <w:t>Hepatic impairment: No dose adjustment is required in mild hepatic impairment (Child-Pugh A). Lumvecitinib is not recommended in moderate (Child-Pugh B) or severe (Child-Pugh C) hepatic impairment.⁴</w:t>
        <w:br/>
        <w:br/>
        <w:t>Elderly (≥65 years): No dose adjustment is required. Clinical experience in patients aged ≥75 years is limited; use with caution in this population.⁴</w:t>
      </w:r>
    </w:p>
    <w:p>
      <w:pPr>
        <w:jc w:val="center"/>
      </w:pPr>
      <w:r>
        <w:rPr>
          <w:color w:val="CCCCCC"/>
          <w:sz w:val="16"/>
        </w:rPr>
        <w:t>────────────────────────────────────────────────────────────</w:t>
      </w:r>
    </w:p>
    <w:p>
      <w:pPr>
        <w:pStyle w:val="Heading3"/>
      </w:pPr>
      <w:r>
        <w:rPr>
          <w:color w:val="D4851F"/>
        </w:rPr>
        <w:t>Section 6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Safety | LUMIVEX® (lumvecitinib) | Adverse Events &amp; Monitoring | AstraZeneca UK</w:t>
      </w:r>
    </w:p>
    <w:p>
      <w:r>
        <w:rPr>
          <w:b w:val="0"/>
          <w:i w:val="0"/>
          <w:color w:val="363B3B"/>
          <w:sz w:val="20"/>
        </w:rPr>
        <w:t>Description: Review the safety profile of LUMIVEX® (lumvecitinib) including pooled adverse event data, infection rates, haematological safety, and long-term data up to 148 weeks in plaque psoriasis.</w:t>
      </w:r>
    </w:p>
    <w:p>
      <w:r>
        <w:br w:type="page"/>
      </w:r>
    </w:p>
    <w:p>
      <w:pPr>
        <w:pStyle w:val="Heading2"/>
      </w:pPr>
      <w:r>
        <w:rPr>
          <w:color w:val="830051"/>
        </w:rPr>
        <w:t>PAGE 4: Dosing &amp; Administration</w:t>
      </w:r>
    </w:p>
    <w:p>
      <w:r>
        <w:rPr>
          <w:b/>
        </w:rPr>
        <w:t>URL path: /lumivex/dosing</w:t>
      </w:r>
    </w:p>
    <w:p>
      <w:pPr>
        <w:jc w:val="center"/>
      </w:pPr>
      <w:r>
        <w:rPr>
          <w:color w:val="CCCCCC"/>
          <w:sz w:val="16"/>
        </w:rPr>
        <w:t>────────────────────────────────────────────────────────────</w:t>
      </w:r>
    </w:p>
    <w:p>
      <w:pPr>
        <w:pStyle w:val="Heading3"/>
      </w:pPr>
      <w:r>
        <w:rPr>
          <w:color w:val="D4851F"/>
        </w:rPr>
        <w:t>Section 1 — Page header (text only, no image)</w:t>
      </w:r>
    </w:p>
    <w:p>
      <w:r>
        <w:rPr>
          <w:b/>
        </w:rPr>
        <w:t>Block: title</w:t>
      </w:r>
    </w:p>
    <w:p>
      <w:r>
        <w:rPr>
          <w:b/>
        </w:rPr>
        <w:t xml:space="preserve">Heading: </w:t>
      </w:r>
      <w:r>
        <w:t>Dosing and administration</w:t>
      </w:r>
    </w:p>
    <w:p>
      <w:r>
        <w:rPr>
          <w:b/>
        </w:rPr>
        <w:t xml:space="preserve">Body text: </w:t>
      </w:r>
      <w:r>
        <w:t>Lumvecitinib is prescribed at a fixed dose of 6 mg once daily — a simple oral regimen with no titration, no injection, and no fasting requirement.⁴</w:t>
      </w:r>
    </w:p>
    <w:p>
      <w:pPr>
        <w:jc w:val="center"/>
      </w:pPr>
      <w:r>
        <w:rPr>
          <w:color w:val="CCCCCC"/>
          <w:sz w:val="16"/>
        </w:rPr>
        <w:t>────────────────────────────────────────────────────────────</w:t>
      </w:r>
    </w:p>
    <w:p>
      <w:pPr>
        <w:pStyle w:val="Heading3"/>
      </w:pPr>
      <w:r>
        <w:rPr>
          <w:color w:val="D4851F"/>
        </w:rPr>
        <w:t>Section 2 — How to take LUMIVEX® (two-column) | light background</w:t>
      </w:r>
    </w:p>
    <w:p>
      <w:r>
        <w:rPr>
          <w:b/>
        </w:rPr>
        <w:t>Block: columns-teaser</w:t>
      </w:r>
      <w:r>
        <w:rPr>
          <w:color w:val="666666"/>
        </w:rPr>
        <w:t xml:space="preserve">  |  Section metadata: Style: light</w:t>
      </w:r>
    </w:p>
    <w:p/>
    <w:p>
      <w:pPr>
        <w:jc w:val="center"/>
      </w:pPr>
      <w:r>
        <w:drawing>
          <wp:inline xmlns:a="http://schemas.openxmlformats.org/drawingml/2006/main" xmlns:pic="http://schemas.openxmlformats.org/drawingml/2006/picture">
            <wp:extent cx="3200400" cy="2389632"/>
            <wp:docPr id="14" name="Picture 14"/>
            <wp:cNvGraphicFramePr>
              <a:graphicFrameLocks noChangeAspect="1"/>
            </wp:cNvGraphicFramePr>
            <a:graphic>
              <a:graphicData uri="http://schemas.openxmlformats.org/drawingml/2006/picture">
                <pic:pic>
                  <pic:nvPicPr>
                    <pic:cNvPr id="0" name="columns-admin.jpeg"/>
                    <pic:cNvPicPr/>
                  </pic:nvPicPr>
                  <pic:blipFill>
                    <a:blip r:embed="rId22"/>
                    <a:stretch>
                      <a:fillRect/>
                    </a:stretch>
                  </pic:blipFill>
                  <pic:spPr>
                    <a:xfrm>
                      <a:off x="0" y="0"/>
                      <a:ext cx="3200400" cy="2389632"/>
                    </a:xfrm>
                    <a:prstGeom prst="rect"/>
                  </pic:spPr>
                </pic:pic>
              </a:graphicData>
            </a:graphic>
          </wp:inline>
        </w:drawing>
      </w:r>
    </w:p>
    <w:p>
      <w:pPr>
        <w:jc w:val="center"/>
      </w:pPr>
      <w:r>
        <w:rPr>
          <w:color w:val="005599"/>
          <w:sz w:val="16"/>
          <w:u w:val="single"/>
        </w:rPr>
        <w:t>https://lumivex-images.pages.dev/columns-admin.jpeg</w:t>
      </w:r>
    </w:p>
    <w:p>
      <w:r>
        <w:rPr>
          <w:b/>
        </w:rPr>
        <w:t xml:space="preserve">Heading: </w:t>
      </w:r>
      <w:r>
        <w:t>How to take LUMIVEX®</w:t>
      </w:r>
    </w:p>
    <w:p>
      <w:r>
        <w:rPr>
          <w:b/>
        </w:rPr>
        <w:t xml:space="preserve">Body text: </w:t>
      </w:r>
      <w:r>
        <w:t>Lumvecitinib 6 mg should be taken once daily, with or without food. The tablet should be swallowed whole with water.⁴</w:t>
        <w:br/>
        <w:br/>
        <w:t>No dose titration is required. Treatment may be started at the full therapeutic dose of 6 mg from Day 1.⁴</w:t>
        <w:br/>
        <w:br/>
        <w:t>If a dose is missed, the patient should take it as soon as they remember, unless it is almost time for the next dose. A double dose should not be taken to make up for a missed dose.⁴</w:t>
      </w:r>
    </w:p>
    <w:p>
      <w:pPr>
        <w:jc w:val="center"/>
      </w:pPr>
      <w:r>
        <w:rPr>
          <w:color w:val="CCCCCC"/>
          <w:sz w:val="16"/>
        </w:rPr>
        <w:t>────────────────────────────────────────────────────────────</w:t>
      </w:r>
    </w:p>
    <w:p>
      <w:pPr>
        <w:pStyle w:val="Heading3"/>
      </w:pPr>
      <w:r>
        <w:rPr>
          <w:color w:val="D4851F"/>
        </w:rPr>
        <w:t>Section 3 — Baseline and ongoing monitoring (two-column)</w:t>
      </w:r>
    </w:p>
    <w:p>
      <w:r>
        <w:rPr>
          <w:b/>
        </w:rPr>
        <w:t>Block: columns-teaser</w:t>
      </w:r>
    </w:p>
    <w:p/>
    <w:p>
      <w:pPr>
        <w:jc w:val="center"/>
      </w:pPr>
      <w:r>
        <w:drawing>
          <wp:inline xmlns:a="http://schemas.openxmlformats.org/drawingml/2006/main" xmlns:pic="http://schemas.openxmlformats.org/drawingml/2006/picture">
            <wp:extent cx="3200400" cy="2389632"/>
            <wp:docPr id="15" name="Picture 15"/>
            <wp:cNvGraphicFramePr>
              <a:graphicFrameLocks noChangeAspect="1"/>
            </wp:cNvGraphicFramePr>
            <a:graphic>
              <a:graphicData uri="http://schemas.openxmlformats.org/drawingml/2006/picture">
                <pic:pic>
                  <pic:nvPicPr>
                    <pic:cNvPr id="0" name="columns-monitoring.jpeg"/>
                    <pic:cNvPicPr/>
                  </pic:nvPicPr>
                  <pic:blipFill>
                    <a:blip r:embed="rId23"/>
                    <a:stretch>
                      <a:fillRect/>
                    </a:stretch>
                  </pic:blipFill>
                  <pic:spPr>
                    <a:xfrm>
                      <a:off x="0" y="0"/>
                      <a:ext cx="3200400" cy="2389632"/>
                    </a:xfrm>
                    <a:prstGeom prst="rect"/>
                  </pic:spPr>
                </pic:pic>
              </a:graphicData>
            </a:graphic>
          </wp:inline>
        </w:drawing>
      </w:r>
    </w:p>
    <w:p>
      <w:pPr>
        <w:jc w:val="center"/>
      </w:pPr>
      <w:r>
        <w:rPr>
          <w:color w:val="005599"/>
          <w:sz w:val="16"/>
          <w:u w:val="single"/>
        </w:rPr>
        <w:t>https://lumivex-images.pages.dev/columns-monitoring.jpeg</w:t>
      </w:r>
    </w:p>
    <w:p>
      <w:r>
        <w:rPr>
          <w:b/>
        </w:rPr>
        <w:t xml:space="preserve">Heading: </w:t>
      </w:r>
      <w:r>
        <w:t>Monitoring recommendations</w:t>
      </w:r>
    </w:p>
    <w:p>
      <w:r>
        <w:rPr>
          <w:b/>
        </w:rPr>
        <w:t xml:space="preserve">Body text: </w:t>
      </w:r>
      <w:r>
        <w:t>Prior to initiation: Evaluate for tuberculosis infection. Perform complete blood count (including absolute lymphocyte count, absolute neutrophil count, haemoglobin) and liver function tests. Ensure vaccinations are up to date, including herpes zoster vaccination where appropriate.⁴</w:t>
        <w:br/>
        <w:br/>
        <w:t>During treatment: Monitor complete blood count and liver function tests periodically. Assess lipid parameters 12 weeks after initiation. Monitor for signs and symptoms of infection.⁴</w:t>
        <w:br/>
        <w:br/>
        <w:t>Interruption: If a serious infection develops, interrupt treatment until the infection is controlled. Do not initiate treatment in patients with active serious infections.⁴</w:t>
      </w:r>
    </w:p>
    <w:p>
      <w:pPr>
        <w:jc w:val="center"/>
      </w:pPr>
      <w:r>
        <w:rPr>
          <w:color w:val="CCCCCC"/>
          <w:sz w:val="16"/>
        </w:rPr>
        <w:t>────────────────────────────────────────────────────────────</w:t>
      </w:r>
    </w:p>
    <w:p>
      <w:pPr>
        <w:pStyle w:val="Heading3"/>
      </w:pPr>
      <w:r>
        <w:rPr>
          <w:color w:val="D4851F"/>
        </w:rPr>
        <w:t>Section 4 — Use with other treatments (centred text) | highlighted background</w:t>
      </w:r>
    </w:p>
    <w:p>
      <w:r>
        <w:rPr>
          <w:b/>
        </w:rPr>
        <w:t>Block: introduction</w:t>
      </w:r>
      <w:r>
        <w:rPr>
          <w:color w:val="666666"/>
        </w:rPr>
        <w:t xml:space="preserve">  |  Section metadata: Style: highlight</w:t>
      </w:r>
    </w:p>
    <w:p>
      <w:r>
        <w:rPr>
          <w:b/>
        </w:rPr>
        <w:t xml:space="preserve">Heading: </w:t>
      </w:r>
      <w:r>
        <w:t>Use with other psoriasis treatments</w:t>
      </w:r>
    </w:p>
    <w:p>
      <w:r>
        <w:rPr>
          <w:b/>
        </w:rPr>
        <w:t xml:space="preserve">Body text: </w:t>
      </w:r>
      <w:r>
        <w:t>Lumvecitinib can be used as monotherapy or in combination with topical therapies (corticosteroids, vitamin D analogues). It is not recommended in combination with biological immunomodulators or other potent systemic immunosuppressants (e.g. ciclosporin, methotrexate at immunosuppressive doses) due to the possibility of additive immunosuppression. Avoid concomitant use with strong CYP3A4 inducers (e.g. rifampicin, phenytoin, carbamazepine, St John's Wort).⁴</w:t>
      </w:r>
    </w:p>
    <w:p>
      <w:pPr>
        <w:jc w:val="center"/>
      </w:pPr>
      <w:r>
        <w:rPr>
          <w:color w:val="CCCCCC"/>
          <w:sz w:val="16"/>
        </w:rPr>
        <w:t>────────────────────────────────────────────────────────────</w:t>
      </w:r>
    </w:p>
    <w:p>
      <w:pPr>
        <w:pStyle w:val="Heading3"/>
      </w:pPr>
      <w:r>
        <w:rPr>
          <w:color w:val="D4851F"/>
        </w:rPr>
        <w:t>Section 5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Dosing | LUMIVEX® (lumvecitinib) | Administration &amp; Monitoring | AstraZeneca UK</w:t>
      </w:r>
    </w:p>
    <w:p>
      <w:r>
        <w:rPr>
          <w:b w:val="0"/>
          <w:i w:val="0"/>
          <w:color w:val="363B3B"/>
          <w:sz w:val="20"/>
        </w:rPr>
        <w:t>Description: Dosing and administration guidance for LUMIVEX® (lumvecitinib) 6 mg once-daily oral tablet, including monitoring recommendations and concomitant therapy guidance for plaque psoriasis.</w:t>
      </w:r>
    </w:p>
    <w:p>
      <w:r>
        <w:br w:type="page"/>
      </w:r>
    </w:p>
    <w:p>
      <w:pPr>
        <w:pStyle w:val="Heading2"/>
      </w:pPr>
      <w:r>
        <w:rPr>
          <w:color w:val="830051"/>
        </w:rPr>
        <w:t>PAGE 5: Mechanism of Action</w:t>
      </w:r>
    </w:p>
    <w:p>
      <w:r>
        <w:rPr>
          <w:b/>
        </w:rPr>
        <w:t>URL path: /lumivex/mechanism-of-action</w:t>
      </w:r>
    </w:p>
    <w:p>
      <w:pPr>
        <w:jc w:val="center"/>
      </w:pPr>
      <w:r>
        <w:rPr>
          <w:color w:val="CCCCCC"/>
          <w:sz w:val="16"/>
        </w:rPr>
        <w:t>────────────────────────────────────────────────────────────</w:t>
      </w:r>
    </w:p>
    <w:p>
      <w:pPr>
        <w:pStyle w:val="Heading3"/>
      </w:pPr>
      <w:r>
        <w:rPr>
          <w:color w:val="D4851F"/>
        </w:rPr>
        <w:t>Section 1 — Hero (full-width image with text overlay)</w:t>
      </w:r>
    </w:p>
    <w:p>
      <w:r>
        <w:rPr>
          <w:b/>
        </w:rPr>
        <w:t>Block: hero-teaser</w:t>
      </w:r>
    </w:p>
    <w:p/>
    <w:p>
      <w:pPr>
        <w:jc w:val="center"/>
      </w:pPr>
      <w:r>
        <w:drawing>
          <wp:inline xmlns:a="http://schemas.openxmlformats.org/drawingml/2006/main" xmlns:pic="http://schemas.openxmlformats.org/drawingml/2006/picture">
            <wp:extent cx="5029200" cy="2806995"/>
            <wp:docPr id="16" name="Picture 16"/>
            <wp:cNvGraphicFramePr>
              <a:graphicFrameLocks noChangeAspect="1"/>
            </wp:cNvGraphicFramePr>
            <a:graphic>
              <a:graphicData uri="http://schemas.openxmlformats.org/drawingml/2006/picture">
                <pic:pic>
                  <pic:nvPicPr>
                    <pic:cNvPr id="0" name="hero-moa.jpeg"/>
                    <pic:cNvPicPr/>
                  </pic:nvPicPr>
                  <pic:blipFill>
                    <a:blip r:embed="rId24"/>
                    <a:stretch>
                      <a:fillRect/>
                    </a:stretch>
                  </pic:blipFill>
                  <pic:spPr>
                    <a:xfrm>
                      <a:off x="0" y="0"/>
                      <a:ext cx="5029200" cy="2806995"/>
                    </a:xfrm>
                    <a:prstGeom prst="rect"/>
                  </pic:spPr>
                </pic:pic>
              </a:graphicData>
            </a:graphic>
          </wp:inline>
        </w:drawing>
      </w:r>
    </w:p>
    <w:p>
      <w:pPr>
        <w:jc w:val="center"/>
      </w:pPr>
      <w:r>
        <w:rPr>
          <w:color w:val="005599"/>
          <w:sz w:val="16"/>
          <w:u w:val="single"/>
        </w:rPr>
        <w:t>https://lumivex-images.pages.dev/hero-moa.jpeg</w:t>
      </w:r>
    </w:p>
    <w:p>
      <w:r>
        <w:rPr>
          <w:b/>
        </w:rPr>
        <w:t xml:space="preserve">Heading: </w:t>
      </w:r>
      <w:r>
        <w:t>How LUMIVEX® works</w:t>
      </w:r>
    </w:p>
    <w:p>
      <w:r>
        <w:rPr>
          <w:b/>
        </w:rPr>
        <w:t xml:space="preserve">Body text: </w:t>
      </w:r>
      <w:r>
        <w:t>Lumvecitinib is a selective allosteric TYK2 inhibitor that targets the pseudokinase (JH2) domain — blocking the IL-23, IL-12, and type I IFN signalling pathways that drive psoriatic inflammation, while preserving JAK1/2/3-mediated immune homeostasis.⁴</w:t>
      </w:r>
    </w:p>
    <w:p>
      <w:pPr>
        <w:jc w:val="center"/>
      </w:pPr>
      <w:r>
        <w:rPr>
          <w:color w:val="CCCCCC"/>
          <w:sz w:val="16"/>
        </w:rPr>
        <w:t>────────────────────────────────────────────────────────────</w:t>
      </w:r>
    </w:p>
    <w:p>
      <w:pPr>
        <w:pStyle w:val="Heading3"/>
      </w:pPr>
      <w:r>
        <w:rPr>
          <w:color w:val="D4851F"/>
        </w:rPr>
        <w:t>Section 2 — The psoriatic inflammatory cascade (two-column) | light background</w:t>
      </w:r>
    </w:p>
    <w:p>
      <w:r>
        <w:rPr>
          <w:b/>
        </w:rPr>
        <w:t>Block: columns-teaser</w:t>
      </w:r>
      <w:r>
        <w:rPr>
          <w:color w:val="666666"/>
        </w:rPr>
        <w:t xml:space="preserve">  |  Section metadata: Style: light</w:t>
      </w:r>
    </w:p>
    <w:p/>
    <w:p>
      <w:pPr>
        <w:jc w:val="center"/>
      </w:pPr>
      <w:r>
        <w:drawing>
          <wp:inline xmlns:a="http://schemas.openxmlformats.org/drawingml/2006/main" xmlns:pic="http://schemas.openxmlformats.org/drawingml/2006/picture">
            <wp:extent cx="3200400" cy="2389632"/>
            <wp:docPr id="17" name="Picture 17"/>
            <wp:cNvGraphicFramePr>
              <a:graphicFrameLocks noChangeAspect="1"/>
            </wp:cNvGraphicFramePr>
            <a:graphic>
              <a:graphicData uri="http://schemas.openxmlformats.org/drawingml/2006/picture">
                <pic:pic>
                  <pic:nvPicPr>
                    <pic:cNvPr id="0" name="psoriatic-inflammation.jpeg"/>
                    <pic:cNvPicPr/>
                  </pic:nvPicPr>
                  <pic:blipFill>
                    <a:blip r:embed="rId25"/>
                    <a:stretch>
                      <a:fillRect/>
                    </a:stretch>
                  </pic:blipFill>
                  <pic:spPr>
                    <a:xfrm>
                      <a:off x="0" y="0"/>
                      <a:ext cx="3200400" cy="2389632"/>
                    </a:xfrm>
                    <a:prstGeom prst="rect"/>
                  </pic:spPr>
                </pic:pic>
              </a:graphicData>
            </a:graphic>
          </wp:inline>
        </w:drawing>
      </w:r>
    </w:p>
    <w:p>
      <w:pPr>
        <w:jc w:val="center"/>
      </w:pPr>
      <w:r>
        <w:rPr>
          <w:color w:val="005599"/>
          <w:sz w:val="16"/>
          <w:u w:val="single"/>
        </w:rPr>
        <w:t>https://lumivex-images.pages.dev/psoriatic-inflammation.jpeg</w:t>
      </w:r>
    </w:p>
    <w:p>
      <w:r>
        <w:rPr>
          <w:b/>
        </w:rPr>
        <w:t xml:space="preserve">Heading: </w:t>
      </w:r>
      <w:r>
        <w:t>The psoriatic inflammatory cascade</w:t>
      </w:r>
    </w:p>
    <w:p>
      <w:r>
        <w:rPr>
          <w:b/>
        </w:rPr>
        <w:t xml:space="preserve">Body text: </w:t>
      </w:r>
      <w:r>
        <w:t>Plaque psoriasis is driven by a dysregulated immune response in which dendritic cells produce IL-23, activating T-helper 17 (Th17) cells to release IL-17A, IL-17F, and IL-22. These cytokines drive keratinocyte hyperproliferation, neutrophil recruitment, and the characteristic epidermal thickening, scaling, and erythema of psoriatic plaques. IL-12 further promotes Th1 cell differentiation and IFN-γ production, amplifying the inflammatory loop.⁴</w:t>
      </w:r>
    </w:p>
    <w:p>
      <w:pPr>
        <w:jc w:val="center"/>
      </w:pPr>
      <w:r>
        <w:rPr>
          <w:color w:val="CCCCCC"/>
          <w:sz w:val="16"/>
        </w:rPr>
        <w:t>────────────────────────────────────────────────────────────</w:t>
      </w:r>
    </w:p>
    <w:p>
      <w:pPr>
        <w:pStyle w:val="Heading3"/>
      </w:pPr>
      <w:r>
        <w:rPr>
          <w:color w:val="D4851F"/>
        </w:rPr>
        <w:t>Section 3 — The IL-23/TYK2 signalling axis (two-column)</w:t>
      </w:r>
    </w:p>
    <w:p>
      <w:r>
        <w:rPr>
          <w:b/>
        </w:rPr>
        <w:t>Block: columns-teaser</w:t>
      </w:r>
    </w:p>
    <w:p/>
    <w:p>
      <w:pPr>
        <w:jc w:val="center"/>
      </w:pPr>
      <w:r>
        <w:drawing>
          <wp:inline xmlns:a="http://schemas.openxmlformats.org/drawingml/2006/main" xmlns:pic="http://schemas.openxmlformats.org/drawingml/2006/picture">
            <wp:extent cx="3200400" cy="2389632"/>
            <wp:docPr id="18" name="Picture 18"/>
            <wp:cNvGraphicFramePr>
              <a:graphicFrameLocks noChangeAspect="1"/>
            </wp:cNvGraphicFramePr>
            <a:graphic>
              <a:graphicData uri="http://schemas.openxmlformats.org/drawingml/2006/picture">
                <pic:pic>
                  <pic:nvPicPr>
                    <pic:cNvPr id="0" name="tyk2-il23-cascade.jpeg"/>
                    <pic:cNvPicPr/>
                  </pic:nvPicPr>
                  <pic:blipFill>
                    <a:blip r:embed="rId26"/>
                    <a:stretch>
                      <a:fillRect/>
                    </a:stretch>
                  </pic:blipFill>
                  <pic:spPr>
                    <a:xfrm>
                      <a:off x="0" y="0"/>
                      <a:ext cx="3200400" cy="2389632"/>
                    </a:xfrm>
                    <a:prstGeom prst="rect"/>
                  </pic:spPr>
                </pic:pic>
              </a:graphicData>
            </a:graphic>
          </wp:inline>
        </w:drawing>
      </w:r>
    </w:p>
    <w:p>
      <w:pPr>
        <w:jc w:val="center"/>
      </w:pPr>
      <w:r>
        <w:rPr>
          <w:color w:val="005599"/>
          <w:sz w:val="16"/>
          <w:u w:val="single"/>
        </w:rPr>
        <w:t>https://lumivex-images.pages.dev/tyk2-il23-cascade.jpeg</w:t>
      </w:r>
    </w:p>
    <w:p>
      <w:r>
        <w:rPr>
          <w:b/>
        </w:rPr>
        <w:t xml:space="preserve">Heading: </w:t>
      </w:r>
      <w:r>
        <w:t>TYK2: a central kinase in psoriatic signalling</w:t>
      </w:r>
    </w:p>
    <w:p>
      <w:r>
        <w:rPr>
          <w:b/>
        </w:rPr>
        <w:t xml:space="preserve">Body text: </w:t>
      </w:r>
      <w:r>
        <w:t>TYK2 is an intracellular kinase that mediates signal transduction downstream of the IL-23 receptor (paired with JAK2), the IL-12 receptor (paired with JAK2), and type I interferon receptors (paired with JAK1). When IL-23 binds its receptor, TYK2 phosphorylates STAT3, driving Th17 cell differentiation and IL-17 production — the central effector axis in plaque psoriasis. TYK2 genetic loss-of-function variants in humans are associated with protection from psoriasis, confirming TYK2 as a validated therapeutic target.⁴</w:t>
      </w:r>
    </w:p>
    <w:p>
      <w:pPr>
        <w:jc w:val="center"/>
      </w:pPr>
      <w:r>
        <w:rPr>
          <w:color w:val="CCCCCC"/>
          <w:sz w:val="16"/>
        </w:rPr>
        <w:t>────────────────────────────────────────────────────────────</w:t>
      </w:r>
    </w:p>
    <w:p>
      <w:pPr>
        <w:pStyle w:val="Heading3"/>
      </w:pPr>
      <w:r>
        <w:rPr>
          <w:color w:val="D4851F"/>
        </w:rPr>
        <w:t>Section 4 — Selective allosteric TYK2 inhibition (two-column) | highlighted background</w:t>
      </w:r>
    </w:p>
    <w:p>
      <w:r>
        <w:rPr>
          <w:b/>
        </w:rPr>
        <w:t>Block: columns-teaser</w:t>
      </w:r>
      <w:r>
        <w:rPr>
          <w:color w:val="666666"/>
        </w:rPr>
        <w:t xml:space="preserve">  |  Section metadata: Style: highlight</w:t>
      </w:r>
    </w:p>
    <w:p/>
    <w:p>
      <w:pPr>
        <w:jc w:val="center"/>
      </w:pPr>
      <w:r>
        <w:drawing>
          <wp:inline xmlns:a="http://schemas.openxmlformats.org/drawingml/2006/main" xmlns:pic="http://schemas.openxmlformats.org/drawingml/2006/picture">
            <wp:extent cx="3200400" cy="2389632"/>
            <wp:docPr id="19" name="Picture 19"/>
            <wp:cNvGraphicFramePr>
              <a:graphicFrameLocks noChangeAspect="1"/>
            </wp:cNvGraphicFramePr>
            <a:graphic>
              <a:graphicData uri="http://schemas.openxmlformats.org/drawingml/2006/picture">
                <pic:pic>
                  <pic:nvPicPr>
                    <pic:cNvPr id="0" name="lumivex-blockade.jpeg"/>
                    <pic:cNvPicPr/>
                  </pic:nvPicPr>
                  <pic:blipFill>
                    <a:blip r:embed="rId27"/>
                    <a:stretch>
                      <a:fillRect/>
                    </a:stretch>
                  </pic:blipFill>
                  <pic:spPr>
                    <a:xfrm>
                      <a:off x="0" y="0"/>
                      <a:ext cx="3200400" cy="2389632"/>
                    </a:xfrm>
                    <a:prstGeom prst="rect"/>
                  </pic:spPr>
                </pic:pic>
              </a:graphicData>
            </a:graphic>
          </wp:inline>
        </w:drawing>
      </w:r>
    </w:p>
    <w:p>
      <w:pPr>
        <w:jc w:val="center"/>
      </w:pPr>
      <w:r>
        <w:rPr>
          <w:color w:val="005599"/>
          <w:sz w:val="16"/>
          <w:u w:val="single"/>
        </w:rPr>
        <w:t>https://lumivex-images.pages.dev/lumivex-blockade.jpeg</w:t>
      </w:r>
    </w:p>
    <w:p>
      <w:r>
        <w:rPr>
          <w:b/>
        </w:rPr>
        <w:t xml:space="preserve">Heading: </w:t>
      </w:r>
      <w:r>
        <w:t>How lumvecitinib selectively targets TYK2</w:t>
      </w:r>
    </w:p>
    <w:p>
      <w:r>
        <w:rPr>
          <w:b/>
        </w:rPr>
        <w:t xml:space="preserve">Body text: </w:t>
      </w:r>
      <w:r>
        <w:t>Lumvecitinib binds to the pseudokinase (JH2) regulatory domain of TYK2, stabilising the enzyme in an inactive conformation. This allosteric mechanism is fundamentally different from ATP-competitive JAK inhibitors that bind the catalytic (JH1) domain shared across all four JAK family members.⁴</w:t>
        <w:br/>
        <w:br/>
        <w:t>Because the JH2 domain is structurally unique to TYK2, lumvecitinib achieves &gt;100-fold selectivity for TYK2 over JAK1, JAK2, and JAK3. This preserves JAK1-mediated cytokine signalling (e.g. IL-6, IFN-γ receptor), JAK2-mediated haematopoiesis (erythropoietin, thrombopoietin), and JAK3-mediated lymphocyte development — explaining the absence of dose-dependent cytopenias and the favourable tolerability profile observed in the LUMINANCE programme.¹⁻⁴</w:t>
      </w:r>
    </w:p>
    <w:p>
      <w:pPr>
        <w:jc w:val="center"/>
      </w:pPr>
      <w:r>
        <w:rPr>
          <w:color w:val="CCCCCC"/>
          <w:sz w:val="16"/>
        </w:rPr>
        <w:t>────────────────────────────────────────────────────────────</w:t>
      </w:r>
    </w:p>
    <w:p>
      <w:pPr>
        <w:pStyle w:val="Heading3"/>
      </w:pPr>
      <w:r>
        <w:rPr>
          <w:color w:val="D4851F"/>
        </w:rPr>
        <w:t>Section 5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Mechanism of Action | LUMIVEX® (lumvecitinib) | TYK2 Inhibition | AstraZeneca UK</w:t>
      </w:r>
    </w:p>
    <w:p>
      <w:r>
        <w:rPr>
          <w:b w:val="0"/>
          <w:i w:val="0"/>
          <w:color w:val="363B3B"/>
          <w:sz w:val="20"/>
        </w:rPr>
        <w:t>Description: Understand how LUMIVEX® (lumvecitinib) works — selective allosteric TYK2 inhibition targeting the IL-23/Th17 axis in plaque psoriasis while preserving JAK1/2/3-mediated immune homeostasis.</w:t>
      </w:r>
    </w:p>
    <w:p>
      <w:r>
        <w:br w:type="page"/>
      </w:r>
    </w:p>
    <w:p>
      <w:pPr>
        <w:pStyle w:val="Heading2"/>
      </w:pPr>
      <w:r>
        <w:rPr>
          <w:color w:val="830051"/>
        </w:rPr>
        <w:t>PAGE 6: Resources</w:t>
      </w:r>
    </w:p>
    <w:p>
      <w:r>
        <w:rPr>
          <w:b/>
        </w:rPr>
        <w:t>URL path: /lumivex/resources</w:t>
      </w:r>
    </w:p>
    <w:p>
      <w:pPr>
        <w:jc w:val="center"/>
      </w:pPr>
      <w:r>
        <w:rPr>
          <w:color w:val="CCCCCC"/>
          <w:sz w:val="16"/>
        </w:rPr>
        <w:t>────────────────────────────────────────────────────────────</w:t>
      </w:r>
    </w:p>
    <w:p>
      <w:pPr>
        <w:pStyle w:val="Heading3"/>
      </w:pPr>
      <w:r>
        <w:rPr>
          <w:color w:val="D4851F"/>
        </w:rPr>
        <w:t>Section 1 — Page header (text only, no image)</w:t>
      </w:r>
    </w:p>
    <w:p>
      <w:r>
        <w:rPr>
          <w:b/>
        </w:rPr>
        <w:t>Block: title</w:t>
      </w:r>
    </w:p>
    <w:p>
      <w:r>
        <w:rPr>
          <w:b/>
        </w:rPr>
        <w:t xml:space="preserve">Heading: </w:t>
      </w:r>
      <w:r>
        <w:t>Resources</w:t>
      </w:r>
    </w:p>
    <w:p>
      <w:r>
        <w:rPr>
          <w:b/>
        </w:rPr>
        <w:t xml:space="preserve">Body text: </w:t>
      </w:r>
      <w:r>
        <w:t>Access prescribing guides, patient materials, and clinical data summaries to support your practice.</w:t>
      </w:r>
    </w:p>
    <w:p>
      <w:pPr>
        <w:jc w:val="center"/>
      </w:pPr>
      <w:r>
        <w:rPr>
          <w:color w:val="CCCCCC"/>
          <w:sz w:val="16"/>
        </w:rPr>
        <w:t>────────────────────────────────────────────────────────────</w:t>
      </w:r>
    </w:p>
    <w:p>
      <w:pPr>
        <w:pStyle w:val="Heading3"/>
      </w:pPr>
      <w:r>
        <w:rPr>
          <w:color w:val="D4851F"/>
        </w:rPr>
        <w:t>Section 2 — Three resource cards (equal columns) | light background</w:t>
      </w:r>
    </w:p>
    <w:p>
      <w:r>
        <w:rPr>
          <w:b/>
        </w:rPr>
        <w:t>Block: cards-teaser</w:t>
      </w:r>
      <w:r>
        <w:rPr>
          <w:color w:val="666666"/>
        </w:rPr>
        <w:t xml:space="preserve">  |  Section metadata: Style: light</w:t>
      </w:r>
    </w:p>
    <w:p/>
    <w:p>
      <w:pPr>
        <w:jc w:val="center"/>
      </w:pPr>
      <w:r>
        <w:drawing>
          <wp:inline xmlns:a="http://schemas.openxmlformats.org/drawingml/2006/main" xmlns:pic="http://schemas.openxmlformats.org/drawingml/2006/picture">
            <wp:extent cx="2743200" cy="2048256"/>
            <wp:docPr id="20" name="Picture 20"/>
            <wp:cNvGraphicFramePr>
              <a:graphicFrameLocks noChangeAspect="1"/>
            </wp:cNvGraphicFramePr>
            <a:graphic>
              <a:graphicData uri="http://schemas.openxmlformats.org/drawingml/2006/picture">
                <pic:pic>
                  <pic:nvPicPr>
                    <pic:cNvPr id="0" name="card-prescribing.jpeg"/>
                    <pic:cNvPicPr/>
                  </pic:nvPicPr>
                  <pic:blipFill>
                    <a:blip r:embed="rId28"/>
                    <a:stretch>
                      <a:fillRect/>
                    </a:stretch>
                  </pic:blipFill>
                  <pic:spPr>
                    <a:xfrm>
                      <a:off x="0" y="0"/>
                      <a:ext cx="2743200" cy="2048256"/>
                    </a:xfrm>
                    <a:prstGeom prst="rect"/>
                  </pic:spPr>
                </pic:pic>
              </a:graphicData>
            </a:graphic>
          </wp:inline>
        </w:drawing>
      </w:r>
    </w:p>
    <w:p>
      <w:pPr>
        <w:jc w:val="center"/>
      </w:pPr>
      <w:r>
        <w:rPr>
          <w:color w:val="005599"/>
          <w:sz w:val="16"/>
          <w:u w:val="single"/>
        </w:rPr>
        <w:t>https://lumivex-images.pages.dev/card-prescribing.jpeg</w:t>
      </w:r>
    </w:p>
    <w:p>
      <w:r>
        <w:rPr>
          <w:b/>
        </w:rPr>
        <w:t xml:space="preserve">Card heading: </w:t>
      </w:r>
      <w:r>
        <w:t>Prescribing guide</w:t>
      </w:r>
    </w:p>
    <w:p>
      <w:r>
        <w:rPr>
          <w:b/>
        </w:rPr>
        <w:t xml:space="preserve">Card body: </w:t>
      </w:r>
      <w:r>
        <w:t>A concise guide covering indication, dosing, contraindications, monitoring requirements, and key safety information for LUMIVEX®. Designed for quick reference in clinical practice.</w:t>
      </w:r>
    </w:p>
    <w:p>
      <w:r>
        <w:rPr>
          <w:b/>
        </w:rPr>
        <w:t xml:space="preserve">Card link: </w:t>
      </w:r>
      <w:r>
        <w:t>Download prescribing guide → /lumivex/resources</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21" name="Picture 21"/>
            <wp:cNvGraphicFramePr>
              <a:graphicFrameLocks noChangeAspect="1"/>
            </wp:cNvGraphicFramePr>
            <a:graphic>
              <a:graphicData uri="http://schemas.openxmlformats.org/drawingml/2006/picture">
                <pic:pic>
                  <pic:nvPicPr>
                    <pic:cNvPr id="0" name="card-patient-guide.jpeg"/>
                    <pic:cNvPicPr/>
                  </pic:nvPicPr>
                  <pic:blipFill>
                    <a:blip r:embed="rId29"/>
                    <a:stretch>
                      <a:fillRect/>
                    </a:stretch>
                  </pic:blipFill>
                  <pic:spPr>
                    <a:xfrm>
                      <a:off x="0" y="0"/>
                      <a:ext cx="2743200" cy="2048256"/>
                    </a:xfrm>
                    <a:prstGeom prst="rect"/>
                  </pic:spPr>
                </pic:pic>
              </a:graphicData>
            </a:graphic>
          </wp:inline>
        </w:drawing>
      </w:r>
    </w:p>
    <w:p>
      <w:pPr>
        <w:jc w:val="center"/>
      </w:pPr>
      <w:r>
        <w:rPr>
          <w:color w:val="005599"/>
          <w:sz w:val="16"/>
          <w:u w:val="single"/>
        </w:rPr>
        <w:t>https://lumivex-images.pages.dev/card-patient-guide.jpeg</w:t>
      </w:r>
    </w:p>
    <w:p>
      <w:r>
        <w:rPr>
          <w:b/>
        </w:rPr>
        <w:t xml:space="preserve">Card heading: </w:t>
      </w:r>
      <w:r>
        <w:t>Patient guide</w:t>
      </w:r>
    </w:p>
    <w:p>
      <w:r>
        <w:rPr>
          <w:b/>
        </w:rPr>
        <w:t xml:space="preserve">Card body: </w:t>
      </w:r>
      <w:r>
        <w:t>A patient-friendly guide explaining how to take LUMIVEX®, what to expect during the first weeks of treatment, and when to contact their healthcare professional. Available to share during consultations.</w:t>
      </w:r>
    </w:p>
    <w:p>
      <w:r>
        <w:rPr>
          <w:b/>
        </w:rPr>
        <w:t xml:space="preserve">Card link: </w:t>
      </w:r>
      <w:r>
        <w:t>Download patient guide → /lumivex/resources</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22" name="Picture 22"/>
            <wp:cNvGraphicFramePr>
              <a:graphicFrameLocks noChangeAspect="1"/>
            </wp:cNvGraphicFramePr>
            <a:graphic>
              <a:graphicData uri="http://schemas.openxmlformats.org/drawingml/2006/picture">
                <pic:pic>
                  <pic:nvPicPr>
                    <pic:cNvPr id="0" name="card-clinical-data.jpeg"/>
                    <pic:cNvPicPr/>
                  </pic:nvPicPr>
                  <pic:blipFill>
                    <a:blip r:embed="rId30"/>
                    <a:stretch>
                      <a:fillRect/>
                    </a:stretch>
                  </pic:blipFill>
                  <pic:spPr>
                    <a:xfrm>
                      <a:off x="0" y="0"/>
                      <a:ext cx="2743200" cy="2048256"/>
                    </a:xfrm>
                    <a:prstGeom prst="rect"/>
                  </pic:spPr>
                </pic:pic>
              </a:graphicData>
            </a:graphic>
          </wp:inline>
        </w:drawing>
      </w:r>
    </w:p>
    <w:p>
      <w:pPr>
        <w:jc w:val="center"/>
      </w:pPr>
      <w:r>
        <w:rPr>
          <w:color w:val="005599"/>
          <w:sz w:val="16"/>
          <w:u w:val="single"/>
        </w:rPr>
        <w:t>https://lumivex-images.pages.dev/card-clinical-data.jpeg</w:t>
      </w:r>
    </w:p>
    <w:p>
      <w:r>
        <w:rPr>
          <w:b/>
        </w:rPr>
        <w:t xml:space="preserve">Card heading: </w:t>
      </w:r>
      <w:r>
        <w:t>LUMINANCE clinical data summary</w:t>
      </w:r>
    </w:p>
    <w:p>
      <w:r>
        <w:rPr>
          <w:b/>
        </w:rPr>
        <w:t xml:space="preserve">Card body: </w:t>
      </w:r>
      <w:r>
        <w:t>A comprehensive summary of key efficacy and safety data from the LUMINANCE-1, LUMINANCE-2, and LUMINANCE-3 studies, including primary and secondary endpoint results and long-term data.</w:t>
      </w:r>
    </w:p>
    <w:p>
      <w:r>
        <w:rPr>
          <w:b/>
        </w:rPr>
        <w:t xml:space="preserve">Card link: </w:t>
      </w:r>
      <w:r>
        <w:t>Download clinical data summary → /lumivex/resources</w:t>
      </w:r>
    </w:p>
    <w:p>
      <w:pPr>
        <w:jc w:val="center"/>
      </w:pPr>
      <w:r>
        <w:rPr>
          <w:color w:val="CCCCCC"/>
          <w:sz w:val="16"/>
        </w:rPr>
        <w:t>────────────────────────────────────────────────────────────</w:t>
      </w:r>
    </w:p>
    <w:p>
      <w:pPr>
        <w:pStyle w:val="Heading3"/>
      </w:pPr>
      <w:r>
        <w:rPr>
          <w:color w:val="D4851F"/>
        </w:rPr>
        <w:t>Section 3 — Medical information contact (two-column) | highlighted background</w:t>
      </w:r>
    </w:p>
    <w:p>
      <w:r>
        <w:rPr>
          <w:b/>
        </w:rPr>
        <w:t>Block: columns-teaser</w:t>
      </w:r>
      <w:r>
        <w:rPr>
          <w:color w:val="666666"/>
        </w:rPr>
        <w:t xml:space="preserve">  |  Section metadata: Style: highlight</w:t>
      </w:r>
    </w:p>
    <w:p/>
    <w:p>
      <w:pPr>
        <w:jc w:val="center"/>
      </w:pPr>
      <w:r>
        <w:drawing>
          <wp:inline xmlns:a="http://schemas.openxmlformats.org/drawingml/2006/main" xmlns:pic="http://schemas.openxmlformats.org/drawingml/2006/picture">
            <wp:extent cx="3200400" cy="2389632"/>
            <wp:docPr id="23" name="Picture 23"/>
            <wp:cNvGraphicFramePr>
              <a:graphicFrameLocks noChangeAspect="1"/>
            </wp:cNvGraphicFramePr>
            <a:graphic>
              <a:graphicData uri="http://schemas.openxmlformats.org/drawingml/2006/picture">
                <pic:pic>
                  <pic:nvPicPr>
                    <pic:cNvPr id="0" name="contact-support.jpeg"/>
                    <pic:cNvPicPr/>
                  </pic:nvPicPr>
                  <pic:blipFill>
                    <a:blip r:embed="rId31"/>
                    <a:stretch>
                      <a:fillRect/>
                    </a:stretch>
                  </pic:blipFill>
                  <pic:spPr>
                    <a:xfrm>
                      <a:off x="0" y="0"/>
                      <a:ext cx="3200400" cy="2389632"/>
                    </a:xfrm>
                    <a:prstGeom prst="rect"/>
                  </pic:spPr>
                </pic:pic>
              </a:graphicData>
            </a:graphic>
          </wp:inline>
        </w:drawing>
      </w:r>
    </w:p>
    <w:p>
      <w:pPr>
        <w:jc w:val="center"/>
      </w:pPr>
      <w:r>
        <w:rPr>
          <w:color w:val="005599"/>
          <w:sz w:val="16"/>
          <w:u w:val="single"/>
        </w:rPr>
        <w:t>https://lumivex-images.pages.dev/contact-support.jpeg</w:t>
      </w:r>
    </w:p>
    <w:p>
      <w:r>
        <w:rPr>
          <w:b/>
        </w:rPr>
        <w:t xml:space="preserve">Heading: </w:t>
      </w:r>
      <w:r>
        <w:t>Need further information?</w:t>
      </w:r>
    </w:p>
    <w:p>
      <w:r>
        <w:rPr>
          <w:b/>
        </w:rPr>
        <w:t xml:space="preserve">Body text: </w:t>
      </w:r>
      <w:r>
        <w:t>For medical information enquiries about LUMIVEX® (lumvecitinib), please contact AstraZeneca Medical Information:</w:t>
        <w:br/>
        <w:br/>
        <w:t>Online: contactazmedical.astrazeneca.com</w:t>
        <w:br/>
        <w:t>Telephone: 0800 783 0033</w:t>
        <w:br/>
        <w:br/>
        <w:t>Our medical information team is available to support healthcare professionals with clinical questions, requests for published data, and product-related enquiries.</w:t>
      </w:r>
    </w:p>
    <w:p>
      <w:pPr>
        <w:jc w:val="center"/>
      </w:pPr>
      <w:r>
        <w:rPr>
          <w:color w:val="CCCCCC"/>
          <w:sz w:val="16"/>
        </w:rPr>
        <w:t>────────────────────────────────────────────────────────────</w:t>
      </w:r>
    </w:p>
    <w:p>
      <w:pPr>
        <w:pStyle w:val="Heading3"/>
      </w:pPr>
      <w:r>
        <w:rPr>
          <w:color w:val="D4851F"/>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Resources | LUMIVEX® (lumvecitinib) | Prescribing &amp; Patient Guides | AstraZeneca UK</w:t>
      </w:r>
    </w:p>
    <w:p>
      <w:r>
        <w:rPr>
          <w:b w:val="0"/>
          <w:i w:val="0"/>
          <w:color w:val="363B3B"/>
          <w:sz w:val="20"/>
        </w:rPr>
        <w:t>Description: Download prescribing guides, patient materials, and clinical data summaries for LUMIVEX® (lumvecitinib) to support clinical decision-making in moderate-to-severe plaque psoriasis.</w:t>
      </w:r>
    </w:p>
    <w:p>
      <w:r>
        <w:br w:type="page"/>
      </w:r>
    </w:p>
    <w:p>
      <w:pPr>
        <w:pStyle w:val="Heading1"/>
      </w:pPr>
      <w:r>
        <w:rPr>
          <w:color w:val="830051"/>
        </w:rPr>
        <w:t>10. Footer Content</w:t>
      </w:r>
    </w:p>
    <w:p>
      <w:r>
        <w:rPr>
          <w:b/>
        </w:rPr>
        <w:t xml:space="preserve">Row 1 — Brand: </w:t>
      </w:r>
      <w:r>
        <w:rPr>
          <w:sz w:val="20"/>
        </w:rPr>
        <w:t>AstraZeneca logo | GB-94281 | DOP: March 2026 | © 2026 AstraZeneca. All rights reserved.</w:t>
      </w:r>
    </w:p>
    <w:p>
      <w:r>
        <w:rPr>
          <w:b/>
        </w:rPr>
        <w:t xml:space="preserve">Row 2 — Site links: </w:t>
      </w:r>
      <w:r>
        <w:rPr>
          <w:sz w:val="20"/>
        </w:rPr>
        <w:t>Efficacy | Safety | Dosing | Mechanism of Action | Resources</w:t>
      </w:r>
    </w:p>
    <w:p>
      <w:r>
        <w:rPr>
          <w:b/>
        </w:rPr>
        <w:t xml:space="preserve">Row 3 — Regulatory links: </w:t>
      </w:r>
      <w:r>
        <w:rPr>
          <w:sz w:val="20"/>
        </w:rPr>
        <w:t>Report Adverse Event (https://yellowcard.mhra.gov.uk/) | Medical Information (https://contactazmedical.astrazeneca.com/) | Privacy Policy (https://www.astrazeneca.co.uk/our-company/privacy-notice.html) | Terms of Use (https://www.astrazeneca.co.uk/our-company/terms-of-use.html) | Accessibility (https://www.astrazeneca.co.uk/accessibility.html)</w:t>
      </w:r>
    </w:p>
    <w:p>
      <w:r>
        <w:rPr>
          <w:b/>
        </w:rPr>
        <w:t xml:space="preserve">Row 4 — Date: </w:t>
      </w:r>
      <w:r>
        <w:rPr>
          <w:sz w:val="20"/>
        </w:rPr>
        <w:t>Date of Preparation: March 2026</w:t>
      </w:r>
    </w:p>
    <w:p>
      <w:pPr>
        <w:jc w:val="center"/>
      </w:pPr>
      <w:r>
        <w:rPr>
          <w:color w:val="CCCCCC"/>
          <w:sz w:val="16"/>
        </w:rPr>
        <w:t>────────────────────────────────────────────────────────────</w:t>
      </w:r>
    </w:p>
    <w:p>
      <w:pPr>
        <w:pStyle w:val="Heading1"/>
      </w:pPr>
      <w:r>
        <w:rPr>
          <w:color w:val="830051"/>
        </w:rPr>
        <w:t>11. Image Assets</w:t>
      </w:r>
    </w:p>
    <w:p>
      <w:r>
        <w:rPr>
          <w:b w:val="0"/>
          <w:i w:val="0"/>
          <w:color w:val="363B3B"/>
          <w:sz w:val="20"/>
        </w:rPr>
        <w:t>All images are available on CDN at https://lumivex-images.pages.dev/</w:t>
      </w:r>
    </w:p>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830051"/>
          </w:tcPr>
          <w:p>
            <w:r/>
            <w:r>
              <w:rPr>
                <w:b/>
                <w:color w:val="FFFFFF"/>
                <w:sz w:val="18"/>
              </w:rPr>
              <w:t>#</w:t>
            </w:r>
          </w:p>
        </w:tc>
        <w:tc>
          <w:tcPr>
            <w:tcW w:type="dxa" w:w="1814"/>
            <w:shd w:fill="830051"/>
          </w:tcPr>
          <w:p>
            <w:r/>
            <w:r>
              <w:rPr>
                <w:b/>
                <w:color w:val="FFFFFF"/>
                <w:sz w:val="18"/>
              </w:rPr>
              <w:t>Filename</w:t>
            </w:r>
          </w:p>
        </w:tc>
        <w:tc>
          <w:tcPr>
            <w:tcW w:type="dxa" w:w="1814"/>
            <w:shd w:fill="830051"/>
          </w:tcPr>
          <w:p>
            <w:r/>
            <w:r>
              <w:rPr>
                <w:b/>
                <w:color w:val="FFFFFF"/>
                <w:sz w:val="18"/>
              </w:rPr>
              <w:t>Dimensions</w:t>
            </w:r>
          </w:p>
        </w:tc>
        <w:tc>
          <w:tcPr>
            <w:tcW w:type="dxa" w:w="1814"/>
            <w:shd w:fill="830051"/>
          </w:tcPr>
          <w:p>
            <w:r/>
            <w:r>
              <w:rPr>
                <w:b/>
                <w:color w:val="FFFFFF"/>
                <w:sz w:val="18"/>
              </w:rPr>
              <w:t>CDN URL</w:t>
            </w:r>
          </w:p>
        </w:tc>
        <w:tc>
          <w:tcPr>
            <w:tcW w:type="dxa" w:w="1814"/>
            <w:shd w:fill="830051"/>
          </w:tcPr>
          <w:p>
            <w:r/>
            <w:r>
              <w:rPr>
                <w:b/>
                <w:color w:val="FFFFFF"/>
                <w:sz w:val="18"/>
              </w:rPr>
              <w:t>Used on</w:t>
            </w:r>
          </w:p>
        </w:tc>
      </w:tr>
      <w:tr>
        <w:tc>
          <w:tcPr>
            <w:tcW w:type="dxa" w:w="1814"/>
          </w:tcPr>
          <w:p>
            <w:r/>
            <w:r>
              <w:rPr>
                <w:color w:val="363B3B"/>
                <w:sz w:val="18"/>
              </w:rPr>
              <w:t>1</w:t>
            </w:r>
          </w:p>
        </w:tc>
        <w:tc>
          <w:tcPr>
            <w:tcW w:type="dxa" w:w="1814"/>
          </w:tcPr>
          <w:p>
            <w:r/>
            <w:r>
              <w:rPr>
                <w:color w:val="363B3B"/>
                <w:sz w:val="18"/>
              </w:rPr>
              <w:t>hero-home.jpeg</w:t>
            </w:r>
          </w:p>
        </w:tc>
        <w:tc>
          <w:tcPr>
            <w:tcW w:type="dxa" w:w="1814"/>
          </w:tcPr>
          <w:p>
            <w:r/>
            <w:r>
              <w:rPr>
                <w:color w:val="363B3B"/>
                <w:sz w:val="18"/>
              </w:rPr>
              <w:t>1440×810</w:t>
            </w:r>
          </w:p>
        </w:tc>
        <w:tc>
          <w:tcPr>
            <w:tcW w:type="dxa" w:w="1814"/>
          </w:tcPr>
          <w:p>
            <w:r/>
            <w:r>
              <w:rPr>
                <w:color w:val="363B3B"/>
                <w:sz w:val="18"/>
              </w:rPr>
              <w:t>https://lumivex-images.pages.dev/hero-home.jpeg</w:t>
            </w:r>
          </w:p>
        </w:tc>
        <w:tc>
          <w:tcPr>
            <w:tcW w:type="dxa" w:w="1814"/>
          </w:tcPr>
          <w:p>
            <w:r/>
            <w:r>
              <w:rPr>
                <w:color w:val="363B3B"/>
                <w:sz w:val="18"/>
              </w:rPr>
              <w:t>Home — hero</w:t>
            </w:r>
          </w:p>
        </w:tc>
      </w:tr>
      <w:tr>
        <w:tc>
          <w:tcPr>
            <w:tcW w:type="dxa" w:w="1814"/>
            <w:shd w:fill="F8F8F8"/>
          </w:tcPr>
          <w:p>
            <w:r/>
            <w:r>
              <w:rPr>
                <w:color w:val="363B3B"/>
                <w:sz w:val="18"/>
              </w:rPr>
              <w:t>2</w:t>
            </w:r>
          </w:p>
        </w:tc>
        <w:tc>
          <w:tcPr>
            <w:tcW w:type="dxa" w:w="1814"/>
            <w:shd w:fill="F8F8F8"/>
          </w:tcPr>
          <w:p>
            <w:r/>
            <w:r>
              <w:rPr>
                <w:color w:val="363B3B"/>
                <w:sz w:val="18"/>
              </w:rPr>
              <w:t>hero-efficacy.jpeg</w:t>
            </w:r>
          </w:p>
        </w:tc>
        <w:tc>
          <w:tcPr>
            <w:tcW w:type="dxa" w:w="1814"/>
            <w:shd w:fill="F8F8F8"/>
          </w:tcPr>
          <w:p>
            <w:r/>
            <w:r>
              <w:rPr>
                <w:color w:val="363B3B"/>
                <w:sz w:val="18"/>
              </w:rPr>
              <w:t>1440×810</w:t>
            </w:r>
          </w:p>
        </w:tc>
        <w:tc>
          <w:tcPr>
            <w:tcW w:type="dxa" w:w="1814"/>
            <w:shd w:fill="F8F8F8"/>
          </w:tcPr>
          <w:p>
            <w:r/>
            <w:r>
              <w:rPr>
                <w:color w:val="363B3B"/>
                <w:sz w:val="18"/>
              </w:rPr>
              <w:t>https://lumivex-images.pages.dev/hero-efficacy.jpeg</w:t>
            </w:r>
          </w:p>
        </w:tc>
        <w:tc>
          <w:tcPr>
            <w:tcW w:type="dxa" w:w="1814"/>
            <w:shd w:fill="F8F8F8"/>
          </w:tcPr>
          <w:p>
            <w:r/>
            <w:r>
              <w:rPr>
                <w:color w:val="363B3B"/>
                <w:sz w:val="18"/>
              </w:rPr>
              <w:t>Efficacy — hero</w:t>
            </w:r>
          </w:p>
        </w:tc>
      </w:tr>
      <w:tr>
        <w:tc>
          <w:tcPr>
            <w:tcW w:type="dxa" w:w="1814"/>
          </w:tcPr>
          <w:p>
            <w:r/>
            <w:r>
              <w:rPr>
                <w:color w:val="363B3B"/>
                <w:sz w:val="18"/>
              </w:rPr>
              <w:t>3</w:t>
            </w:r>
          </w:p>
        </w:tc>
        <w:tc>
          <w:tcPr>
            <w:tcW w:type="dxa" w:w="1814"/>
          </w:tcPr>
          <w:p>
            <w:r/>
            <w:r>
              <w:rPr>
                <w:color w:val="363B3B"/>
                <w:sz w:val="18"/>
              </w:rPr>
              <w:t>hero-moa.jpeg</w:t>
            </w:r>
          </w:p>
        </w:tc>
        <w:tc>
          <w:tcPr>
            <w:tcW w:type="dxa" w:w="1814"/>
          </w:tcPr>
          <w:p>
            <w:r/>
            <w:r>
              <w:rPr>
                <w:color w:val="363B3B"/>
                <w:sz w:val="18"/>
              </w:rPr>
              <w:t>1440×810</w:t>
            </w:r>
          </w:p>
        </w:tc>
        <w:tc>
          <w:tcPr>
            <w:tcW w:type="dxa" w:w="1814"/>
          </w:tcPr>
          <w:p>
            <w:r/>
            <w:r>
              <w:rPr>
                <w:color w:val="363B3B"/>
                <w:sz w:val="18"/>
              </w:rPr>
              <w:t>https://lumivex-images.pages.dev/hero-moa.jpeg</w:t>
            </w:r>
          </w:p>
        </w:tc>
        <w:tc>
          <w:tcPr>
            <w:tcW w:type="dxa" w:w="1814"/>
          </w:tcPr>
          <w:p>
            <w:r/>
            <w:r>
              <w:rPr>
                <w:color w:val="363B3B"/>
                <w:sz w:val="18"/>
              </w:rPr>
              <w:t>Mechanism of Action — hero</w:t>
            </w:r>
          </w:p>
        </w:tc>
      </w:tr>
      <w:tr>
        <w:tc>
          <w:tcPr>
            <w:tcW w:type="dxa" w:w="1814"/>
            <w:shd w:fill="F8F8F8"/>
          </w:tcPr>
          <w:p>
            <w:r/>
            <w:r>
              <w:rPr>
                <w:color w:val="363B3B"/>
                <w:sz w:val="18"/>
              </w:rPr>
              <w:t>4</w:t>
            </w:r>
          </w:p>
        </w:tc>
        <w:tc>
          <w:tcPr>
            <w:tcW w:type="dxa" w:w="1814"/>
            <w:shd w:fill="F8F8F8"/>
          </w:tcPr>
          <w:p>
            <w:r/>
            <w:r>
              <w:rPr>
                <w:color w:val="363B3B"/>
                <w:sz w:val="18"/>
              </w:rPr>
              <w:t>card-efficacy.jpeg</w:t>
            </w:r>
          </w:p>
        </w:tc>
        <w:tc>
          <w:tcPr>
            <w:tcW w:type="dxa" w:w="1814"/>
            <w:shd w:fill="F8F8F8"/>
          </w:tcPr>
          <w:p>
            <w:r/>
            <w:r>
              <w:rPr>
                <w:color w:val="363B3B"/>
                <w:sz w:val="18"/>
              </w:rPr>
              <w:t>800×600</w:t>
            </w:r>
          </w:p>
        </w:tc>
        <w:tc>
          <w:tcPr>
            <w:tcW w:type="dxa" w:w="1814"/>
            <w:shd w:fill="F8F8F8"/>
          </w:tcPr>
          <w:p>
            <w:r/>
            <w:r>
              <w:rPr>
                <w:color w:val="363B3B"/>
                <w:sz w:val="18"/>
              </w:rPr>
              <w:t>https://lumivex-images.pages.dev/card-efficacy.jpeg</w:t>
            </w:r>
          </w:p>
        </w:tc>
        <w:tc>
          <w:tcPr>
            <w:tcW w:type="dxa" w:w="1814"/>
            <w:shd w:fill="F8F8F8"/>
          </w:tcPr>
          <w:p>
            <w:r/>
            <w:r>
              <w:rPr>
                <w:color w:val="363B3B"/>
                <w:sz w:val="18"/>
              </w:rPr>
              <w:t>Home — benefit card</w:t>
            </w:r>
          </w:p>
        </w:tc>
      </w:tr>
      <w:tr>
        <w:tc>
          <w:tcPr>
            <w:tcW w:type="dxa" w:w="1814"/>
          </w:tcPr>
          <w:p>
            <w:r/>
            <w:r>
              <w:rPr>
                <w:color w:val="363B3B"/>
                <w:sz w:val="18"/>
              </w:rPr>
              <w:t>5</w:t>
            </w:r>
          </w:p>
        </w:tc>
        <w:tc>
          <w:tcPr>
            <w:tcW w:type="dxa" w:w="1814"/>
          </w:tcPr>
          <w:p>
            <w:r/>
            <w:r>
              <w:rPr>
                <w:color w:val="363B3B"/>
                <w:sz w:val="18"/>
              </w:rPr>
              <w:t>card-safety.jpeg</w:t>
            </w:r>
          </w:p>
        </w:tc>
        <w:tc>
          <w:tcPr>
            <w:tcW w:type="dxa" w:w="1814"/>
          </w:tcPr>
          <w:p>
            <w:r/>
            <w:r>
              <w:rPr>
                <w:color w:val="363B3B"/>
                <w:sz w:val="18"/>
              </w:rPr>
              <w:t>800×600</w:t>
            </w:r>
          </w:p>
        </w:tc>
        <w:tc>
          <w:tcPr>
            <w:tcW w:type="dxa" w:w="1814"/>
          </w:tcPr>
          <w:p>
            <w:r/>
            <w:r>
              <w:rPr>
                <w:color w:val="363B3B"/>
                <w:sz w:val="18"/>
              </w:rPr>
              <w:t>https://lumivex-images.pages.dev/card-safety.jpeg</w:t>
            </w:r>
          </w:p>
        </w:tc>
        <w:tc>
          <w:tcPr>
            <w:tcW w:type="dxa" w:w="1814"/>
          </w:tcPr>
          <w:p>
            <w:r/>
            <w:r>
              <w:rPr>
                <w:color w:val="363B3B"/>
                <w:sz w:val="18"/>
              </w:rPr>
              <w:t>Home — benefit card</w:t>
            </w:r>
          </w:p>
        </w:tc>
      </w:tr>
      <w:tr>
        <w:tc>
          <w:tcPr>
            <w:tcW w:type="dxa" w:w="1814"/>
            <w:shd w:fill="F8F8F8"/>
          </w:tcPr>
          <w:p>
            <w:r/>
            <w:r>
              <w:rPr>
                <w:color w:val="363B3B"/>
                <w:sz w:val="18"/>
              </w:rPr>
              <w:t>6</w:t>
            </w:r>
          </w:p>
        </w:tc>
        <w:tc>
          <w:tcPr>
            <w:tcW w:type="dxa" w:w="1814"/>
            <w:shd w:fill="F8F8F8"/>
          </w:tcPr>
          <w:p>
            <w:r/>
            <w:r>
              <w:rPr>
                <w:color w:val="363B3B"/>
                <w:sz w:val="18"/>
              </w:rPr>
              <w:t>card-dosing.jpeg</w:t>
            </w:r>
          </w:p>
        </w:tc>
        <w:tc>
          <w:tcPr>
            <w:tcW w:type="dxa" w:w="1814"/>
            <w:shd w:fill="F8F8F8"/>
          </w:tcPr>
          <w:p>
            <w:r/>
            <w:r>
              <w:rPr>
                <w:color w:val="363B3B"/>
                <w:sz w:val="18"/>
              </w:rPr>
              <w:t>800×600</w:t>
            </w:r>
          </w:p>
        </w:tc>
        <w:tc>
          <w:tcPr>
            <w:tcW w:type="dxa" w:w="1814"/>
            <w:shd w:fill="F8F8F8"/>
          </w:tcPr>
          <w:p>
            <w:r/>
            <w:r>
              <w:rPr>
                <w:color w:val="363B3B"/>
                <w:sz w:val="18"/>
              </w:rPr>
              <w:t>https://lumivex-images.pages.dev/card-dosing.jpeg</w:t>
            </w:r>
          </w:p>
        </w:tc>
        <w:tc>
          <w:tcPr>
            <w:tcW w:type="dxa" w:w="1814"/>
            <w:shd w:fill="F8F8F8"/>
          </w:tcPr>
          <w:p>
            <w:r/>
            <w:r>
              <w:rPr>
                <w:color w:val="363B3B"/>
                <w:sz w:val="18"/>
              </w:rPr>
              <w:t>Home — benefit card</w:t>
            </w:r>
          </w:p>
        </w:tc>
      </w:tr>
      <w:tr>
        <w:tc>
          <w:tcPr>
            <w:tcW w:type="dxa" w:w="1814"/>
          </w:tcPr>
          <w:p>
            <w:r/>
            <w:r>
              <w:rPr>
                <w:color w:val="363B3B"/>
                <w:sz w:val="18"/>
              </w:rPr>
              <w:t>7</w:t>
            </w:r>
          </w:p>
        </w:tc>
        <w:tc>
          <w:tcPr>
            <w:tcW w:type="dxa" w:w="1814"/>
          </w:tcPr>
          <w:p>
            <w:r/>
            <w:r>
              <w:rPr>
                <w:color w:val="363B3B"/>
                <w:sz w:val="18"/>
              </w:rPr>
              <w:t>columns-moa.jpeg</w:t>
            </w:r>
          </w:p>
        </w:tc>
        <w:tc>
          <w:tcPr>
            <w:tcW w:type="dxa" w:w="1814"/>
          </w:tcPr>
          <w:p>
            <w:r/>
            <w:r>
              <w:rPr>
                <w:color w:val="363B3B"/>
                <w:sz w:val="18"/>
              </w:rPr>
              <w:t>800×600</w:t>
            </w:r>
          </w:p>
        </w:tc>
        <w:tc>
          <w:tcPr>
            <w:tcW w:type="dxa" w:w="1814"/>
          </w:tcPr>
          <w:p>
            <w:r/>
            <w:r>
              <w:rPr>
                <w:color w:val="363B3B"/>
                <w:sz w:val="18"/>
              </w:rPr>
              <w:t>https://lumivex-images.pages.dev/columns-moa.jpeg</w:t>
            </w:r>
          </w:p>
        </w:tc>
        <w:tc>
          <w:tcPr>
            <w:tcW w:type="dxa" w:w="1814"/>
          </w:tcPr>
          <w:p>
            <w:r/>
            <w:r>
              <w:rPr>
                <w:color w:val="363B3B"/>
                <w:sz w:val="18"/>
              </w:rPr>
              <w:t>Home — MoA teaser</w:t>
            </w:r>
          </w:p>
        </w:tc>
      </w:tr>
      <w:tr>
        <w:tc>
          <w:tcPr>
            <w:tcW w:type="dxa" w:w="1814"/>
            <w:shd w:fill="F8F8F8"/>
          </w:tcPr>
          <w:p>
            <w:r/>
            <w:r>
              <w:rPr>
                <w:color w:val="363B3B"/>
                <w:sz w:val="18"/>
              </w:rPr>
              <w:t>8</w:t>
            </w:r>
          </w:p>
        </w:tc>
        <w:tc>
          <w:tcPr>
            <w:tcW w:type="dxa" w:w="1814"/>
            <w:shd w:fill="F8F8F8"/>
          </w:tcPr>
          <w:p>
            <w:r/>
            <w:r>
              <w:rPr>
                <w:color w:val="363B3B"/>
                <w:sz w:val="18"/>
              </w:rPr>
              <w:t>tab-luminance1.jpeg</w:t>
            </w:r>
          </w:p>
        </w:tc>
        <w:tc>
          <w:tcPr>
            <w:tcW w:type="dxa" w:w="1814"/>
            <w:shd w:fill="F8F8F8"/>
          </w:tcPr>
          <w:p>
            <w:r/>
            <w:r>
              <w:rPr>
                <w:color w:val="363B3B"/>
                <w:sz w:val="18"/>
              </w:rPr>
              <w:t>800×600</w:t>
            </w:r>
          </w:p>
        </w:tc>
        <w:tc>
          <w:tcPr>
            <w:tcW w:type="dxa" w:w="1814"/>
            <w:shd w:fill="F8F8F8"/>
          </w:tcPr>
          <w:p>
            <w:r/>
            <w:r>
              <w:rPr>
                <w:color w:val="363B3B"/>
                <w:sz w:val="18"/>
              </w:rPr>
              <w:t>https://lumivex-images.pages.dev/tab-luminance1.jpeg</w:t>
            </w:r>
          </w:p>
        </w:tc>
        <w:tc>
          <w:tcPr>
            <w:tcW w:type="dxa" w:w="1814"/>
            <w:shd w:fill="F8F8F8"/>
          </w:tcPr>
          <w:p>
            <w:r/>
            <w:r>
              <w:rPr>
                <w:color w:val="363B3B"/>
                <w:sz w:val="18"/>
              </w:rPr>
              <w:t>Efficacy — LUMINANCE-1 tab</w:t>
            </w:r>
          </w:p>
        </w:tc>
      </w:tr>
      <w:tr>
        <w:tc>
          <w:tcPr>
            <w:tcW w:type="dxa" w:w="1814"/>
          </w:tcPr>
          <w:p>
            <w:r/>
            <w:r>
              <w:rPr>
                <w:color w:val="363B3B"/>
                <w:sz w:val="18"/>
              </w:rPr>
              <w:t>9</w:t>
            </w:r>
          </w:p>
        </w:tc>
        <w:tc>
          <w:tcPr>
            <w:tcW w:type="dxa" w:w="1814"/>
          </w:tcPr>
          <w:p>
            <w:r/>
            <w:r>
              <w:rPr>
                <w:color w:val="363B3B"/>
                <w:sz w:val="18"/>
              </w:rPr>
              <w:t>tab-luminance2.jpeg</w:t>
            </w:r>
          </w:p>
        </w:tc>
        <w:tc>
          <w:tcPr>
            <w:tcW w:type="dxa" w:w="1814"/>
          </w:tcPr>
          <w:p>
            <w:r/>
            <w:r>
              <w:rPr>
                <w:color w:val="363B3B"/>
                <w:sz w:val="18"/>
              </w:rPr>
              <w:t>800×600</w:t>
            </w:r>
          </w:p>
        </w:tc>
        <w:tc>
          <w:tcPr>
            <w:tcW w:type="dxa" w:w="1814"/>
          </w:tcPr>
          <w:p>
            <w:r/>
            <w:r>
              <w:rPr>
                <w:color w:val="363B3B"/>
                <w:sz w:val="18"/>
              </w:rPr>
              <w:t>https://lumivex-images.pages.dev/tab-luminance2.jpeg</w:t>
            </w:r>
          </w:p>
        </w:tc>
        <w:tc>
          <w:tcPr>
            <w:tcW w:type="dxa" w:w="1814"/>
          </w:tcPr>
          <w:p>
            <w:r/>
            <w:r>
              <w:rPr>
                <w:color w:val="363B3B"/>
                <w:sz w:val="18"/>
              </w:rPr>
              <w:t>Efficacy — LUMINANCE-2 tab</w:t>
            </w:r>
          </w:p>
        </w:tc>
      </w:tr>
      <w:tr>
        <w:tc>
          <w:tcPr>
            <w:tcW w:type="dxa" w:w="1814"/>
            <w:shd w:fill="F8F8F8"/>
          </w:tcPr>
          <w:p>
            <w:r/>
            <w:r>
              <w:rPr>
                <w:color w:val="363B3B"/>
                <w:sz w:val="18"/>
              </w:rPr>
              <w:t>10</w:t>
            </w:r>
          </w:p>
        </w:tc>
        <w:tc>
          <w:tcPr>
            <w:tcW w:type="dxa" w:w="1814"/>
            <w:shd w:fill="F8F8F8"/>
          </w:tcPr>
          <w:p>
            <w:r/>
            <w:r>
              <w:rPr>
                <w:color w:val="363B3B"/>
                <w:sz w:val="18"/>
              </w:rPr>
              <w:t>columns-longterm.jpeg</w:t>
            </w:r>
          </w:p>
        </w:tc>
        <w:tc>
          <w:tcPr>
            <w:tcW w:type="dxa" w:w="1814"/>
            <w:shd w:fill="F8F8F8"/>
          </w:tcPr>
          <w:p>
            <w:r/>
            <w:r>
              <w:rPr>
                <w:color w:val="363B3B"/>
                <w:sz w:val="18"/>
              </w:rPr>
              <w:t>800×600</w:t>
            </w:r>
          </w:p>
        </w:tc>
        <w:tc>
          <w:tcPr>
            <w:tcW w:type="dxa" w:w="1814"/>
            <w:shd w:fill="F8F8F8"/>
          </w:tcPr>
          <w:p>
            <w:r/>
            <w:r>
              <w:rPr>
                <w:color w:val="363B3B"/>
                <w:sz w:val="18"/>
              </w:rPr>
              <w:t>https://lumivex-images.pages.dev/columns-longterm.jpeg</w:t>
            </w:r>
          </w:p>
        </w:tc>
        <w:tc>
          <w:tcPr>
            <w:tcW w:type="dxa" w:w="1814"/>
            <w:shd w:fill="F8F8F8"/>
          </w:tcPr>
          <w:p>
            <w:r/>
            <w:r>
              <w:rPr>
                <w:color w:val="363B3B"/>
                <w:sz w:val="18"/>
              </w:rPr>
              <w:t>Efficacy — long-term data</w:t>
            </w:r>
          </w:p>
        </w:tc>
      </w:tr>
      <w:tr>
        <w:tc>
          <w:tcPr>
            <w:tcW w:type="dxa" w:w="1814"/>
          </w:tcPr>
          <w:p>
            <w:r/>
            <w:r>
              <w:rPr>
                <w:color w:val="363B3B"/>
                <w:sz w:val="18"/>
              </w:rPr>
              <w:t>11</w:t>
            </w:r>
          </w:p>
        </w:tc>
        <w:tc>
          <w:tcPr>
            <w:tcW w:type="dxa" w:w="1814"/>
          </w:tcPr>
          <w:p>
            <w:r/>
            <w:r>
              <w:rPr>
                <w:color w:val="363B3B"/>
                <w:sz w:val="18"/>
              </w:rPr>
              <w:t>card-infections.jpeg</w:t>
            </w:r>
          </w:p>
        </w:tc>
        <w:tc>
          <w:tcPr>
            <w:tcW w:type="dxa" w:w="1814"/>
          </w:tcPr>
          <w:p>
            <w:r/>
            <w:r>
              <w:rPr>
                <w:color w:val="363B3B"/>
                <w:sz w:val="18"/>
              </w:rPr>
              <w:t>800×600</w:t>
            </w:r>
          </w:p>
        </w:tc>
        <w:tc>
          <w:tcPr>
            <w:tcW w:type="dxa" w:w="1814"/>
          </w:tcPr>
          <w:p>
            <w:r/>
            <w:r>
              <w:rPr>
                <w:color w:val="363B3B"/>
                <w:sz w:val="18"/>
              </w:rPr>
              <w:t>https://lumivex-images.pages.dev/card-infections.jpeg</w:t>
            </w:r>
          </w:p>
        </w:tc>
        <w:tc>
          <w:tcPr>
            <w:tcW w:type="dxa" w:w="1814"/>
          </w:tcPr>
          <w:p>
            <w:r/>
            <w:r>
              <w:rPr>
                <w:color w:val="363B3B"/>
                <w:sz w:val="18"/>
              </w:rPr>
              <w:t>Safety — infection card</w:t>
            </w:r>
          </w:p>
        </w:tc>
      </w:tr>
      <w:tr>
        <w:tc>
          <w:tcPr>
            <w:tcW w:type="dxa" w:w="1814"/>
            <w:shd w:fill="F8F8F8"/>
          </w:tcPr>
          <w:p>
            <w:r/>
            <w:r>
              <w:rPr>
                <w:color w:val="363B3B"/>
                <w:sz w:val="18"/>
              </w:rPr>
              <w:t>12</w:t>
            </w:r>
          </w:p>
        </w:tc>
        <w:tc>
          <w:tcPr>
            <w:tcW w:type="dxa" w:w="1814"/>
            <w:shd w:fill="F8F8F8"/>
          </w:tcPr>
          <w:p>
            <w:r/>
            <w:r>
              <w:rPr>
                <w:color w:val="363B3B"/>
                <w:sz w:val="18"/>
              </w:rPr>
              <w:t>card-selectivity.jpeg</w:t>
            </w:r>
          </w:p>
        </w:tc>
        <w:tc>
          <w:tcPr>
            <w:tcW w:type="dxa" w:w="1814"/>
            <w:shd w:fill="F8F8F8"/>
          </w:tcPr>
          <w:p>
            <w:r/>
            <w:r>
              <w:rPr>
                <w:color w:val="363B3B"/>
                <w:sz w:val="18"/>
              </w:rPr>
              <w:t>800×600</w:t>
            </w:r>
          </w:p>
        </w:tc>
        <w:tc>
          <w:tcPr>
            <w:tcW w:type="dxa" w:w="1814"/>
            <w:shd w:fill="F8F8F8"/>
          </w:tcPr>
          <w:p>
            <w:r/>
            <w:r>
              <w:rPr>
                <w:color w:val="363B3B"/>
                <w:sz w:val="18"/>
              </w:rPr>
              <w:t>https://lumivex-images.pages.dev/card-selectivity.jpeg</w:t>
            </w:r>
          </w:p>
        </w:tc>
        <w:tc>
          <w:tcPr>
            <w:tcW w:type="dxa" w:w="1814"/>
            <w:shd w:fill="F8F8F8"/>
          </w:tcPr>
          <w:p>
            <w:r/>
            <w:r>
              <w:rPr>
                <w:color w:val="363B3B"/>
                <w:sz w:val="18"/>
              </w:rPr>
              <w:t>Safety — selectivity card</w:t>
            </w:r>
          </w:p>
        </w:tc>
      </w:tr>
      <w:tr>
        <w:tc>
          <w:tcPr>
            <w:tcW w:type="dxa" w:w="1814"/>
          </w:tcPr>
          <w:p>
            <w:r/>
            <w:r>
              <w:rPr>
                <w:color w:val="363B3B"/>
                <w:sz w:val="18"/>
              </w:rPr>
              <w:t>13</w:t>
            </w:r>
          </w:p>
        </w:tc>
        <w:tc>
          <w:tcPr>
            <w:tcW w:type="dxa" w:w="1814"/>
          </w:tcPr>
          <w:p>
            <w:r/>
            <w:r>
              <w:rPr>
                <w:color w:val="363B3B"/>
                <w:sz w:val="18"/>
              </w:rPr>
              <w:t>card-longterm-safety.jpeg</w:t>
            </w:r>
          </w:p>
        </w:tc>
        <w:tc>
          <w:tcPr>
            <w:tcW w:type="dxa" w:w="1814"/>
          </w:tcPr>
          <w:p>
            <w:r/>
            <w:r>
              <w:rPr>
                <w:color w:val="363B3B"/>
                <w:sz w:val="18"/>
              </w:rPr>
              <w:t>800×600</w:t>
            </w:r>
          </w:p>
        </w:tc>
        <w:tc>
          <w:tcPr>
            <w:tcW w:type="dxa" w:w="1814"/>
          </w:tcPr>
          <w:p>
            <w:r/>
            <w:r>
              <w:rPr>
                <w:color w:val="363B3B"/>
                <w:sz w:val="18"/>
              </w:rPr>
              <w:t>https://lumivex-images.pages.dev/card-longterm-safety.jpeg</w:t>
            </w:r>
          </w:p>
        </w:tc>
        <w:tc>
          <w:tcPr>
            <w:tcW w:type="dxa" w:w="1814"/>
          </w:tcPr>
          <w:p>
            <w:r/>
            <w:r>
              <w:rPr>
                <w:color w:val="363B3B"/>
                <w:sz w:val="18"/>
              </w:rPr>
              <w:t>Safety — long-term card</w:t>
            </w:r>
          </w:p>
        </w:tc>
      </w:tr>
      <w:tr>
        <w:tc>
          <w:tcPr>
            <w:tcW w:type="dxa" w:w="1814"/>
            <w:shd w:fill="F8F8F8"/>
          </w:tcPr>
          <w:p>
            <w:r/>
            <w:r>
              <w:rPr>
                <w:color w:val="363B3B"/>
                <w:sz w:val="18"/>
              </w:rPr>
              <w:t>14</w:t>
            </w:r>
          </w:p>
        </w:tc>
        <w:tc>
          <w:tcPr>
            <w:tcW w:type="dxa" w:w="1814"/>
            <w:shd w:fill="F8F8F8"/>
          </w:tcPr>
          <w:p>
            <w:r/>
            <w:r>
              <w:rPr>
                <w:color w:val="363B3B"/>
                <w:sz w:val="18"/>
              </w:rPr>
              <w:t>columns-special-pops.jpeg</w:t>
            </w:r>
          </w:p>
        </w:tc>
        <w:tc>
          <w:tcPr>
            <w:tcW w:type="dxa" w:w="1814"/>
            <w:shd w:fill="F8F8F8"/>
          </w:tcPr>
          <w:p>
            <w:r/>
            <w:r>
              <w:rPr>
                <w:color w:val="363B3B"/>
                <w:sz w:val="18"/>
              </w:rPr>
              <w:t>800×600</w:t>
            </w:r>
          </w:p>
        </w:tc>
        <w:tc>
          <w:tcPr>
            <w:tcW w:type="dxa" w:w="1814"/>
            <w:shd w:fill="F8F8F8"/>
          </w:tcPr>
          <w:p>
            <w:r/>
            <w:r>
              <w:rPr>
                <w:color w:val="363B3B"/>
                <w:sz w:val="18"/>
              </w:rPr>
              <w:t>https://lumivex-images.pages.dev/columns-special-pops.jpeg</w:t>
            </w:r>
          </w:p>
        </w:tc>
        <w:tc>
          <w:tcPr>
            <w:tcW w:type="dxa" w:w="1814"/>
            <w:shd w:fill="F8F8F8"/>
          </w:tcPr>
          <w:p>
            <w:r/>
            <w:r>
              <w:rPr>
                <w:color w:val="363B3B"/>
                <w:sz w:val="18"/>
              </w:rPr>
              <w:t>Safety — special populations</w:t>
            </w:r>
          </w:p>
        </w:tc>
      </w:tr>
      <w:tr>
        <w:tc>
          <w:tcPr>
            <w:tcW w:type="dxa" w:w="1814"/>
          </w:tcPr>
          <w:p>
            <w:r/>
            <w:r>
              <w:rPr>
                <w:color w:val="363B3B"/>
                <w:sz w:val="18"/>
              </w:rPr>
              <w:t>15</w:t>
            </w:r>
          </w:p>
        </w:tc>
        <w:tc>
          <w:tcPr>
            <w:tcW w:type="dxa" w:w="1814"/>
          </w:tcPr>
          <w:p>
            <w:r/>
            <w:r>
              <w:rPr>
                <w:color w:val="363B3B"/>
                <w:sz w:val="18"/>
              </w:rPr>
              <w:t>columns-admin.jpeg</w:t>
            </w:r>
          </w:p>
        </w:tc>
        <w:tc>
          <w:tcPr>
            <w:tcW w:type="dxa" w:w="1814"/>
          </w:tcPr>
          <w:p>
            <w:r/>
            <w:r>
              <w:rPr>
                <w:color w:val="363B3B"/>
                <w:sz w:val="18"/>
              </w:rPr>
              <w:t>800×600</w:t>
            </w:r>
          </w:p>
        </w:tc>
        <w:tc>
          <w:tcPr>
            <w:tcW w:type="dxa" w:w="1814"/>
          </w:tcPr>
          <w:p>
            <w:r/>
            <w:r>
              <w:rPr>
                <w:color w:val="363B3B"/>
                <w:sz w:val="18"/>
              </w:rPr>
              <w:t>https://lumivex-images.pages.dev/columns-admin.jpeg</w:t>
            </w:r>
          </w:p>
        </w:tc>
        <w:tc>
          <w:tcPr>
            <w:tcW w:type="dxa" w:w="1814"/>
          </w:tcPr>
          <w:p>
            <w:r/>
            <w:r>
              <w:rPr>
                <w:color w:val="363B3B"/>
                <w:sz w:val="18"/>
              </w:rPr>
              <w:t>Dosing — administration</w:t>
            </w:r>
          </w:p>
        </w:tc>
      </w:tr>
      <w:tr>
        <w:tc>
          <w:tcPr>
            <w:tcW w:type="dxa" w:w="1814"/>
            <w:shd w:fill="F8F8F8"/>
          </w:tcPr>
          <w:p>
            <w:r/>
            <w:r>
              <w:rPr>
                <w:color w:val="363B3B"/>
                <w:sz w:val="18"/>
              </w:rPr>
              <w:t>16</w:t>
            </w:r>
          </w:p>
        </w:tc>
        <w:tc>
          <w:tcPr>
            <w:tcW w:type="dxa" w:w="1814"/>
            <w:shd w:fill="F8F8F8"/>
          </w:tcPr>
          <w:p>
            <w:r/>
            <w:r>
              <w:rPr>
                <w:color w:val="363B3B"/>
                <w:sz w:val="18"/>
              </w:rPr>
              <w:t>columns-monitoring.jpeg</w:t>
            </w:r>
          </w:p>
        </w:tc>
        <w:tc>
          <w:tcPr>
            <w:tcW w:type="dxa" w:w="1814"/>
            <w:shd w:fill="F8F8F8"/>
          </w:tcPr>
          <w:p>
            <w:r/>
            <w:r>
              <w:rPr>
                <w:color w:val="363B3B"/>
                <w:sz w:val="18"/>
              </w:rPr>
              <w:t>800×600</w:t>
            </w:r>
          </w:p>
        </w:tc>
        <w:tc>
          <w:tcPr>
            <w:tcW w:type="dxa" w:w="1814"/>
            <w:shd w:fill="F8F8F8"/>
          </w:tcPr>
          <w:p>
            <w:r/>
            <w:r>
              <w:rPr>
                <w:color w:val="363B3B"/>
                <w:sz w:val="18"/>
              </w:rPr>
              <w:t>https://lumivex-images.pages.dev/columns-monitoring.jpeg</w:t>
            </w:r>
          </w:p>
        </w:tc>
        <w:tc>
          <w:tcPr>
            <w:tcW w:type="dxa" w:w="1814"/>
            <w:shd w:fill="F8F8F8"/>
          </w:tcPr>
          <w:p>
            <w:r/>
            <w:r>
              <w:rPr>
                <w:color w:val="363B3B"/>
                <w:sz w:val="18"/>
              </w:rPr>
              <w:t>Dosing — monitoring</w:t>
            </w:r>
          </w:p>
        </w:tc>
      </w:tr>
      <w:tr>
        <w:tc>
          <w:tcPr>
            <w:tcW w:type="dxa" w:w="1814"/>
          </w:tcPr>
          <w:p>
            <w:r/>
            <w:r>
              <w:rPr>
                <w:color w:val="363B3B"/>
                <w:sz w:val="18"/>
              </w:rPr>
              <w:t>17</w:t>
            </w:r>
          </w:p>
        </w:tc>
        <w:tc>
          <w:tcPr>
            <w:tcW w:type="dxa" w:w="1814"/>
          </w:tcPr>
          <w:p>
            <w:r/>
            <w:r>
              <w:rPr>
                <w:color w:val="363B3B"/>
                <w:sz w:val="18"/>
              </w:rPr>
              <w:t>psoriatic-inflammation.jpeg</w:t>
            </w:r>
          </w:p>
        </w:tc>
        <w:tc>
          <w:tcPr>
            <w:tcW w:type="dxa" w:w="1814"/>
          </w:tcPr>
          <w:p>
            <w:r/>
            <w:r>
              <w:rPr>
                <w:color w:val="363B3B"/>
                <w:sz w:val="18"/>
              </w:rPr>
              <w:t>800×600</w:t>
            </w:r>
          </w:p>
        </w:tc>
        <w:tc>
          <w:tcPr>
            <w:tcW w:type="dxa" w:w="1814"/>
          </w:tcPr>
          <w:p>
            <w:r/>
            <w:r>
              <w:rPr>
                <w:color w:val="363B3B"/>
                <w:sz w:val="18"/>
              </w:rPr>
              <w:t>https://lumivex-images.pages.dev/psoriatic-inflammation.jpeg</w:t>
            </w:r>
          </w:p>
        </w:tc>
        <w:tc>
          <w:tcPr>
            <w:tcW w:type="dxa" w:w="1814"/>
          </w:tcPr>
          <w:p>
            <w:r/>
            <w:r>
              <w:rPr>
                <w:color w:val="363B3B"/>
                <w:sz w:val="18"/>
              </w:rPr>
              <w:t>MoA — disease pathway</w:t>
            </w:r>
          </w:p>
        </w:tc>
      </w:tr>
      <w:tr>
        <w:tc>
          <w:tcPr>
            <w:tcW w:type="dxa" w:w="1814"/>
            <w:shd w:fill="F8F8F8"/>
          </w:tcPr>
          <w:p>
            <w:r/>
            <w:r>
              <w:rPr>
                <w:color w:val="363B3B"/>
                <w:sz w:val="18"/>
              </w:rPr>
              <w:t>18</w:t>
            </w:r>
          </w:p>
        </w:tc>
        <w:tc>
          <w:tcPr>
            <w:tcW w:type="dxa" w:w="1814"/>
            <w:shd w:fill="F8F8F8"/>
          </w:tcPr>
          <w:p>
            <w:r/>
            <w:r>
              <w:rPr>
                <w:color w:val="363B3B"/>
                <w:sz w:val="18"/>
              </w:rPr>
              <w:t>tyk2-il23-cascade.jpeg</w:t>
            </w:r>
          </w:p>
        </w:tc>
        <w:tc>
          <w:tcPr>
            <w:tcW w:type="dxa" w:w="1814"/>
            <w:shd w:fill="F8F8F8"/>
          </w:tcPr>
          <w:p>
            <w:r/>
            <w:r>
              <w:rPr>
                <w:color w:val="363B3B"/>
                <w:sz w:val="18"/>
              </w:rPr>
              <w:t>800×600</w:t>
            </w:r>
          </w:p>
        </w:tc>
        <w:tc>
          <w:tcPr>
            <w:tcW w:type="dxa" w:w="1814"/>
            <w:shd w:fill="F8F8F8"/>
          </w:tcPr>
          <w:p>
            <w:r/>
            <w:r>
              <w:rPr>
                <w:color w:val="363B3B"/>
                <w:sz w:val="18"/>
              </w:rPr>
              <w:t>https://lumivex-images.pages.dev/tyk2-il23-cascade.jpeg</w:t>
            </w:r>
          </w:p>
        </w:tc>
        <w:tc>
          <w:tcPr>
            <w:tcW w:type="dxa" w:w="1814"/>
            <w:shd w:fill="F8F8F8"/>
          </w:tcPr>
          <w:p>
            <w:r/>
            <w:r>
              <w:rPr>
                <w:color w:val="363B3B"/>
                <w:sz w:val="18"/>
              </w:rPr>
              <w:t>MoA — TYK2 cascade</w:t>
            </w:r>
          </w:p>
        </w:tc>
      </w:tr>
      <w:tr>
        <w:tc>
          <w:tcPr>
            <w:tcW w:type="dxa" w:w="1814"/>
          </w:tcPr>
          <w:p>
            <w:r/>
            <w:r>
              <w:rPr>
                <w:color w:val="363B3B"/>
                <w:sz w:val="18"/>
              </w:rPr>
              <w:t>19</w:t>
            </w:r>
          </w:p>
        </w:tc>
        <w:tc>
          <w:tcPr>
            <w:tcW w:type="dxa" w:w="1814"/>
          </w:tcPr>
          <w:p>
            <w:r/>
            <w:r>
              <w:rPr>
                <w:color w:val="363B3B"/>
                <w:sz w:val="18"/>
              </w:rPr>
              <w:t>lumivex-blockade.jpeg</w:t>
            </w:r>
          </w:p>
        </w:tc>
        <w:tc>
          <w:tcPr>
            <w:tcW w:type="dxa" w:w="1814"/>
          </w:tcPr>
          <w:p>
            <w:r/>
            <w:r>
              <w:rPr>
                <w:color w:val="363B3B"/>
                <w:sz w:val="18"/>
              </w:rPr>
              <w:t>800×600</w:t>
            </w:r>
          </w:p>
        </w:tc>
        <w:tc>
          <w:tcPr>
            <w:tcW w:type="dxa" w:w="1814"/>
          </w:tcPr>
          <w:p>
            <w:r/>
            <w:r>
              <w:rPr>
                <w:color w:val="363B3B"/>
                <w:sz w:val="18"/>
              </w:rPr>
              <w:t>https://lumivex-images.pages.dev/lumivex-blockade.jpeg</w:t>
            </w:r>
          </w:p>
        </w:tc>
        <w:tc>
          <w:tcPr>
            <w:tcW w:type="dxa" w:w="1814"/>
          </w:tcPr>
          <w:p>
            <w:r/>
            <w:r>
              <w:rPr>
                <w:color w:val="363B3B"/>
                <w:sz w:val="18"/>
              </w:rPr>
              <w:t>MoA — drug mechanism</w:t>
            </w:r>
          </w:p>
        </w:tc>
      </w:tr>
      <w:tr>
        <w:tc>
          <w:tcPr>
            <w:tcW w:type="dxa" w:w="1814"/>
            <w:shd w:fill="F8F8F8"/>
          </w:tcPr>
          <w:p>
            <w:r/>
            <w:r>
              <w:rPr>
                <w:color w:val="363B3B"/>
                <w:sz w:val="18"/>
              </w:rPr>
              <w:t>20</w:t>
            </w:r>
          </w:p>
        </w:tc>
        <w:tc>
          <w:tcPr>
            <w:tcW w:type="dxa" w:w="1814"/>
            <w:shd w:fill="F8F8F8"/>
          </w:tcPr>
          <w:p>
            <w:r/>
            <w:r>
              <w:rPr>
                <w:color w:val="363B3B"/>
                <w:sz w:val="18"/>
              </w:rPr>
              <w:t>card-prescribing.jpeg</w:t>
            </w:r>
          </w:p>
        </w:tc>
        <w:tc>
          <w:tcPr>
            <w:tcW w:type="dxa" w:w="1814"/>
            <w:shd w:fill="F8F8F8"/>
          </w:tcPr>
          <w:p>
            <w:r/>
            <w:r>
              <w:rPr>
                <w:color w:val="363B3B"/>
                <w:sz w:val="18"/>
              </w:rPr>
              <w:t>800×600</w:t>
            </w:r>
          </w:p>
        </w:tc>
        <w:tc>
          <w:tcPr>
            <w:tcW w:type="dxa" w:w="1814"/>
            <w:shd w:fill="F8F8F8"/>
          </w:tcPr>
          <w:p>
            <w:r/>
            <w:r>
              <w:rPr>
                <w:color w:val="363B3B"/>
                <w:sz w:val="18"/>
              </w:rPr>
              <w:t>https://lumivex-images.pages.dev/card-prescribing.jpeg</w:t>
            </w:r>
          </w:p>
        </w:tc>
        <w:tc>
          <w:tcPr>
            <w:tcW w:type="dxa" w:w="1814"/>
            <w:shd w:fill="F8F8F8"/>
          </w:tcPr>
          <w:p>
            <w:r/>
            <w:r>
              <w:rPr>
                <w:color w:val="363B3B"/>
                <w:sz w:val="18"/>
              </w:rPr>
              <w:t>Resources — prescribing guide</w:t>
            </w:r>
          </w:p>
        </w:tc>
      </w:tr>
      <w:tr>
        <w:tc>
          <w:tcPr>
            <w:tcW w:type="dxa" w:w="1814"/>
          </w:tcPr>
          <w:p>
            <w:r/>
            <w:r>
              <w:rPr>
                <w:color w:val="363B3B"/>
                <w:sz w:val="18"/>
              </w:rPr>
              <w:t>21</w:t>
            </w:r>
          </w:p>
        </w:tc>
        <w:tc>
          <w:tcPr>
            <w:tcW w:type="dxa" w:w="1814"/>
          </w:tcPr>
          <w:p>
            <w:r/>
            <w:r>
              <w:rPr>
                <w:color w:val="363B3B"/>
                <w:sz w:val="18"/>
              </w:rPr>
              <w:t>card-patient-guide.jpeg</w:t>
            </w:r>
          </w:p>
        </w:tc>
        <w:tc>
          <w:tcPr>
            <w:tcW w:type="dxa" w:w="1814"/>
          </w:tcPr>
          <w:p>
            <w:r/>
            <w:r>
              <w:rPr>
                <w:color w:val="363B3B"/>
                <w:sz w:val="18"/>
              </w:rPr>
              <w:t>800×600</w:t>
            </w:r>
          </w:p>
        </w:tc>
        <w:tc>
          <w:tcPr>
            <w:tcW w:type="dxa" w:w="1814"/>
          </w:tcPr>
          <w:p>
            <w:r/>
            <w:r>
              <w:rPr>
                <w:color w:val="363B3B"/>
                <w:sz w:val="18"/>
              </w:rPr>
              <w:t>https://lumivex-images.pages.dev/card-patient-guide.jpeg</w:t>
            </w:r>
          </w:p>
        </w:tc>
        <w:tc>
          <w:tcPr>
            <w:tcW w:type="dxa" w:w="1814"/>
          </w:tcPr>
          <w:p>
            <w:r/>
            <w:r>
              <w:rPr>
                <w:color w:val="363B3B"/>
                <w:sz w:val="18"/>
              </w:rPr>
              <w:t>Resources — patient guide</w:t>
            </w:r>
          </w:p>
        </w:tc>
      </w:tr>
      <w:tr>
        <w:tc>
          <w:tcPr>
            <w:tcW w:type="dxa" w:w="1814"/>
            <w:shd w:fill="F8F8F8"/>
          </w:tcPr>
          <w:p>
            <w:r/>
            <w:r>
              <w:rPr>
                <w:color w:val="363B3B"/>
                <w:sz w:val="18"/>
              </w:rPr>
              <w:t>22</w:t>
            </w:r>
          </w:p>
        </w:tc>
        <w:tc>
          <w:tcPr>
            <w:tcW w:type="dxa" w:w="1814"/>
            <w:shd w:fill="F8F8F8"/>
          </w:tcPr>
          <w:p>
            <w:r/>
            <w:r>
              <w:rPr>
                <w:color w:val="363B3B"/>
                <w:sz w:val="18"/>
              </w:rPr>
              <w:t>card-clinical-data.jpeg</w:t>
            </w:r>
          </w:p>
        </w:tc>
        <w:tc>
          <w:tcPr>
            <w:tcW w:type="dxa" w:w="1814"/>
            <w:shd w:fill="F8F8F8"/>
          </w:tcPr>
          <w:p>
            <w:r/>
            <w:r>
              <w:rPr>
                <w:color w:val="363B3B"/>
                <w:sz w:val="18"/>
              </w:rPr>
              <w:t>800×600</w:t>
            </w:r>
          </w:p>
        </w:tc>
        <w:tc>
          <w:tcPr>
            <w:tcW w:type="dxa" w:w="1814"/>
            <w:shd w:fill="F8F8F8"/>
          </w:tcPr>
          <w:p>
            <w:r/>
            <w:r>
              <w:rPr>
                <w:color w:val="363B3B"/>
                <w:sz w:val="18"/>
              </w:rPr>
              <w:t>https://lumivex-images.pages.dev/card-clinical-data.jpeg</w:t>
            </w:r>
          </w:p>
        </w:tc>
        <w:tc>
          <w:tcPr>
            <w:tcW w:type="dxa" w:w="1814"/>
            <w:shd w:fill="F8F8F8"/>
          </w:tcPr>
          <w:p>
            <w:r/>
            <w:r>
              <w:rPr>
                <w:color w:val="363B3B"/>
                <w:sz w:val="18"/>
              </w:rPr>
              <w:t>Resources — clinical data</w:t>
            </w:r>
          </w:p>
        </w:tc>
      </w:tr>
      <w:tr>
        <w:tc>
          <w:tcPr>
            <w:tcW w:type="dxa" w:w="1814"/>
          </w:tcPr>
          <w:p>
            <w:r/>
            <w:r>
              <w:rPr>
                <w:color w:val="363B3B"/>
                <w:sz w:val="18"/>
              </w:rPr>
              <w:t>23</w:t>
            </w:r>
          </w:p>
        </w:tc>
        <w:tc>
          <w:tcPr>
            <w:tcW w:type="dxa" w:w="1814"/>
          </w:tcPr>
          <w:p>
            <w:r/>
            <w:r>
              <w:rPr>
                <w:color w:val="363B3B"/>
                <w:sz w:val="18"/>
              </w:rPr>
              <w:t>contact-support.jpeg</w:t>
            </w:r>
          </w:p>
        </w:tc>
        <w:tc>
          <w:tcPr>
            <w:tcW w:type="dxa" w:w="1814"/>
          </w:tcPr>
          <w:p>
            <w:r/>
            <w:r>
              <w:rPr>
                <w:color w:val="363B3B"/>
                <w:sz w:val="18"/>
              </w:rPr>
              <w:t>800×600</w:t>
            </w:r>
          </w:p>
        </w:tc>
        <w:tc>
          <w:tcPr>
            <w:tcW w:type="dxa" w:w="1814"/>
          </w:tcPr>
          <w:p>
            <w:r/>
            <w:r>
              <w:rPr>
                <w:color w:val="363B3B"/>
                <w:sz w:val="18"/>
              </w:rPr>
              <w:t>https://lumivex-images.pages.dev/contact-support.jpeg</w:t>
            </w:r>
          </w:p>
        </w:tc>
        <w:tc>
          <w:tcPr>
            <w:tcW w:type="dxa" w:w="1814"/>
          </w:tcPr>
          <w:p>
            <w:r/>
            <w:r>
              <w:rPr>
                <w:color w:val="363B3B"/>
                <w:sz w:val="18"/>
              </w:rPr>
              <w:t>Resources — contact</w:t>
            </w:r>
          </w:p>
        </w:tc>
      </w:tr>
    </w:tbl>
    <w:p/>
    <w:p>
      <w:r>
        <w:rPr>
          <w:b w:val="0"/>
          <w:i w:val="0"/>
          <w:color w:val="363B3B"/>
          <w:sz w:val="20"/>
        </w:rPr>
        <w:t>Shared assets (also on CDN):</w:t>
      </w:r>
    </w:p>
    <w:p>
      <w:r>
        <w:rPr>
          <w:b w:val="0"/>
          <w:i w:val="0"/>
          <w:color w:val="363B3B"/>
          <w:sz w:val="20"/>
        </w:rPr>
        <w:t>• AstraZeneca logo: https://lumivex-images.pages.dev/astrazeneca-logo.png</w:t>
      </w:r>
    </w:p>
    <w:p>
      <w:r>
        <w:rPr>
          <w:b w:val="0"/>
          <w:i w:val="0"/>
          <w:color w:val="363B3B"/>
          <w:sz w:val="20"/>
        </w:rPr>
        <w:t>• Search icon: https://lumivex-images.pages.dev/search.svg</w:t>
      </w:r>
    </w:p>
    <w:p/>
    <w:p/>
    <w:p>
      <w:pPr>
        <w:jc w:val="center"/>
      </w:pPr>
      <w:r>
        <w:rPr>
          <w:color w:val="666666"/>
          <w:sz w:val="16"/>
        </w:rPr>
        <w:t>GB-94281 | DOP: March 2026 | © 2026 AstraZeneca. All rights reserved.</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63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300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300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300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8300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