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KLERA®</w:t>
      </w:r>
    </w:p>
    <w:p>
      <w:pPr>
        <w:jc w:val="center"/>
      </w:pPr>
      <w:r>
        <w:rPr>
          <w:color w:val="363B3B"/>
          <w:sz w:val="36"/>
        </w:rPr>
        <w:t>(klerafistat)</w:t>
      </w:r>
    </w:p>
    <w:p/>
    <w:p>
      <w:pPr>
        <w:jc w:val="center"/>
      </w:pPr>
      <w:r>
        <w:rPr>
          <w:b/>
          <w:color w:val="2E7D32"/>
          <w:sz w:val="48"/>
        </w:rPr>
        <w:t>Website Briefing</w:t>
      </w:r>
    </w:p>
    <w:p/>
    <w:p>
      <w:pPr>
        <w:jc w:val="center"/>
      </w:pPr>
      <w:r>
        <w:rPr>
          <w:i/>
          <w:color w:val="2E7D32"/>
          <w:sz w:val="28"/>
        </w:rPr>
        <w:t>Clearing the path to liver health.</w:t>
      </w:r>
    </w:p>
    <w:p/>
    <w:p>
      <w:pPr>
        <w:jc w:val="center"/>
      </w:pPr>
      <w:r>
        <w:rPr>
          <w:color w:val="666666"/>
          <w:sz w:val="20"/>
        </w:rPr>
        <w:t>Document type: Final approved marketing brief for HCP website build</w:t>
      </w:r>
    </w:p>
    <w:p>
      <w:pPr>
        <w:jc w:val="center"/>
      </w:pPr>
      <w:r>
        <w:rPr>
          <w:color w:val="666666"/>
          <w:sz w:val="20"/>
        </w:rPr>
        <w:t>Prepared by: Marketing — UK Metabolic &amp; Hepatology Franchise</w:t>
      </w:r>
    </w:p>
    <w:p>
      <w:pPr>
        <w:jc w:val="center"/>
      </w:pPr>
      <w:r>
        <w:rPr>
          <w:color w:val="666666"/>
          <w:sz w:val="20"/>
        </w:rPr>
        <w:t>Approval status: MLR-approved copy — do not modify</w:t>
      </w:r>
    </w:p>
    <w:p>
      <w:pPr>
        <w:jc w:val="center"/>
      </w:pPr>
      <w:r>
        <w:rPr>
          <w:color w:val="666666"/>
          <w:sz w:val="20"/>
        </w:rPr>
        <w:t>Date: March 2026</w:t>
      </w:r>
    </w:p>
    <w:p>
      <w:pPr>
        <w:jc w:val="center"/>
      </w:pPr>
      <w:r>
        <w:rPr>
          <w:color w:val="666666"/>
          <w:sz w:val="20"/>
        </w:rPr>
        <w:t>Approval code: GB-13402 | DOP: March 2026</w:t>
      </w:r>
    </w:p>
    <w:p>
      <w:r>
        <w:br w:type="page"/>
      </w:r>
    </w:p>
    <w:p>
      <w:pPr>
        <w:pStyle w:val="Heading1"/>
      </w:pPr>
      <w:r>
        <w:rPr>
          <w:color w:val="830051"/>
        </w:rPr>
        <w:t>Contents</w:t>
      </w:r>
    </w:p>
    <w:p>
      <w:r>
        <w:rPr>
          <w:color w:val="363B3B"/>
          <w:sz w:val="20"/>
        </w:rPr>
        <w:t>1. Drug Profile</w:t>
      </w:r>
    </w:p>
    <w:p>
      <w:r>
        <w:rPr>
          <w:color w:val="363B3B"/>
          <w:sz w:val="20"/>
        </w:rPr>
        <w:t>2. Mechanism of Action</w:t>
      </w:r>
    </w:p>
    <w:p>
      <w:r>
        <w:rPr>
          <w:color w:val="363B3B"/>
          <w:sz w:val="20"/>
        </w:rPr>
        <w:t>3. Clinical Programme: CLARITY</w:t>
      </w:r>
    </w:p>
    <w:p>
      <w:r>
        <w:rPr>
          <w:color w:val="363B3B"/>
          <w:sz w:val="20"/>
        </w:rPr>
        <w:t>4. Safety Profile</w:t>
      </w:r>
    </w:p>
    <w:p>
      <w:r>
        <w:rPr>
          <w:color w:val="363B3B"/>
          <w:sz w:val="20"/>
        </w:rPr>
        <w:t>5. Prescribing Information</w:t>
      </w:r>
    </w:p>
    <w:p>
      <w:r>
        <w:rPr>
          <w:color w:val="363B3B"/>
          <w:sz w:val="20"/>
        </w:rPr>
        <w:t>6. Adverse Event Reporting</w:t>
      </w:r>
    </w:p>
    <w:p>
      <w:r>
        <w:rPr>
          <w:color w:val="363B3B"/>
          <w:sz w:val="20"/>
        </w:rPr>
        <w:t>7. References</w:t>
      </w:r>
    </w:p>
    <w:p>
      <w:r>
        <w:rPr>
          <w:color w:val="363B3B"/>
          <w:sz w:val="20"/>
        </w:rPr>
        <w:t>8. Site Navigation</w:t>
      </w:r>
    </w:p>
    <w:p>
      <w:r>
        <w:rPr>
          <w:color w:val="363B3B"/>
          <w:sz w:val="20"/>
        </w:rPr>
        <w:t>9. Page Content</w:t>
      </w:r>
    </w:p>
    <w:p>
      <w:r>
        <w:rPr>
          <w:color w:val="363B3B"/>
          <w:sz w:val="20"/>
        </w:rPr>
        <w:t xml:space="preserve">   Page 1: Home</w:t>
      </w:r>
    </w:p>
    <w:p>
      <w:r>
        <w:rPr>
          <w:color w:val="363B3B"/>
          <w:sz w:val="20"/>
        </w:rPr>
        <w:t xml:space="preserve">   Page 2: Understanding MASH</w:t>
      </w:r>
    </w:p>
    <w:p>
      <w:r>
        <w:rPr>
          <w:color w:val="363B3B"/>
          <w:sz w:val="20"/>
        </w:rPr>
        <w:t xml:space="preserve">   Page 3: CLARITY Data</w:t>
      </w:r>
    </w:p>
    <w:p>
      <w:r>
        <w:rPr>
          <w:color w:val="363B3B"/>
          <w:sz w:val="20"/>
        </w:rPr>
        <w:t xml:space="preserve">   Page 4: How KLERA Works</w:t>
      </w:r>
    </w:p>
    <w:p>
      <w:r>
        <w:rPr>
          <w:color w:val="363B3B"/>
          <w:sz w:val="20"/>
        </w:rPr>
        <w:t xml:space="preserve">   Page 5: Safety, Dosing &amp; Monitoring</w:t>
      </w:r>
    </w:p>
    <w:p>
      <w:r>
        <w:rPr>
          <w:color w:val="363B3B"/>
          <w:sz w:val="20"/>
        </w:rPr>
        <w:t xml:space="preserve">   Page 6: HCP Resources &amp; Support</w:t>
      </w:r>
    </w:p>
    <w:p>
      <w:r>
        <w:rPr>
          <w:color w:val="363B3B"/>
          <w:sz w:val="20"/>
        </w:rPr>
        <w:t>10. Footer Content</w:t>
      </w:r>
    </w:p>
    <w:p>
      <w:r>
        <w:rPr>
          <w:color w:val="363B3B"/>
          <w:sz w:val="20"/>
        </w:rPr>
        <w:t>11. Image Assets</w:t>
      </w:r>
    </w:p>
    <w:p>
      <w:r>
        <w:br w:type="page"/>
      </w:r>
    </w:p>
    <w:p>
      <w:pPr>
        <w:pStyle w:val="Heading1"/>
      </w:pPr>
      <w:r>
        <w:rPr>
          <w:color w:val="830051"/>
        </w:rPr>
        <w:t>1. Drug Profile</w:t>
      </w:r>
    </w:p>
    <w:tbl>
      <w:tblPr>
        <w:tblStyle w:val="TableGrid"/>
        <w:tblW w:type="auto" w:w="0"/>
        <w:jc w:val="center"/>
        <w:tblLook w:firstColumn="1" w:firstRow="1" w:lastColumn="0" w:lastRow="0" w:noHBand="0" w:noVBand="1" w:val="04A0"/>
      </w:tblPr>
      <w:tblGrid>
        <w:gridCol w:w="4536"/>
        <w:gridCol w:w="4536"/>
      </w:tblGrid>
      <w:tr>
        <w:tc>
          <w:tcPr>
            <w:tcW w:type="dxa" w:w="4536"/>
            <w:shd w:fill="830051"/>
          </w:tcPr>
          <w:p>
            <w:r/>
            <w:r>
              <w:rPr>
                <w:b/>
                <w:color w:val="FFFFFF"/>
                <w:sz w:val="18"/>
              </w:rPr>
              <w:t>Field</w:t>
            </w:r>
          </w:p>
        </w:tc>
        <w:tc>
          <w:tcPr>
            <w:tcW w:type="dxa" w:w="4536"/>
            <w:shd w:fill="830051"/>
          </w:tcPr>
          <w:p>
            <w:r/>
            <w:r>
              <w:rPr>
                <w:b/>
                <w:color w:val="FFFFFF"/>
                <w:sz w:val="18"/>
              </w:rPr>
              <w:t>Detail</w:t>
            </w:r>
          </w:p>
        </w:tc>
      </w:tr>
      <w:tr>
        <w:tc>
          <w:tcPr>
            <w:tcW w:type="dxa" w:w="4536"/>
          </w:tcPr>
          <w:p>
            <w:r/>
            <w:r>
              <w:rPr>
                <w:color w:val="363B3B"/>
                <w:sz w:val="18"/>
              </w:rPr>
              <w:t>Brand name</w:t>
            </w:r>
          </w:p>
        </w:tc>
        <w:tc>
          <w:tcPr>
            <w:tcW w:type="dxa" w:w="4536"/>
          </w:tcPr>
          <w:p>
            <w:r/>
            <w:r>
              <w:rPr>
                <w:color w:val="363B3B"/>
                <w:sz w:val="18"/>
              </w:rPr>
              <w:t>KLERA®</w:t>
            </w:r>
          </w:p>
        </w:tc>
      </w:tr>
      <w:tr>
        <w:tc>
          <w:tcPr>
            <w:tcW w:type="dxa" w:w="4536"/>
            <w:shd w:fill="F8F8F8"/>
          </w:tcPr>
          <w:p>
            <w:r/>
            <w:r>
              <w:rPr>
                <w:color w:val="363B3B"/>
                <w:sz w:val="18"/>
              </w:rPr>
              <w:t>Generic name</w:t>
            </w:r>
          </w:p>
        </w:tc>
        <w:tc>
          <w:tcPr>
            <w:tcW w:type="dxa" w:w="4536"/>
            <w:shd w:fill="F8F8F8"/>
          </w:tcPr>
          <w:p>
            <w:r/>
            <w:r>
              <w:rPr>
                <w:color w:val="363B3B"/>
                <w:sz w:val="18"/>
              </w:rPr>
              <w:t>klerafistat</w:t>
            </w:r>
          </w:p>
        </w:tc>
      </w:tr>
      <w:tr>
        <w:tc>
          <w:tcPr>
            <w:tcW w:type="dxa" w:w="4536"/>
          </w:tcPr>
          <w:p>
            <w:r/>
            <w:r>
              <w:rPr>
                <w:color w:val="363B3B"/>
                <w:sz w:val="18"/>
              </w:rPr>
              <w:t>Drug class</w:t>
            </w:r>
          </w:p>
        </w:tc>
        <w:tc>
          <w:tcPr>
            <w:tcW w:type="dxa" w:w="4536"/>
          </w:tcPr>
          <w:p>
            <w:r/>
            <w:r>
              <w:rPr>
                <w:color w:val="363B3B"/>
                <w:sz w:val="18"/>
              </w:rPr>
              <w:t>Selective oral thyroid hormone receptor beta (THR-β) agonist</w:t>
            </w:r>
          </w:p>
        </w:tc>
      </w:tr>
      <w:tr>
        <w:tc>
          <w:tcPr>
            <w:tcW w:type="dxa" w:w="4536"/>
            <w:shd w:fill="F8F8F8"/>
          </w:tcPr>
          <w:p>
            <w:r/>
            <w:r>
              <w:rPr>
                <w:color w:val="363B3B"/>
                <w:sz w:val="18"/>
              </w:rPr>
              <w:t>Indication</w:t>
            </w:r>
          </w:p>
        </w:tc>
        <w:tc>
          <w:tcPr>
            <w:tcW w:type="dxa" w:w="4536"/>
            <w:shd w:fill="F8F8F8"/>
          </w:tcPr>
          <w:p>
            <w:r/>
            <w:r>
              <w:rPr>
                <w:color w:val="363B3B"/>
                <w:sz w:val="18"/>
              </w:rPr>
              <w:t>Treatment of adults with non-cirrhotic metabolic dysfunction-associated steatohepatitis (MASH) with moderate to advanced liver fibrosis (stage F2 or F3)</w:t>
            </w:r>
          </w:p>
        </w:tc>
      </w:tr>
      <w:tr>
        <w:tc>
          <w:tcPr>
            <w:tcW w:type="dxa" w:w="4536"/>
          </w:tcPr>
          <w:p>
            <w:r/>
            <w:r>
              <w:rPr>
                <w:color w:val="363B3B"/>
                <w:sz w:val="18"/>
              </w:rPr>
              <w:t>Biomarker context</w:t>
            </w:r>
          </w:p>
        </w:tc>
        <w:tc>
          <w:tcPr>
            <w:tcW w:type="dxa" w:w="4536"/>
          </w:tcPr>
          <w:p>
            <w:r/>
            <w:r>
              <w:rPr>
                <w:color w:val="363B3B"/>
                <w:sz w:val="18"/>
              </w:rPr>
              <w:t>Diagnosis confirmed by liver biopsy or validated non-invasive assessment (FibroScan® ≥8 kPa with NAS ≥4, or ELF ≥9.8)</w:t>
            </w:r>
          </w:p>
        </w:tc>
      </w:tr>
      <w:tr>
        <w:tc>
          <w:tcPr>
            <w:tcW w:type="dxa" w:w="4536"/>
            <w:shd w:fill="F8F8F8"/>
          </w:tcPr>
          <w:p>
            <w:r/>
            <w:r>
              <w:rPr>
                <w:color w:val="363B3B"/>
                <w:sz w:val="18"/>
              </w:rPr>
              <w:t>Formulation</w:t>
            </w:r>
          </w:p>
        </w:tc>
        <w:tc>
          <w:tcPr>
            <w:tcW w:type="dxa" w:w="4536"/>
            <w:shd w:fill="F8F8F8"/>
          </w:tcPr>
          <w:p>
            <w:r/>
            <w:r>
              <w:rPr>
                <w:color w:val="363B3B"/>
                <w:sz w:val="18"/>
              </w:rPr>
              <w:t>80 mg and 100 mg film-coated tablets</w:t>
            </w:r>
          </w:p>
        </w:tc>
      </w:tr>
      <w:tr>
        <w:tc>
          <w:tcPr>
            <w:tcW w:type="dxa" w:w="4536"/>
          </w:tcPr>
          <w:p>
            <w:r/>
            <w:r>
              <w:rPr>
                <w:color w:val="363B3B"/>
                <w:sz w:val="18"/>
              </w:rPr>
              <w:t>Dosing</w:t>
            </w:r>
          </w:p>
        </w:tc>
        <w:tc>
          <w:tcPr>
            <w:tcW w:type="dxa" w:w="4536"/>
          </w:tcPr>
          <w:p>
            <w:r/>
            <w:r>
              <w:rPr>
                <w:color w:val="363B3B"/>
                <w:sz w:val="18"/>
              </w:rPr>
              <w:t>80 mg once daily for the first 3 months, then 100 mg once daily thereafter</w:t>
            </w:r>
          </w:p>
        </w:tc>
      </w:tr>
      <w:tr>
        <w:tc>
          <w:tcPr>
            <w:tcW w:type="dxa" w:w="4536"/>
            <w:shd w:fill="F8F8F8"/>
          </w:tcPr>
          <w:p>
            <w:r/>
            <w:r>
              <w:rPr>
                <w:color w:val="363B3B"/>
                <w:sz w:val="18"/>
              </w:rPr>
              <w:t>Approval</w:t>
            </w:r>
          </w:p>
        </w:tc>
        <w:tc>
          <w:tcPr>
            <w:tcW w:type="dxa" w:w="4536"/>
            <w:shd w:fill="F8F8F8"/>
          </w:tcPr>
          <w:p>
            <w:r/>
            <w:r>
              <w:rPr>
                <w:color w:val="363B3B"/>
                <w:sz w:val="18"/>
              </w:rPr>
              <w:t>MHRA — January 2026</w:t>
            </w:r>
          </w:p>
        </w:tc>
      </w:tr>
      <w:tr>
        <w:tc>
          <w:tcPr>
            <w:tcW w:type="dxa" w:w="4536"/>
          </w:tcPr>
          <w:p>
            <w:r/>
            <w:r>
              <w:rPr>
                <w:color w:val="363B3B"/>
                <w:sz w:val="18"/>
              </w:rPr>
              <w:t>Brand colour</w:t>
            </w:r>
          </w:p>
        </w:tc>
        <w:tc>
          <w:tcPr>
            <w:tcW w:type="dxa" w:w="4536"/>
          </w:tcPr>
          <w:p>
            <w:r/>
            <w:r>
              <w:rPr>
                <w:color w:val="363B3B"/>
                <w:sz w:val="18"/>
              </w:rPr>
              <w:t>Forest Green #2E7D32</w:t>
            </w:r>
          </w:p>
        </w:tc>
      </w:tr>
      <w:tr>
        <w:tc>
          <w:tcPr>
            <w:tcW w:type="dxa" w:w="4536"/>
            <w:shd w:fill="F8F8F8"/>
          </w:tcPr>
          <w:p>
            <w:r/>
            <w:r>
              <w:rPr>
                <w:color w:val="363B3B"/>
                <w:sz w:val="18"/>
              </w:rPr>
              <w:t>Accent colour</w:t>
            </w:r>
          </w:p>
        </w:tc>
        <w:tc>
          <w:tcPr>
            <w:tcW w:type="dxa" w:w="4536"/>
            <w:shd w:fill="F8F8F8"/>
          </w:tcPr>
          <w:p>
            <w:r/>
            <w:r>
              <w:rPr>
                <w:color w:val="363B3B"/>
                <w:sz w:val="18"/>
              </w:rPr>
              <w:t>Warm Amber #D4851F</w:t>
            </w:r>
          </w:p>
        </w:tc>
      </w:tr>
      <w:tr>
        <w:tc>
          <w:tcPr>
            <w:tcW w:type="dxa" w:w="4536"/>
          </w:tcPr>
          <w:p>
            <w:r/>
            <w:r>
              <w:rPr>
                <w:color w:val="363B3B"/>
                <w:sz w:val="18"/>
              </w:rPr>
              <w:t>Approval code</w:t>
            </w:r>
          </w:p>
        </w:tc>
        <w:tc>
          <w:tcPr>
            <w:tcW w:type="dxa" w:w="4536"/>
          </w:tcPr>
          <w:p>
            <w:r/>
            <w:r>
              <w:rPr>
                <w:color w:val="363B3B"/>
                <w:sz w:val="18"/>
              </w:rPr>
              <w:t>GB-13402</w:t>
            </w:r>
          </w:p>
        </w:tc>
      </w:tr>
    </w:tbl>
    <w:p/>
    <w:p>
      <w:r>
        <w:rPr>
          <w:b/>
          <w:color w:val="CC0000"/>
          <w:sz w:val="18"/>
        </w:rPr>
        <w:t>KLERA brand rule: KLERA always appears in capitals, with ® on first mention per page. Generic name (klerafistat) appears in lowercase parentheses on first mention. The approved tagline "Clearing the path to liver health." may only be used verbatim — no variations permitted.</w:t>
      </w:r>
    </w:p>
    <w:p>
      <w:pPr>
        <w:jc w:val="center"/>
      </w:pPr>
      <w:r>
        <w:rPr>
          <w:color w:val="CCCCCC"/>
          <w:sz w:val="16"/>
        </w:rPr>
        <w:t>────────────────────────────────────────────────────────────</w:t>
      </w:r>
    </w:p>
    <w:p>
      <w:pPr>
        <w:pStyle w:val="Heading1"/>
      </w:pPr>
      <w:r>
        <w:rPr>
          <w:color w:val="830051"/>
        </w:rPr>
        <w:t>2. Mechanism of Action</w:t>
      </w:r>
    </w:p>
    <w:p>
      <w:r>
        <w:rPr>
          <w:b w:val="0"/>
          <w:i w:val="0"/>
          <w:color w:val="363B3B"/>
          <w:sz w:val="20"/>
        </w:rPr>
        <w:t>Klerafistat is a liver-directed, selective agonist of thyroid hormone receptor beta (THR-β), the predominant thyroid hormone receptor isoform expressed in hepatocytes. THR-β activation in the liver regulates key metabolic processes including hepatic lipid metabolism, cholesterol homeostasis, and mitochondrial β-oxidation of fatty acids.</w:t>
      </w:r>
    </w:p>
    <w:p>
      <w:r>
        <w:rPr>
          <w:b w:val="0"/>
          <w:i w:val="0"/>
          <w:color w:val="363B3B"/>
          <w:sz w:val="20"/>
        </w:rPr>
        <w:t>In MASH, hepatic steatosis (fat accumulation) drives lipotoxicity, oxidative stress, hepatocyte injury, and progressive inflammation leading to fibrogenesis. Current standard of care (lifestyle modification, weight loss) achieves histological improvement in a minority of patients, and no pharmacological therapy with a liver fibrosis endpoint had been approved in the UK prior to klerafistat.¹ ²</w:t>
      </w:r>
    </w:p>
    <w:p>
      <w:r>
        <w:rPr>
          <w:b w:val="0"/>
          <w:i w:val="0"/>
          <w:color w:val="363B3B"/>
          <w:sz w:val="20"/>
        </w:rPr>
        <w:t>By selectively activating THR-β in the liver, klerafistat produces the following effects:</w:t>
      </w:r>
    </w:p>
    <w:p>
      <w:pPr>
        <w:pStyle w:val="ListBullet"/>
      </w:pPr>
      <w:r>
        <w:rPr>
          <w:sz w:val="20"/>
        </w:rPr>
        <w:t>Increased mitochondrial β-oxidation of hepatic free fatty acids, reducing intrahepatic triglyceride content</w:t>
      </w:r>
    </w:p>
    <w:p>
      <w:pPr>
        <w:pStyle w:val="ListBullet"/>
      </w:pPr>
      <w:r>
        <w:rPr>
          <w:sz w:val="20"/>
        </w:rPr>
        <w:t>Enhanced LDL receptor expression on hepatocytes, lowering circulating LDL-cholesterol</w:t>
      </w:r>
    </w:p>
    <w:p>
      <w:pPr>
        <w:pStyle w:val="ListBullet"/>
      </w:pPr>
      <w:r>
        <w:rPr>
          <w:sz w:val="20"/>
        </w:rPr>
        <w:t>Reduced de novo lipogenesis via suppression of SREBP-1c and ACC activity</w:t>
      </w:r>
    </w:p>
    <w:p>
      <w:pPr>
        <w:pStyle w:val="ListBullet"/>
      </w:pPr>
      <w:r>
        <w:rPr>
          <w:sz w:val="20"/>
        </w:rPr>
        <w:t>Decreased hepatic lipotoxic lipid species (diacylglycerols, ceramides), reducing hepatocyte injury signals</w:t>
      </w:r>
    </w:p>
    <w:p>
      <w:pPr>
        <w:pStyle w:val="ListBullet"/>
      </w:pPr>
      <w:r>
        <w:rPr>
          <w:sz w:val="20"/>
        </w:rPr>
        <w:t>Attenuation of hepatic stellate cell activation and collagen deposition through reduced lipotoxicity-driven inflammation</w:t>
      </w:r>
    </w:p>
    <w:p>
      <w:r>
        <w:rPr>
          <w:b w:val="0"/>
          <w:i w:val="0"/>
          <w:color w:val="363B3B"/>
          <w:sz w:val="20"/>
        </w:rPr>
        <w:t>Critically, klerafistat achieves &gt;30-fold selectivity for THR-β over THR-α, the isoform predominant in the heart and bone. This selectivity avoids the cardiac (tachycardia, arrhythmia) and skeletal (bone loss) effects of non-selective thyroid hormone action, enabling chronic therapeutic use.¹ ² ⁵</w:t>
      </w:r>
    </w:p>
    <w:p>
      <w:pPr>
        <w:jc w:val="center"/>
      </w:pPr>
      <w:r>
        <w:rPr>
          <w:color w:val="CCCCCC"/>
          <w:sz w:val="16"/>
        </w:rPr>
        <w:t>────────────────────────────────────────────────────────────</w:t>
      </w:r>
    </w:p>
    <w:p>
      <w:pPr>
        <w:pStyle w:val="Heading1"/>
      </w:pPr>
      <w:r>
        <w:rPr>
          <w:color w:val="830051"/>
        </w:rPr>
        <w:t>3. Clinical Programme: CLARITY</w:t>
      </w:r>
    </w:p>
    <w:p>
      <w:pPr>
        <w:pStyle w:val="Heading2"/>
      </w:pPr>
      <w:r>
        <w:rPr>
          <w:color w:val="830051"/>
        </w:rPr>
        <w:t>CLARITY-FIBROSIS (Phase III, pivotal — Fibrosis improvement in MASH)</w:t>
      </w:r>
    </w:p>
    <w:p>
      <w:r>
        <w:rPr>
          <w:b/>
          <w:sz w:val="20"/>
        </w:rPr>
        <w:t xml:space="preserve">Design: </w:t>
      </w:r>
      <w:r>
        <w:rPr>
          <w:sz w:val="20"/>
        </w:rPr>
        <w:t>Randomised, double-blind, placebo-controlled Phase III trial</w:t>
      </w:r>
    </w:p>
    <w:p>
      <w:r>
        <w:rPr>
          <w:b/>
          <w:sz w:val="20"/>
        </w:rPr>
        <w:t xml:space="preserve">Population: </w:t>
      </w:r>
      <w:r>
        <w:rPr>
          <w:sz w:val="20"/>
        </w:rPr>
        <w:t>966 adults with biopsy-confirmed MASH (NAS ≥4 with each component ≥1) and liver fibrosis stage F2 or F3, with or without type 2 diabetes</w:t>
      </w:r>
    </w:p>
    <w:p>
      <w:r>
        <w:rPr>
          <w:b/>
          <w:sz w:val="20"/>
        </w:rPr>
        <w:t xml:space="preserve">Duration: </w:t>
      </w:r>
      <w:r>
        <w:rPr>
          <w:sz w:val="20"/>
        </w:rPr>
        <w:t>52 weeks on treatment with paired liver biopsies at baseline and Week 52</w:t>
      </w:r>
    </w:p>
    <w:p>
      <w:r>
        <w:rPr>
          <w:b/>
          <w:sz w:val="20"/>
        </w:rPr>
        <w:t xml:space="preserve">Primary endpoint: </w:t>
      </w:r>
      <w:r>
        <w:rPr>
          <w:sz w:val="20"/>
        </w:rPr>
        <w:t>Proportion achieving ≥1-stage improvement in liver fibrosis without worsening of MASH (NAS) at Week 52</w:t>
      </w:r>
    </w:p>
    <w:p>
      <w:r>
        <w:rPr>
          <w:b/>
          <w:sz w:val="20"/>
        </w:rPr>
        <w:t xml:space="preserve">Key secondary endpoints: </w:t>
      </w:r>
      <w:r>
        <w:rPr>
          <w:sz w:val="20"/>
        </w:rPr>
        <w:t>MASH resolution (ballooning 0, inflammation 0–1) without worsening of fibrosis; combined endpoint (≥1-stage fibrosis improvement AND MASH resolution); change in liver fat by MRI-PDFF; change in LDL-cholesterol; change in ELF score</w:t>
      </w:r>
    </w:p>
    <w:p>
      <w:r>
        <w:rPr>
          <w:b/>
          <w:sz w:val="20"/>
        </w:rPr>
        <w:t xml:space="preserve">Publication: </w:t>
      </w:r>
      <w:r>
        <w:rPr>
          <w:sz w:val="20"/>
        </w:rPr>
        <w:t>Sanyal et al. N Engl J Med 2025; 393(4): 312–326</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KLERA 100 mg (n=483)</w:t>
            </w:r>
          </w:p>
        </w:tc>
        <w:tc>
          <w:tcPr>
            <w:tcW w:type="dxa" w:w="2268"/>
            <w:shd w:fill="830051"/>
          </w:tcPr>
          <w:p>
            <w:r/>
            <w:r>
              <w:rPr>
                <w:b/>
                <w:color w:val="FFFFFF"/>
                <w:sz w:val="18"/>
              </w:rPr>
              <w:t>Placebo (n=483)</w:t>
            </w:r>
          </w:p>
        </w:tc>
        <w:tc>
          <w:tcPr>
            <w:tcW w:type="dxa" w:w="2268"/>
            <w:shd w:fill="830051"/>
          </w:tcPr>
          <w:p>
            <w:r/>
            <w:r>
              <w:rPr>
                <w:b/>
                <w:color w:val="FFFFFF"/>
                <w:sz w:val="18"/>
              </w:rPr>
              <w:t>Treatment effect</w:t>
            </w:r>
          </w:p>
        </w:tc>
      </w:tr>
      <w:tr>
        <w:tc>
          <w:tcPr>
            <w:tcW w:type="dxa" w:w="2268"/>
          </w:tcPr>
          <w:p>
            <w:r/>
            <w:r>
              <w:rPr>
                <w:color w:val="363B3B"/>
                <w:sz w:val="18"/>
              </w:rPr>
              <w:t>≥1-stage fibrosis improvement without MASH worsening (primary)</w:t>
            </w:r>
          </w:p>
        </w:tc>
        <w:tc>
          <w:tcPr>
            <w:tcW w:type="dxa" w:w="2268"/>
          </w:tcPr>
          <w:p>
            <w:r/>
            <w:r>
              <w:rPr>
                <w:color w:val="363B3B"/>
                <w:sz w:val="18"/>
              </w:rPr>
              <w:t>37.1%</w:t>
            </w:r>
          </w:p>
        </w:tc>
        <w:tc>
          <w:tcPr>
            <w:tcW w:type="dxa" w:w="2268"/>
          </w:tcPr>
          <w:p>
            <w:r/>
            <w:r>
              <w:rPr>
                <w:color w:val="363B3B"/>
                <w:sz w:val="18"/>
              </w:rPr>
              <w:t>14.5%</w:t>
            </w:r>
          </w:p>
        </w:tc>
        <w:tc>
          <w:tcPr>
            <w:tcW w:type="dxa" w:w="2268"/>
          </w:tcPr>
          <w:p>
            <w:r/>
            <w:r>
              <w:rPr>
                <w:color w:val="363B3B"/>
                <w:sz w:val="18"/>
              </w:rPr>
              <w:t>Δ 22.6% (17.2–28.0); P&lt;0.001</w:t>
            </w:r>
          </w:p>
        </w:tc>
      </w:tr>
      <w:tr>
        <w:tc>
          <w:tcPr>
            <w:tcW w:type="dxa" w:w="2268"/>
            <w:shd w:fill="F8F8F8"/>
          </w:tcPr>
          <w:p>
            <w:r/>
            <w:r>
              <w:rPr>
                <w:color w:val="363B3B"/>
                <w:sz w:val="18"/>
              </w:rPr>
              <w:t>MASH resolution without fibrosis worsening</w:t>
            </w:r>
          </w:p>
        </w:tc>
        <w:tc>
          <w:tcPr>
            <w:tcW w:type="dxa" w:w="2268"/>
            <w:shd w:fill="F8F8F8"/>
          </w:tcPr>
          <w:p>
            <w:r/>
            <w:r>
              <w:rPr>
                <w:color w:val="363B3B"/>
                <w:sz w:val="18"/>
              </w:rPr>
              <w:t>44.2%</w:t>
            </w:r>
          </w:p>
        </w:tc>
        <w:tc>
          <w:tcPr>
            <w:tcW w:type="dxa" w:w="2268"/>
            <w:shd w:fill="F8F8F8"/>
          </w:tcPr>
          <w:p>
            <w:r/>
            <w:r>
              <w:rPr>
                <w:color w:val="363B3B"/>
                <w:sz w:val="18"/>
              </w:rPr>
              <w:t>16.8%</w:t>
            </w:r>
          </w:p>
        </w:tc>
        <w:tc>
          <w:tcPr>
            <w:tcW w:type="dxa" w:w="2268"/>
            <w:shd w:fill="F8F8F8"/>
          </w:tcPr>
          <w:p>
            <w:r/>
            <w:r>
              <w:rPr>
                <w:color w:val="363B3B"/>
                <w:sz w:val="18"/>
              </w:rPr>
              <w:t>Δ 27.4% (21.8–33.0); P&lt;0.001</w:t>
            </w:r>
          </w:p>
        </w:tc>
      </w:tr>
      <w:tr>
        <w:tc>
          <w:tcPr>
            <w:tcW w:type="dxa" w:w="2268"/>
          </w:tcPr>
          <w:p>
            <w:r/>
            <w:r>
              <w:rPr>
                <w:color w:val="363B3B"/>
                <w:sz w:val="18"/>
              </w:rPr>
              <w:t>Combined: fibrosis improvement + MASH resolution</w:t>
            </w:r>
          </w:p>
        </w:tc>
        <w:tc>
          <w:tcPr>
            <w:tcW w:type="dxa" w:w="2268"/>
          </w:tcPr>
          <w:p>
            <w:r/>
            <w:r>
              <w:rPr>
                <w:color w:val="363B3B"/>
                <w:sz w:val="18"/>
              </w:rPr>
              <w:t>25.4%</w:t>
            </w:r>
          </w:p>
        </w:tc>
        <w:tc>
          <w:tcPr>
            <w:tcW w:type="dxa" w:w="2268"/>
          </w:tcPr>
          <w:p>
            <w:r/>
            <w:r>
              <w:rPr>
                <w:color w:val="363B3B"/>
                <w:sz w:val="18"/>
              </w:rPr>
              <w:t>6.8%</w:t>
            </w:r>
          </w:p>
        </w:tc>
        <w:tc>
          <w:tcPr>
            <w:tcW w:type="dxa" w:w="2268"/>
          </w:tcPr>
          <w:p>
            <w:r/>
            <w:r>
              <w:rPr>
                <w:color w:val="363B3B"/>
                <w:sz w:val="18"/>
              </w:rPr>
              <w:t>Δ 18.6% (14.1–23.1); P&lt;0.001</w:t>
            </w:r>
          </w:p>
        </w:tc>
      </w:tr>
      <w:tr>
        <w:tc>
          <w:tcPr>
            <w:tcW w:type="dxa" w:w="2268"/>
            <w:shd w:fill="F8F8F8"/>
          </w:tcPr>
          <w:p>
            <w:r/>
            <w:r>
              <w:rPr>
                <w:color w:val="363B3B"/>
                <w:sz w:val="18"/>
              </w:rPr>
              <w:t>Liver fat reduction (MRI-PDFF, relative change)</w:t>
            </w:r>
          </w:p>
        </w:tc>
        <w:tc>
          <w:tcPr>
            <w:tcW w:type="dxa" w:w="2268"/>
            <w:shd w:fill="F8F8F8"/>
          </w:tcPr>
          <w:p>
            <w:r/>
            <w:r>
              <w:rPr>
                <w:color w:val="363B3B"/>
                <w:sz w:val="18"/>
              </w:rPr>
              <w:t>−52.3%</w:t>
            </w:r>
          </w:p>
        </w:tc>
        <w:tc>
          <w:tcPr>
            <w:tcW w:type="dxa" w:w="2268"/>
            <w:shd w:fill="F8F8F8"/>
          </w:tcPr>
          <w:p>
            <w:r/>
            <w:r>
              <w:rPr>
                <w:color w:val="363B3B"/>
                <w:sz w:val="18"/>
              </w:rPr>
              <w:t>−10.4%</w:t>
            </w:r>
          </w:p>
        </w:tc>
        <w:tc>
          <w:tcPr>
            <w:tcW w:type="dxa" w:w="2268"/>
            <w:shd w:fill="F8F8F8"/>
          </w:tcPr>
          <w:p>
            <w:r/>
            <w:r>
              <w:rPr>
                <w:color w:val="363B3B"/>
                <w:sz w:val="18"/>
              </w:rPr>
              <w:t>P&lt;0.001</w:t>
            </w:r>
          </w:p>
        </w:tc>
      </w:tr>
      <w:tr>
        <w:tc>
          <w:tcPr>
            <w:tcW w:type="dxa" w:w="2268"/>
          </w:tcPr>
          <w:p>
            <w:r/>
            <w:r>
              <w:rPr>
                <w:color w:val="363B3B"/>
                <w:sz w:val="18"/>
              </w:rPr>
              <w:t>LDL-cholesterol change at Week 52</w:t>
            </w:r>
          </w:p>
        </w:tc>
        <w:tc>
          <w:tcPr>
            <w:tcW w:type="dxa" w:w="2268"/>
          </w:tcPr>
          <w:p>
            <w:r/>
            <w:r>
              <w:rPr>
                <w:color w:val="363B3B"/>
                <w:sz w:val="18"/>
              </w:rPr>
              <w:t>−18.7%</w:t>
            </w:r>
          </w:p>
        </w:tc>
        <w:tc>
          <w:tcPr>
            <w:tcW w:type="dxa" w:w="2268"/>
          </w:tcPr>
          <w:p>
            <w:r/>
            <w:r>
              <w:rPr>
                <w:color w:val="363B3B"/>
                <w:sz w:val="18"/>
              </w:rPr>
              <w:t>+1.2%</w:t>
            </w:r>
          </w:p>
        </w:tc>
        <w:tc>
          <w:tcPr>
            <w:tcW w:type="dxa" w:w="2268"/>
          </w:tcPr>
          <w:p>
            <w:r/>
            <w:r>
              <w:rPr>
                <w:color w:val="363B3B"/>
                <w:sz w:val="18"/>
              </w:rPr>
              <w:t>P&lt;0.001</w:t>
            </w:r>
          </w:p>
        </w:tc>
      </w:tr>
      <w:tr>
        <w:tc>
          <w:tcPr>
            <w:tcW w:type="dxa" w:w="2268"/>
            <w:shd w:fill="F8F8F8"/>
          </w:tcPr>
          <w:p>
            <w:r/>
            <w:r>
              <w:rPr>
                <w:color w:val="363B3B"/>
                <w:sz w:val="18"/>
              </w:rPr>
              <w:t>ELF score change at Week 52</w:t>
            </w:r>
          </w:p>
        </w:tc>
        <w:tc>
          <w:tcPr>
            <w:tcW w:type="dxa" w:w="2268"/>
            <w:shd w:fill="F8F8F8"/>
          </w:tcPr>
          <w:p>
            <w:r/>
            <w:r>
              <w:rPr>
                <w:color w:val="363B3B"/>
                <w:sz w:val="18"/>
              </w:rPr>
              <w:t>−0.72</w:t>
            </w:r>
          </w:p>
        </w:tc>
        <w:tc>
          <w:tcPr>
            <w:tcW w:type="dxa" w:w="2268"/>
            <w:shd w:fill="F8F8F8"/>
          </w:tcPr>
          <w:p>
            <w:r/>
            <w:r>
              <w:rPr>
                <w:color w:val="363B3B"/>
                <w:sz w:val="18"/>
              </w:rPr>
              <w:t>−0.08</w:t>
            </w:r>
          </w:p>
        </w:tc>
        <w:tc>
          <w:tcPr>
            <w:tcW w:type="dxa" w:w="2268"/>
            <w:shd w:fill="F8F8F8"/>
          </w:tcPr>
          <w:p>
            <w:r/>
            <w:r>
              <w:rPr>
                <w:color w:val="363B3B"/>
                <w:sz w:val="18"/>
              </w:rPr>
              <w:t>P&lt;0.001</w:t>
            </w:r>
          </w:p>
        </w:tc>
      </w:tr>
      <w:tr>
        <w:tc>
          <w:tcPr>
            <w:tcW w:type="dxa" w:w="2268"/>
          </w:tcPr>
          <w:p>
            <w:r/>
            <w:r>
              <w:rPr>
                <w:color w:val="363B3B"/>
                <w:sz w:val="18"/>
              </w:rPr>
              <w:t>≥2-stage fibrosis improvement</w:t>
            </w:r>
          </w:p>
        </w:tc>
        <w:tc>
          <w:tcPr>
            <w:tcW w:type="dxa" w:w="2268"/>
          </w:tcPr>
          <w:p>
            <w:r/>
            <w:r>
              <w:rPr>
                <w:color w:val="363B3B"/>
                <w:sz w:val="18"/>
              </w:rPr>
              <w:t>12.8%</w:t>
            </w:r>
          </w:p>
        </w:tc>
        <w:tc>
          <w:tcPr>
            <w:tcW w:type="dxa" w:w="2268"/>
          </w:tcPr>
          <w:p>
            <w:r/>
            <w:r>
              <w:rPr>
                <w:color w:val="363B3B"/>
                <w:sz w:val="18"/>
              </w:rPr>
              <w:t>3.1%</w:t>
            </w:r>
          </w:p>
        </w:tc>
        <w:tc>
          <w:tcPr>
            <w:tcW w:type="dxa" w:w="2268"/>
          </w:tcPr>
          <w:p>
            <w:r/>
            <w:r>
              <w:rPr>
                <w:color w:val="363B3B"/>
                <w:sz w:val="18"/>
              </w:rPr>
              <w:t>Δ 9.7% (6.5–12.9); P&lt;0.001</w:t>
            </w:r>
          </w:p>
        </w:tc>
      </w:tr>
    </w:tbl>
    <w:p/>
    <w:p>
      <w:pPr>
        <w:pStyle w:val="Heading2"/>
      </w:pPr>
      <w:r>
        <w:rPr>
          <w:color w:val="830051"/>
        </w:rPr>
        <w:t>CLARITY-RESOLVE (Phase III — MASH resolution with metabolic benefits)</w:t>
      </w:r>
    </w:p>
    <w:p>
      <w:r>
        <w:rPr>
          <w:b/>
          <w:sz w:val="20"/>
        </w:rPr>
        <w:t xml:space="preserve">Design: </w:t>
      </w:r>
      <w:r>
        <w:rPr>
          <w:sz w:val="20"/>
        </w:rPr>
        <w:t>Randomised, double-blind, placebo-controlled Phase III trial</w:t>
      </w:r>
    </w:p>
    <w:p>
      <w:r>
        <w:rPr>
          <w:b/>
          <w:sz w:val="20"/>
        </w:rPr>
        <w:t xml:space="preserve">Population: </w:t>
      </w:r>
      <w:r>
        <w:rPr>
          <w:sz w:val="20"/>
        </w:rPr>
        <w:t>748 adults with biopsy-confirmed MASH (NAS ≥4) and fibrosis stage F1–F3, with type 2 diabetes (HbA1c 7.0–10.0%)</w:t>
      </w:r>
    </w:p>
    <w:p>
      <w:r>
        <w:rPr>
          <w:b/>
          <w:sz w:val="20"/>
        </w:rPr>
        <w:t xml:space="preserve">Duration: </w:t>
      </w:r>
      <w:r>
        <w:rPr>
          <w:sz w:val="20"/>
        </w:rPr>
        <w:t>52 weeks on treatment with paired liver biopsies</w:t>
      </w:r>
    </w:p>
    <w:p>
      <w:r>
        <w:rPr>
          <w:b/>
          <w:sz w:val="20"/>
        </w:rPr>
        <w:t xml:space="preserve">Primary endpoint: </w:t>
      </w:r>
      <w:r>
        <w:rPr>
          <w:sz w:val="20"/>
        </w:rPr>
        <w:t>MASH resolution (ballooning 0, inflammation 0–1) without worsening of fibrosis at Week 52</w:t>
      </w:r>
    </w:p>
    <w:p>
      <w:r>
        <w:rPr>
          <w:b/>
          <w:sz w:val="20"/>
        </w:rPr>
        <w:t xml:space="preserve">Key secondary endpoints: </w:t>
      </w:r>
      <w:r>
        <w:rPr>
          <w:sz w:val="20"/>
        </w:rPr>
        <w:t>Fibrosis improvement ≥1 stage; combined endpoint; HbA1c change; body weight change; liver fat reduction; triglyceride and VLDL-cholesterol change</w:t>
      </w:r>
    </w:p>
    <w:p>
      <w:r>
        <w:rPr>
          <w:b/>
          <w:sz w:val="20"/>
        </w:rPr>
        <w:t xml:space="preserve">Publication: </w:t>
      </w:r>
      <w:r>
        <w:rPr>
          <w:sz w:val="20"/>
        </w:rPr>
        <w:t>Harrison et al. Lancet 2026; 407(10321): 218–232</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KLERA 100 mg (n=374)</w:t>
            </w:r>
          </w:p>
        </w:tc>
        <w:tc>
          <w:tcPr>
            <w:tcW w:type="dxa" w:w="2268"/>
            <w:shd w:fill="830051"/>
          </w:tcPr>
          <w:p>
            <w:r/>
            <w:r>
              <w:rPr>
                <w:b/>
                <w:color w:val="FFFFFF"/>
                <w:sz w:val="18"/>
              </w:rPr>
              <w:t>Placebo (n=374)</w:t>
            </w:r>
          </w:p>
        </w:tc>
        <w:tc>
          <w:tcPr>
            <w:tcW w:type="dxa" w:w="2268"/>
            <w:shd w:fill="830051"/>
          </w:tcPr>
          <w:p>
            <w:r/>
            <w:r>
              <w:rPr>
                <w:b/>
                <w:color w:val="FFFFFF"/>
                <w:sz w:val="18"/>
              </w:rPr>
              <w:t>Treatment effect</w:t>
            </w:r>
          </w:p>
        </w:tc>
      </w:tr>
      <w:tr>
        <w:tc>
          <w:tcPr>
            <w:tcW w:type="dxa" w:w="2268"/>
          </w:tcPr>
          <w:p>
            <w:r/>
            <w:r>
              <w:rPr>
                <w:color w:val="363B3B"/>
                <w:sz w:val="18"/>
              </w:rPr>
              <w:t>MASH resolution without fibrosis worsening (primary)</w:t>
            </w:r>
          </w:p>
        </w:tc>
        <w:tc>
          <w:tcPr>
            <w:tcW w:type="dxa" w:w="2268"/>
          </w:tcPr>
          <w:p>
            <w:r/>
            <w:r>
              <w:rPr>
                <w:color w:val="363B3B"/>
                <w:sz w:val="18"/>
              </w:rPr>
              <w:t>48.9%</w:t>
            </w:r>
          </w:p>
        </w:tc>
        <w:tc>
          <w:tcPr>
            <w:tcW w:type="dxa" w:w="2268"/>
          </w:tcPr>
          <w:p>
            <w:r/>
            <w:r>
              <w:rPr>
                <w:color w:val="363B3B"/>
                <w:sz w:val="18"/>
              </w:rPr>
              <w:t>18.4%</w:t>
            </w:r>
          </w:p>
        </w:tc>
        <w:tc>
          <w:tcPr>
            <w:tcW w:type="dxa" w:w="2268"/>
          </w:tcPr>
          <w:p>
            <w:r/>
            <w:r>
              <w:rPr>
                <w:color w:val="363B3B"/>
                <w:sz w:val="18"/>
              </w:rPr>
              <w:t>Δ 30.5% (24.1–36.9); P&lt;0.001</w:t>
            </w:r>
          </w:p>
        </w:tc>
      </w:tr>
      <w:tr>
        <w:tc>
          <w:tcPr>
            <w:tcW w:type="dxa" w:w="2268"/>
            <w:shd w:fill="F8F8F8"/>
          </w:tcPr>
          <w:p>
            <w:r/>
            <w:r>
              <w:rPr>
                <w:color w:val="363B3B"/>
                <w:sz w:val="18"/>
              </w:rPr>
              <w:t>≥1-stage fibrosis improvement</w:t>
            </w:r>
          </w:p>
        </w:tc>
        <w:tc>
          <w:tcPr>
            <w:tcW w:type="dxa" w:w="2268"/>
            <w:shd w:fill="F8F8F8"/>
          </w:tcPr>
          <w:p>
            <w:r/>
            <w:r>
              <w:rPr>
                <w:color w:val="363B3B"/>
                <w:sz w:val="18"/>
              </w:rPr>
              <w:t>34.8%</w:t>
            </w:r>
          </w:p>
        </w:tc>
        <w:tc>
          <w:tcPr>
            <w:tcW w:type="dxa" w:w="2268"/>
            <w:shd w:fill="F8F8F8"/>
          </w:tcPr>
          <w:p>
            <w:r/>
            <w:r>
              <w:rPr>
                <w:color w:val="363B3B"/>
                <w:sz w:val="18"/>
              </w:rPr>
              <w:t>15.0%</w:t>
            </w:r>
          </w:p>
        </w:tc>
        <w:tc>
          <w:tcPr>
            <w:tcW w:type="dxa" w:w="2268"/>
            <w:shd w:fill="F8F8F8"/>
          </w:tcPr>
          <w:p>
            <w:r/>
            <w:r>
              <w:rPr>
                <w:color w:val="363B3B"/>
                <w:sz w:val="18"/>
              </w:rPr>
              <w:t>Δ 19.8% (13.8–25.8); P&lt;0.001</w:t>
            </w:r>
          </w:p>
        </w:tc>
      </w:tr>
      <w:tr>
        <w:tc>
          <w:tcPr>
            <w:tcW w:type="dxa" w:w="2268"/>
          </w:tcPr>
          <w:p>
            <w:r/>
            <w:r>
              <w:rPr>
                <w:color w:val="363B3B"/>
                <w:sz w:val="18"/>
              </w:rPr>
              <w:t>Combined: fibrosis improvement + MASH resolution</w:t>
            </w:r>
          </w:p>
        </w:tc>
        <w:tc>
          <w:tcPr>
            <w:tcW w:type="dxa" w:w="2268"/>
          </w:tcPr>
          <w:p>
            <w:r/>
            <w:r>
              <w:rPr>
                <w:color w:val="363B3B"/>
                <w:sz w:val="18"/>
              </w:rPr>
              <w:t>24.6%</w:t>
            </w:r>
          </w:p>
        </w:tc>
        <w:tc>
          <w:tcPr>
            <w:tcW w:type="dxa" w:w="2268"/>
          </w:tcPr>
          <w:p>
            <w:r/>
            <w:r>
              <w:rPr>
                <w:color w:val="363B3B"/>
                <w:sz w:val="18"/>
              </w:rPr>
              <w:t>7.5%</w:t>
            </w:r>
          </w:p>
        </w:tc>
        <w:tc>
          <w:tcPr>
            <w:tcW w:type="dxa" w:w="2268"/>
          </w:tcPr>
          <w:p>
            <w:r/>
            <w:r>
              <w:rPr>
                <w:color w:val="363B3B"/>
                <w:sz w:val="18"/>
              </w:rPr>
              <w:t>Δ 17.1% (12.2–22.0); P&lt;0.001</w:t>
            </w:r>
          </w:p>
        </w:tc>
      </w:tr>
      <w:tr>
        <w:tc>
          <w:tcPr>
            <w:tcW w:type="dxa" w:w="2268"/>
            <w:shd w:fill="F8F8F8"/>
          </w:tcPr>
          <w:p>
            <w:r/>
            <w:r>
              <w:rPr>
                <w:color w:val="363B3B"/>
                <w:sz w:val="18"/>
              </w:rPr>
              <w:t>Liver fat reduction (MRI-PDFF)</w:t>
            </w:r>
          </w:p>
        </w:tc>
        <w:tc>
          <w:tcPr>
            <w:tcW w:type="dxa" w:w="2268"/>
            <w:shd w:fill="F8F8F8"/>
          </w:tcPr>
          <w:p>
            <w:r/>
            <w:r>
              <w:rPr>
                <w:color w:val="363B3B"/>
                <w:sz w:val="18"/>
              </w:rPr>
              <w:t>−58.1%</w:t>
            </w:r>
          </w:p>
        </w:tc>
        <w:tc>
          <w:tcPr>
            <w:tcW w:type="dxa" w:w="2268"/>
            <w:shd w:fill="F8F8F8"/>
          </w:tcPr>
          <w:p>
            <w:r/>
            <w:r>
              <w:rPr>
                <w:color w:val="363B3B"/>
                <w:sz w:val="18"/>
              </w:rPr>
              <w:t>−12.8%</w:t>
            </w:r>
          </w:p>
        </w:tc>
        <w:tc>
          <w:tcPr>
            <w:tcW w:type="dxa" w:w="2268"/>
            <w:shd w:fill="F8F8F8"/>
          </w:tcPr>
          <w:p>
            <w:r/>
            <w:r>
              <w:rPr>
                <w:color w:val="363B3B"/>
                <w:sz w:val="18"/>
              </w:rPr>
              <w:t>P&lt;0.001</w:t>
            </w:r>
          </w:p>
        </w:tc>
      </w:tr>
      <w:tr>
        <w:tc>
          <w:tcPr>
            <w:tcW w:type="dxa" w:w="2268"/>
          </w:tcPr>
          <w:p>
            <w:r/>
            <w:r>
              <w:rPr>
                <w:color w:val="363B3B"/>
                <w:sz w:val="18"/>
              </w:rPr>
              <w:t>HbA1c change at Week 52</w:t>
            </w:r>
          </w:p>
        </w:tc>
        <w:tc>
          <w:tcPr>
            <w:tcW w:type="dxa" w:w="2268"/>
          </w:tcPr>
          <w:p>
            <w:r/>
            <w:r>
              <w:rPr>
                <w:color w:val="363B3B"/>
                <w:sz w:val="18"/>
              </w:rPr>
              <w:t>−0.42%</w:t>
            </w:r>
          </w:p>
        </w:tc>
        <w:tc>
          <w:tcPr>
            <w:tcW w:type="dxa" w:w="2268"/>
          </w:tcPr>
          <w:p>
            <w:r/>
            <w:r>
              <w:rPr>
                <w:color w:val="363B3B"/>
                <w:sz w:val="18"/>
              </w:rPr>
              <w:t>−0.06%</w:t>
            </w:r>
          </w:p>
        </w:tc>
        <w:tc>
          <w:tcPr>
            <w:tcW w:type="dxa" w:w="2268"/>
          </w:tcPr>
          <w:p>
            <w:r/>
            <w:r>
              <w:rPr>
                <w:color w:val="363B3B"/>
                <w:sz w:val="18"/>
              </w:rPr>
              <w:t>Δ −0.36%; P&lt;0.001</w:t>
            </w:r>
          </w:p>
        </w:tc>
      </w:tr>
      <w:tr>
        <w:tc>
          <w:tcPr>
            <w:tcW w:type="dxa" w:w="2268"/>
            <w:shd w:fill="F8F8F8"/>
          </w:tcPr>
          <w:p>
            <w:r/>
            <w:r>
              <w:rPr>
                <w:color w:val="363B3B"/>
                <w:sz w:val="18"/>
              </w:rPr>
              <w:t>Body weight change</w:t>
            </w:r>
          </w:p>
        </w:tc>
        <w:tc>
          <w:tcPr>
            <w:tcW w:type="dxa" w:w="2268"/>
            <w:shd w:fill="F8F8F8"/>
          </w:tcPr>
          <w:p>
            <w:r/>
            <w:r>
              <w:rPr>
                <w:color w:val="363B3B"/>
                <w:sz w:val="18"/>
              </w:rPr>
              <w:t>−2.4 kg</w:t>
            </w:r>
          </w:p>
        </w:tc>
        <w:tc>
          <w:tcPr>
            <w:tcW w:type="dxa" w:w="2268"/>
            <w:shd w:fill="F8F8F8"/>
          </w:tcPr>
          <w:p>
            <w:r/>
            <w:r>
              <w:rPr>
                <w:color w:val="363B3B"/>
                <w:sz w:val="18"/>
              </w:rPr>
              <w:t>−0.3 kg</w:t>
            </w:r>
          </w:p>
        </w:tc>
        <w:tc>
          <w:tcPr>
            <w:tcW w:type="dxa" w:w="2268"/>
            <w:shd w:fill="F8F8F8"/>
          </w:tcPr>
          <w:p>
            <w:r/>
            <w:r>
              <w:rPr>
                <w:color w:val="363B3B"/>
                <w:sz w:val="18"/>
              </w:rPr>
              <w:t>Δ −2.1 kg; P&lt;0.001</w:t>
            </w:r>
          </w:p>
        </w:tc>
      </w:tr>
      <w:tr>
        <w:tc>
          <w:tcPr>
            <w:tcW w:type="dxa" w:w="2268"/>
          </w:tcPr>
          <w:p>
            <w:r/>
            <w:r>
              <w:rPr>
                <w:color w:val="363B3B"/>
                <w:sz w:val="18"/>
              </w:rPr>
              <w:t>Triglycerides change</w:t>
            </w:r>
          </w:p>
        </w:tc>
        <w:tc>
          <w:tcPr>
            <w:tcW w:type="dxa" w:w="2268"/>
          </w:tcPr>
          <w:p>
            <w:r/>
            <w:r>
              <w:rPr>
                <w:color w:val="363B3B"/>
                <w:sz w:val="18"/>
              </w:rPr>
              <w:t>−24.6%</w:t>
            </w:r>
          </w:p>
        </w:tc>
        <w:tc>
          <w:tcPr>
            <w:tcW w:type="dxa" w:w="2268"/>
          </w:tcPr>
          <w:p>
            <w:r/>
            <w:r>
              <w:rPr>
                <w:color w:val="363B3B"/>
                <w:sz w:val="18"/>
              </w:rPr>
              <w:t>−3.8%</w:t>
            </w:r>
          </w:p>
        </w:tc>
        <w:tc>
          <w:tcPr>
            <w:tcW w:type="dxa" w:w="2268"/>
          </w:tcPr>
          <w:p>
            <w:r/>
            <w:r>
              <w:rPr>
                <w:color w:val="363B3B"/>
                <w:sz w:val="18"/>
              </w:rPr>
              <w:t>P&lt;0.001</w:t>
            </w:r>
          </w:p>
        </w:tc>
      </w:tr>
      <w:tr>
        <w:tc>
          <w:tcPr>
            <w:tcW w:type="dxa" w:w="2268"/>
            <w:shd w:fill="F8F8F8"/>
          </w:tcPr>
          <w:p>
            <w:r/>
            <w:r>
              <w:rPr>
                <w:color w:val="363B3B"/>
                <w:sz w:val="18"/>
              </w:rPr>
              <w:t>LDL-cholesterol change</w:t>
            </w:r>
          </w:p>
        </w:tc>
        <w:tc>
          <w:tcPr>
            <w:tcW w:type="dxa" w:w="2268"/>
            <w:shd w:fill="F8F8F8"/>
          </w:tcPr>
          <w:p>
            <w:r/>
            <w:r>
              <w:rPr>
                <w:color w:val="363B3B"/>
                <w:sz w:val="18"/>
              </w:rPr>
              <w:t>−16.9%</w:t>
            </w:r>
          </w:p>
        </w:tc>
        <w:tc>
          <w:tcPr>
            <w:tcW w:type="dxa" w:w="2268"/>
            <w:shd w:fill="F8F8F8"/>
          </w:tcPr>
          <w:p>
            <w:r/>
            <w:r>
              <w:rPr>
                <w:color w:val="363B3B"/>
                <w:sz w:val="18"/>
              </w:rPr>
              <w:t>+0.8%</w:t>
            </w:r>
          </w:p>
        </w:tc>
        <w:tc>
          <w:tcPr>
            <w:tcW w:type="dxa" w:w="2268"/>
            <w:shd w:fill="F8F8F8"/>
          </w:tcPr>
          <w:p>
            <w:r/>
            <w:r>
              <w:rPr>
                <w:color w:val="363B3B"/>
                <w:sz w:val="18"/>
              </w:rPr>
              <w:t>P&lt;0.001</w:t>
            </w:r>
          </w:p>
        </w:tc>
      </w:tr>
    </w:tbl>
    <w:p>
      <w:pPr>
        <w:jc w:val="center"/>
      </w:pPr>
      <w:r>
        <w:rPr>
          <w:color w:val="CCCCCC"/>
          <w:sz w:val="16"/>
        </w:rPr>
        <w:t>────────────────────────────────────────────────────────────</w:t>
      </w:r>
    </w:p>
    <w:p>
      <w:pPr>
        <w:pStyle w:val="Heading1"/>
      </w:pPr>
      <w:r>
        <w:rPr>
          <w:color w:val="830051"/>
        </w:rPr>
        <w:t>4. Safety Profile (Pooled CLARITY data, N=857 KLERA)</w:t>
      </w:r>
    </w:p>
    <w:p>
      <w:pPr>
        <w:pStyle w:val="Heading2"/>
      </w:pPr>
      <w:r>
        <w:rPr>
          <w:color w:val="830051"/>
        </w:rPr>
        <w:t>Most common adverse events (≥5%)</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KLERA (%)</w:t>
            </w:r>
          </w:p>
        </w:tc>
        <w:tc>
          <w:tcPr>
            <w:tcW w:type="dxa" w:w="3024"/>
            <w:shd w:fill="830051"/>
          </w:tcPr>
          <w:p>
            <w:r/>
            <w:r>
              <w:rPr>
                <w:b/>
                <w:color w:val="FFFFFF"/>
                <w:sz w:val="18"/>
              </w:rPr>
              <w:t>Placebo (%)</w:t>
            </w:r>
          </w:p>
        </w:tc>
      </w:tr>
      <w:tr>
        <w:tc>
          <w:tcPr>
            <w:tcW w:type="dxa" w:w="3024"/>
          </w:tcPr>
          <w:p>
            <w:r/>
            <w:r>
              <w:rPr>
                <w:color w:val="363B3B"/>
                <w:sz w:val="18"/>
              </w:rPr>
              <w:t>Diarrhoea</w:t>
            </w:r>
          </w:p>
        </w:tc>
        <w:tc>
          <w:tcPr>
            <w:tcW w:type="dxa" w:w="3024"/>
          </w:tcPr>
          <w:p>
            <w:r/>
            <w:r>
              <w:rPr>
                <w:color w:val="363B3B"/>
                <w:sz w:val="18"/>
              </w:rPr>
              <w:t>26.4</w:t>
            </w:r>
          </w:p>
        </w:tc>
        <w:tc>
          <w:tcPr>
            <w:tcW w:type="dxa" w:w="3024"/>
          </w:tcPr>
          <w:p>
            <w:r/>
            <w:r>
              <w:rPr>
                <w:color w:val="363B3B"/>
                <w:sz w:val="18"/>
              </w:rPr>
              <w:t>12.1</w:t>
            </w:r>
          </w:p>
        </w:tc>
      </w:tr>
      <w:tr>
        <w:tc>
          <w:tcPr>
            <w:tcW w:type="dxa" w:w="3024"/>
            <w:shd w:fill="F8F8F8"/>
          </w:tcPr>
          <w:p>
            <w:r/>
            <w:r>
              <w:rPr>
                <w:color w:val="363B3B"/>
                <w:sz w:val="18"/>
              </w:rPr>
              <w:t>Nausea</w:t>
            </w:r>
          </w:p>
        </w:tc>
        <w:tc>
          <w:tcPr>
            <w:tcW w:type="dxa" w:w="3024"/>
            <w:shd w:fill="F8F8F8"/>
          </w:tcPr>
          <w:p>
            <w:r/>
            <w:r>
              <w:rPr>
                <w:color w:val="363B3B"/>
                <w:sz w:val="18"/>
              </w:rPr>
              <w:t>18.7</w:t>
            </w:r>
          </w:p>
        </w:tc>
        <w:tc>
          <w:tcPr>
            <w:tcW w:type="dxa" w:w="3024"/>
            <w:shd w:fill="F8F8F8"/>
          </w:tcPr>
          <w:p>
            <w:r/>
            <w:r>
              <w:rPr>
                <w:color w:val="363B3B"/>
                <w:sz w:val="18"/>
              </w:rPr>
              <w:t>8.3</w:t>
            </w:r>
          </w:p>
        </w:tc>
      </w:tr>
      <w:tr>
        <w:tc>
          <w:tcPr>
            <w:tcW w:type="dxa" w:w="3024"/>
          </w:tcPr>
          <w:p>
            <w:r/>
            <w:r>
              <w:rPr>
                <w:color w:val="363B3B"/>
                <w:sz w:val="18"/>
              </w:rPr>
              <w:t>Abdominal pain</w:t>
            </w:r>
          </w:p>
        </w:tc>
        <w:tc>
          <w:tcPr>
            <w:tcW w:type="dxa" w:w="3024"/>
          </w:tcPr>
          <w:p>
            <w:r/>
            <w:r>
              <w:rPr>
                <w:color w:val="363B3B"/>
                <w:sz w:val="18"/>
              </w:rPr>
              <w:t>9.1</w:t>
            </w:r>
          </w:p>
        </w:tc>
        <w:tc>
          <w:tcPr>
            <w:tcW w:type="dxa" w:w="3024"/>
          </w:tcPr>
          <w:p>
            <w:r/>
            <w:r>
              <w:rPr>
                <w:color w:val="363B3B"/>
                <w:sz w:val="18"/>
              </w:rPr>
              <w:t>5.4</w:t>
            </w:r>
          </w:p>
        </w:tc>
      </w:tr>
      <w:tr>
        <w:tc>
          <w:tcPr>
            <w:tcW w:type="dxa" w:w="3024"/>
            <w:shd w:fill="F8F8F8"/>
          </w:tcPr>
          <w:p>
            <w:r/>
            <w:r>
              <w:rPr>
                <w:color w:val="363B3B"/>
                <w:sz w:val="18"/>
              </w:rPr>
              <w:t>Weight loss</w:t>
            </w:r>
          </w:p>
        </w:tc>
        <w:tc>
          <w:tcPr>
            <w:tcW w:type="dxa" w:w="3024"/>
            <w:shd w:fill="F8F8F8"/>
          </w:tcPr>
          <w:p>
            <w:r/>
            <w:r>
              <w:rPr>
                <w:color w:val="363B3B"/>
                <w:sz w:val="18"/>
              </w:rPr>
              <w:t>7.8</w:t>
            </w:r>
          </w:p>
        </w:tc>
        <w:tc>
          <w:tcPr>
            <w:tcW w:type="dxa" w:w="3024"/>
            <w:shd w:fill="F8F8F8"/>
          </w:tcPr>
          <w:p>
            <w:r/>
            <w:r>
              <w:rPr>
                <w:color w:val="363B3B"/>
                <w:sz w:val="18"/>
              </w:rPr>
              <w:t>2.1</w:t>
            </w:r>
          </w:p>
        </w:tc>
      </w:tr>
      <w:tr>
        <w:tc>
          <w:tcPr>
            <w:tcW w:type="dxa" w:w="3024"/>
          </w:tcPr>
          <w:p>
            <w:r/>
            <w:r>
              <w:rPr>
                <w:color w:val="363B3B"/>
                <w:sz w:val="18"/>
              </w:rPr>
              <w:t>Headache</w:t>
            </w:r>
          </w:p>
        </w:tc>
        <w:tc>
          <w:tcPr>
            <w:tcW w:type="dxa" w:w="3024"/>
          </w:tcPr>
          <w:p>
            <w:r/>
            <w:r>
              <w:rPr>
                <w:color w:val="363B3B"/>
                <w:sz w:val="18"/>
              </w:rPr>
              <w:t>6.4</w:t>
            </w:r>
          </w:p>
        </w:tc>
        <w:tc>
          <w:tcPr>
            <w:tcW w:type="dxa" w:w="3024"/>
          </w:tcPr>
          <w:p>
            <w:r/>
            <w:r>
              <w:rPr>
                <w:color w:val="363B3B"/>
                <w:sz w:val="18"/>
              </w:rPr>
              <w:t>5.8</w:t>
            </w:r>
          </w:p>
        </w:tc>
      </w:tr>
      <w:tr>
        <w:tc>
          <w:tcPr>
            <w:tcW w:type="dxa" w:w="3024"/>
            <w:shd w:fill="F8F8F8"/>
          </w:tcPr>
          <w:p>
            <w:r/>
            <w:r>
              <w:rPr>
                <w:color w:val="363B3B"/>
                <w:sz w:val="18"/>
              </w:rPr>
              <w:t>Fatigue</w:t>
            </w:r>
          </w:p>
        </w:tc>
        <w:tc>
          <w:tcPr>
            <w:tcW w:type="dxa" w:w="3024"/>
            <w:shd w:fill="F8F8F8"/>
          </w:tcPr>
          <w:p>
            <w:r/>
            <w:r>
              <w:rPr>
                <w:color w:val="363B3B"/>
                <w:sz w:val="18"/>
              </w:rPr>
              <w:t>5.9</w:t>
            </w:r>
          </w:p>
        </w:tc>
        <w:tc>
          <w:tcPr>
            <w:tcW w:type="dxa" w:w="3024"/>
            <w:shd w:fill="F8F8F8"/>
          </w:tcPr>
          <w:p>
            <w:r/>
            <w:r>
              <w:rPr>
                <w:color w:val="363B3B"/>
                <w:sz w:val="18"/>
              </w:rPr>
              <w:t>4.2</w:t>
            </w:r>
          </w:p>
        </w:tc>
      </w:tr>
      <w:tr>
        <w:tc>
          <w:tcPr>
            <w:tcW w:type="dxa" w:w="3024"/>
          </w:tcPr>
          <w:p>
            <w:r/>
            <w:r>
              <w:rPr>
                <w:color w:val="363B3B"/>
                <w:sz w:val="18"/>
              </w:rPr>
              <w:t>Nasopharyngitis</w:t>
            </w:r>
          </w:p>
        </w:tc>
        <w:tc>
          <w:tcPr>
            <w:tcW w:type="dxa" w:w="3024"/>
          </w:tcPr>
          <w:p>
            <w:r/>
            <w:r>
              <w:rPr>
                <w:color w:val="363B3B"/>
                <w:sz w:val="18"/>
              </w:rPr>
              <w:t>5.6</w:t>
            </w:r>
          </w:p>
        </w:tc>
        <w:tc>
          <w:tcPr>
            <w:tcW w:type="dxa" w:w="3024"/>
          </w:tcPr>
          <w:p>
            <w:r/>
            <w:r>
              <w:rPr>
                <w:color w:val="363B3B"/>
                <w:sz w:val="18"/>
              </w:rPr>
              <w:t>5.4</w:t>
            </w:r>
          </w:p>
        </w:tc>
      </w:tr>
    </w:tbl>
    <w:p/>
    <w:p>
      <w:pPr>
        <w:pStyle w:val="Heading2"/>
      </w:pPr>
      <w:r>
        <w:rPr>
          <w:color w:val="830051"/>
        </w:rPr>
        <w:t>Thyroid and cardiac safety</w:t>
      </w:r>
    </w:p>
    <w:p>
      <w:r>
        <w:rPr>
          <w:b w:val="0"/>
          <w:i w:val="0"/>
          <w:color w:val="363B3B"/>
          <w:sz w:val="20"/>
        </w:rPr>
        <w:t>Consistent with selective THR-β agonism, klerafistat produced modest reductions in serum TSH (median nadir −0.8 mIU/L at Week 12, stabilising within normal range in &gt;94% of patients) and total T4 levels without clinically meaningful effects on free T4 or T3. No cases of clinical hyperthyroidism or thyrotoxicosis were reported.³</w:t>
      </w:r>
    </w:p>
    <w:p>
      <w:r>
        <w:rPr>
          <w:b w:val="0"/>
          <w:i w:val="0"/>
          <w:color w:val="363B3B"/>
          <w:sz w:val="20"/>
        </w:rPr>
        <w:t>Cardiac safety was assessed by 24-hour Holter monitoring at Weeks 12 and 52 in a pre-specified sub-study (n=204). Mean resting heart rate increased by 1.8 bpm with KLERA vs 0.2 bpm placebo. No clinically significant arrhythmias, QTc prolongation, or MACE signal was observed. Atrial fibrillation occurred in 0.6% KLERA vs 0.5% placebo.³</w:t>
      </w:r>
    </w:p>
    <w:p/>
    <w:p>
      <w:pPr>
        <w:pStyle w:val="Heading2"/>
      </w:pPr>
      <w:r>
        <w:rPr>
          <w:color w:val="830051"/>
        </w:rPr>
        <w:t>Hepatic safety</w:t>
      </w:r>
    </w:p>
    <w:p>
      <w:r>
        <w:rPr>
          <w:b w:val="0"/>
          <w:i w:val="0"/>
          <w:color w:val="363B3B"/>
          <w:sz w:val="20"/>
        </w:rPr>
        <w:t>Transient ALT elevations &gt;3× ULN occurred in 3.8% of KLERA patients vs 1.9% placebo, predominantly during the dose-escalation phase (Weeks 1–12). These were asymptomatic, not associated with bilirubin elevation, and resolved with continued dosing in the majority of cases. No cases of drug-induced liver injury (DILI), Hy’s Law, or liver failure were observed. One patient (0.1%) discontinued due to persistent ALT elevation.³</w:t>
      </w:r>
    </w:p>
    <w:p>
      <w:r>
        <w:rPr>
          <w:b/>
          <w:i w:val="0"/>
          <w:color w:val="363B3B"/>
          <w:sz w:val="20"/>
        </w:rPr>
        <w:t>Hepatic monitoring: Assess ALT, AST, alkaline phosphatase, and bilirubin before initiation, monthly for the first 3 months (dose-escalation phase), then every 3 months during maintenance.³</w:t>
      </w:r>
    </w:p>
    <w:p/>
    <w:p>
      <w:pPr>
        <w:pStyle w:val="Heading2"/>
      </w:pPr>
      <w:r>
        <w:rPr>
          <w:color w:val="830051"/>
        </w:rPr>
        <w:t>Gastrointestinal events</w:t>
      </w:r>
    </w:p>
    <w:p>
      <w:r>
        <w:rPr>
          <w:b w:val="0"/>
          <w:i w:val="0"/>
          <w:color w:val="363B3B"/>
          <w:sz w:val="20"/>
        </w:rPr>
        <w:t>Diarrhoea (26.4%) and nausea (18.7%) were the most common adverse events, predominantly grade 1–2. Grade ≥3 diarrhoea occurred in 2.8% vs 0.6% placebo. GI events were most frequent during the first 4 weeks and typically self-limited. Dose-escalation from 80 mg to 100 mg at Month 3 was designed to mitigate GI intolerance. Treatment discontinuation due to GI events was 2.1%.³</w:t>
      </w:r>
    </w:p>
    <w:p/>
    <w:p>
      <w:pPr>
        <w:pStyle w:val="Heading2"/>
      </w:pPr>
      <w:r>
        <w:rPr>
          <w:color w:val="830051"/>
        </w:rPr>
        <w:t>Key safety findings</w:t>
      </w:r>
    </w:p>
    <w:p>
      <w:r>
        <w:rPr>
          <w:b/>
          <w:sz w:val="20"/>
        </w:rPr>
        <w:t xml:space="preserve">Serious adverse events: </w:t>
      </w:r>
      <w:r>
        <w:rPr>
          <w:sz w:val="20"/>
        </w:rPr>
        <w:t>7.2% KLERA vs 8.4% placebo</w:t>
      </w:r>
    </w:p>
    <w:p>
      <w:r>
        <w:rPr>
          <w:b/>
          <w:sz w:val="20"/>
        </w:rPr>
        <w:t xml:space="preserve">Treatment discontinuation due to AEs: </w:t>
      </w:r>
      <w:r>
        <w:rPr>
          <w:sz w:val="20"/>
        </w:rPr>
        <w:t>5.6% vs 3.4% (GI events 2.1%, ALT elevation 0.1%)</w:t>
      </w:r>
    </w:p>
    <w:p>
      <w:r>
        <w:rPr>
          <w:b/>
          <w:sz w:val="20"/>
        </w:rPr>
        <w:t xml:space="preserve">All-cause mortality: </w:t>
      </w:r>
      <w:r>
        <w:rPr>
          <w:sz w:val="20"/>
        </w:rPr>
        <w:t>0.1% vs 0.2% (no drug-related deaths)</w:t>
      </w:r>
    </w:p>
    <w:p>
      <w:r>
        <w:rPr>
          <w:b/>
          <w:sz w:val="20"/>
        </w:rPr>
        <w:t xml:space="preserve">MACE (adjudicated): </w:t>
      </w:r>
      <w:r>
        <w:rPr>
          <w:sz w:val="20"/>
        </w:rPr>
        <w:t>0.8% vs 0.7% (no signal; independent adjudication committee confirmed no cardiac safety concern)</w:t>
      </w:r>
    </w:p>
    <w:p>
      <w:r>
        <w:rPr>
          <w:b/>
          <w:sz w:val="20"/>
        </w:rPr>
        <w:t xml:space="preserve">Bone density (DXA at Week 52): </w:t>
      </w:r>
      <w:r>
        <w:rPr>
          <w:sz w:val="20"/>
        </w:rPr>
        <w:t>No significant change in lumbar spine or femoral neck BMD with KLERA vs placebo, consistent with THR-β selectivity and sparing of THR-α in bone³</w:t>
      </w:r>
    </w:p>
    <w:p>
      <w:r>
        <w:rPr>
          <w:b/>
          <w:sz w:val="20"/>
        </w:rPr>
        <w:t xml:space="preserve">Gallbladder events: </w:t>
      </w:r>
      <w:r>
        <w:rPr>
          <w:sz w:val="20"/>
        </w:rPr>
        <w:t>Cholelithiasis 1.6% vs 0.8%. Cholecystitis 0.5% vs 0.2%. Consistent with increased hepatic cholesterol clearance³</w:t>
      </w:r>
    </w:p>
    <w:p/>
    <w:p>
      <w:pPr>
        <w:pStyle w:val="Heading2"/>
      </w:pPr>
      <w:r>
        <w:rPr>
          <w:color w:val="830051"/>
        </w:rPr>
        <w:t>Special populations</w:t>
      </w:r>
    </w:p>
    <w:p>
      <w:pPr>
        <w:pStyle w:val="ListBullet"/>
      </w:pPr>
      <w:r>
        <w:rPr>
          <w:b/>
          <w:sz w:val="20"/>
        </w:rPr>
        <w:t>Type 2 diabetes:</w:t>
      </w:r>
      <w:r>
        <w:rPr>
          <w:sz w:val="20"/>
        </w:rPr>
        <w:t xml:space="preserve"> 58% of CLARITY-FIBROSIS and 100% of CLARITY-RESOLVE patients had T2D. HbA1c improved by 0.36% vs placebo. Hypoglycaemia was not increased. No dose adjustment for concurrent metformin, SGLT2 inhibitors, or GLP-1 RAs.³</w:t>
      </w:r>
    </w:p>
    <w:p>
      <w:pPr>
        <w:pStyle w:val="ListBullet"/>
      </w:pPr>
      <w:r>
        <w:rPr>
          <w:b/>
          <w:sz w:val="20"/>
        </w:rPr>
        <w:t>Elderly (≥65 years):</w:t>
      </w:r>
      <w:r>
        <w:rPr>
          <w:sz w:val="20"/>
        </w:rPr>
        <w:t xml:space="preserve"> 24% of pooled population. Efficacy and safety consistent with overall population. Increased GI sensitivity was observed (≥5% higher diarrhoea incidence). No dose adjustment required.³</w:t>
      </w:r>
    </w:p>
    <w:p>
      <w:pPr>
        <w:pStyle w:val="ListBullet"/>
      </w:pPr>
      <w:r>
        <w:rPr>
          <w:b/>
          <w:sz w:val="20"/>
        </w:rPr>
        <w:t>Renal impairment:</w:t>
      </w:r>
      <w:r>
        <w:rPr>
          <w:sz w:val="20"/>
        </w:rPr>
        <w:t xml:space="preserve"> No dose adjustment for eGFR ≥30 mL/min/1.73m². Not studied in eGFR &lt;30.³</w:t>
      </w:r>
    </w:p>
    <w:p>
      <w:pPr>
        <w:pStyle w:val="ListBullet"/>
      </w:pPr>
      <w:r>
        <w:rPr>
          <w:b/>
          <w:sz w:val="20"/>
        </w:rPr>
        <w:t>Hepatic impairment:</w:t>
      </w:r>
      <w:r>
        <w:rPr>
          <w:sz w:val="20"/>
        </w:rPr>
        <w:t xml:space="preserve"> Indicated only in non-cirrhotic MASH (F2–F3). Contraindicated in decompensated cirrhosis (Child-Pugh B or C). Not studied in Child-Pugh A cirrhosis.³</w:t>
      </w:r>
    </w:p>
    <w:p>
      <w:pPr>
        <w:pStyle w:val="ListBullet"/>
      </w:pPr>
      <w:r>
        <w:rPr>
          <w:b/>
          <w:sz w:val="20"/>
        </w:rPr>
        <w:t>Pregnancy and lactation:</w:t>
      </w:r>
      <w:r>
        <w:rPr>
          <w:sz w:val="20"/>
        </w:rPr>
        <w:t xml:space="preserve"> Contraindicated in pregnancy. Animal studies showed embryofetal toxicity at supratherapeutic doses. Women of childbearing potential must use effective contraception during treatment and for 1 month after the last dose. Discontinue breastfeeding during treatment.³</w:t>
      </w:r>
    </w:p>
    <w:p>
      <w:pPr>
        <w:jc w:val="center"/>
      </w:pPr>
      <w:r>
        <w:rPr>
          <w:color w:val="CCCCCC"/>
          <w:sz w:val="16"/>
        </w:rPr>
        <w:t>────────────────────────────────────────────────────────────</w:t>
      </w:r>
    </w:p>
    <w:p>
      <w:pPr>
        <w:pStyle w:val="Heading1"/>
      </w:pPr>
      <w:r>
        <w:rPr>
          <w:color w:val="830051"/>
        </w:rPr>
        <w:t>5. Prescribing Information (abbreviated — for every page footer)</w:t>
      </w:r>
    </w:p>
    <w:p>
      <w:r>
        <w:rPr>
          <w:b w:val="0"/>
          <w:i w:val="0"/>
          <w:color w:val="363B3B"/>
          <w:sz w:val="18"/>
        </w:rPr>
        <w:t>KLERA (klerafistat) 80 mg and 100 mg film-coated tablets. Please refer to the Summary of Product Characteristics (SmPC) before prescribing. Indication: Treatment of adults with non-cirrhotic metabolic dysfunction-associated steatohepatitis (MASH) with moderate to advanced liver fibrosis (stage F2 or F3). Dosage and administration: 80 mg once daily for the first 3 months, then 100 mg once daily, taken with food. Swallow whole; do not crush or chew. Contraindications: Hypersensitivity to klerafistat or excipients; pregnancy; decompensated cirrhosis (Child-Pugh B or C); active thyrotoxicosis. Warnings and precautions: Hepatotoxicity: Monitor LFTs before initiation, monthly for 3 months, then every 3 months. Gastrointestinal: Dose escalation designed to mitigate GI effects. Thyroid function: Monitor TSH at baseline and if clinically indicated. Gallbladder: Increased risk of cholelithiasis. Interactions: No clinically significant CYP interactions identified. Caution with bile acid sequestrants (cholestyramine, colesevelam): may reduce klerafistat absorption; administer KLERA ≥4 hours before or 4 hours after bile acid sequestrants. Caution with statins: additive LDL-lowering effect; monitor for myopathy. Side effects: Very common (≥1/10): diarrhoea, nausea. Common (≥1/100 to &lt;1/10): abdominal pain, weight loss, headache, fatigue, ALT increased, cholelithiasis. Uncommon (≥1/1000 to &lt;1/100): cholecystitis, TSH suppression. Legal category: POM. Pack and price: 28 tablets (80 mg): £476.00; 28 tablets (100 mg): £476.00. Marketing authorisation holder: AstraZeneca UK Ltd. MA number: PLGB 17901/0756. Full prescribing information available from: AstraZeneca UK Ltd, 2 Pancras Square, London N1C 4AG. GB-13402 | DOP: March 2026.</w:t>
      </w:r>
    </w:p>
    <w:p>
      <w:pPr>
        <w:jc w:val="center"/>
      </w:pPr>
      <w:r>
        <w:rPr>
          <w:color w:val="CCCCCC"/>
          <w:sz w:val="16"/>
        </w:rPr>
        <w:t>────────────────────────────────────────────────────────────</w:t>
      </w:r>
    </w:p>
    <w:p>
      <w:pPr>
        <w:pStyle w:val="Heading1"/>
      </w:pPr>
      <w:r>
        <w:rPr>
          <w:color w:val="830051"/>
        </w:rPr>
        <w:t>6. Adverse Event Reporting (for every page footer)</w:t>
      </w:r>
    </w:p>
    <w:p>
      <w:r>
        <w:rPr>
          <w:b w:val="0"/>
          <w:i w:val="0"/>
          <w:color w:val="363B3B"/>
          <w:sz w:val="20"/>
        </w:rP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jc w:val="center"/>
      </w:pPr>
      <w:r>
        <w:rPr>
          <w:color w:val="CCCCCC"/>
          <w:sz w:val="16"/>
        </w:rPr>
        <w:t>────────────────────────────────────────────────────────────</w:t>
      </w:r>
    </w:p>
    <w:p>
      <w:pPr>
        <w:pStyle w:val="Heading1"/>
      </w:pPr>
      <w:r>
        <w:rPr>
          <w:color w:val="830051"/>
        </w:rPr>
        <w:t>7. References (for every page footer)</w:t>
      </w:r>
    </w:p>
    <w:p>
      <w:r>
        <w:rPr>
          <w:i/>
          <w:sz w:val="20"/>
        </w:rPr>
        <w:t>1.  Sanyal et al. N Engl J Med 2025; 393(4): 312–326.</w:t>
      </w:r>
    </w:p>
    <w:p>
      <w:r>
        <w:rPr>
          <w:i/>
          <w:sz w:val="20"/>
        </w:rPr>
        <w:t>2.  Harrison et al. Lancet 2026; 407(10321): 218–232.</w:t>
      </w:r>
    </w:p>
    <w:p>
      <w:r>
        <w:rPr>
          <w:i/>
          <w:sz w:val="20"/>
        </w:rPr>
        <w:t>3.  KLERA (klerafistat) Summary of Product Characteristics. AstraZeneca UK Ltd. January 2026.</w:t>
      </w:r>
    </w:p>
    <w:p>
      <w:r>
        <w:rPr>
          <w:i/>
          <w:sz w:val="20"/>
        </w:rPr>
        <w:t>4.  Younossi ZM, et al. Hepatology 2023; 77(4): 1335–1347.</w:t>
      </w:r>
    </w:p>
    <w:p>
      <w:r>
        <w:rPr>
          <w:i/>
          <w:sz w:val="20"/>
        </w:rPr>
        <w:t>5.  Harrison SA, et al. N Engl J Med 2023; 389(13): 1169–1180.</w:t>
      </w:r>
    </w:p>
    <w:p>
      <w:pPr>
        <w:jc w:val="center"/>
      </w:pPr>
      <w:r>
        <w:rPr>
          <w:color w:val="CCCCCC"/>
          <w:sz w:val="16"/>
        </w:rPr>
        <w:t>────────────────────────────────────────────────────────────</w:t>
      </w:r>
    </w:p>
    <w:p>
      <w:pPr>
        <w:pStyle w:val="Heading1"/>
      </w:pPr>
      <w:r>
        <w:rPr>
          <w:color w:val="830051"/>
        </w:rPr>
        <w:t>8. Site Navigation</w:t>
      </w:r>
    </w:p>
    <w:p>
      <w:r>
        <w:rPr>
          <w:b/>
          <w:sz w:val="20"/>
        </w:rPr>
        <w:t xml:space="preserve">Top bar links: </w:t>
      </w:r>
      <w:r>
        <w:rPr>
          <w:sz w:val="20"/>
        </w:rPr>
        <w:t>Contact Us (https://www.astrazeneca.co.uk/contact-us.html) | AZ Employee Login (https://login.astrazeneca.com)</w:t>
      </w:r>
    </w:p>
    <w:p>
      <w:r>
        <w:rPr>
          <w:b/>
          <w:sz w:val="20"/>
        </w:rPr>
        <w:t xml:space="preserve">Main navigation pages: </w:t>
      </w:r>
      <w:r>
        <w:rPr>
          <w:sz w:val="20"/>
        </w:rPr>
        <w:t>Understanding MASH | CLARITY Data | How KLERA Works | Safety, Dosing &amp; Monitoring | HCP Resources &amp; Support</w:t>
      </w:r>
    </w:p>
    <w:p>
      <w:r>
        <w:rPr>
          <w:b/>
          <w:sz w:val="20"/>
        </w:rPr>
        <w:t xml:space="preserve">Utility: </w:t>
      </w:r>
      <w:r>
        <w:rPr>
          <w:sz w:val="20"/>
        </w:rPr>
        <w:t>Search | Login</w:t>
      </w:r>
    </w:p>
    <w:p>
      <w:r>
        <w:br w:type="page"/>
      </w:r>
    </w:p>
    <w:p>
      <w:pPr>
        <w:pStyle w:val="Heading1"/>
      </w:pPr>
      <w:r>
        <w:rPr>
          <w:color w:val="830051"/>
        </w:rPr>
        <w:t>9. Page Content</w:t>
      </w:r>
    </w:p>
    <w:p>
      <w:r>
        <w:rPr>
          <w:b/>
          <w:color w:val="CC0000"/>
          <w:sz w:val="20"/>
        </w:rPr>
        <w:t>IMPORTANT: All copy below is final and MLR-approved. It must be used exactly as written — do not modify, rephrase, or abbreviate any text. All superscript reference numbers, statistical values, and regulatory language must be reproduced verbatim.</w:t>
      </w:r>
    </w:p>
    <w:p>
      <w:r>
        <w:rPr>
          <w:b/>
          <w:color w:val="CC0000"/>
          <w:sz w:val="20"/>
        </w:rPr>
        <w:t>Each page must end with expandable sections for Prescribing Information, Adverse Event Reporting, and References (see sections 5, 6, and 7 above).</w:t>
      </w:r>
    </w:p>
    <w:p>
      <w:r>
        <w:rPr>
          <w:b/>
          <w:color w:val="CC0000"/>
          <w:sz w:val="20"/>
        </w:rPr>
        <w:t>KLERA brand rule: KLERA always appears in capitals, with ® on first mention per page. Generic name (klerafistat) in lowercase parentheses on first mention. Tagline "Clearing the path to liver health." verbatim only.</w:t>
      </w:r>
    </w:p>
    <w:p>
      <w:pPr>
        <w:jc w:val="center"/>
      </w:pPr>
      <w:r>
        <w:rPr>
          <w:color w:val="CCCCCC"/>
          <w:sz w:val="16"/>
        </w:rPr>
        <w:t>────────────────────────────────────────────────────────────</w:t>
      </w:r>
    </w:p>
    <w:p>
      <w:r>
        <w:br w:type="page"/>
      </w:r>
    </w:p>
    <w:p>
      <w:pPr>
        <w:pStyle w:val="Heading2"/>
      </w:pPr>
      <w:r>
        <w:rPr>
          <w:color w:val="830051"/>
        </w:rPr>
        <w:t>PAGE 1: Home</w:t>
      </w:r>
    </w:p>
    <w:p>
      <w:r>
        <w:rPr>
          <w:b/>
          <w:sz w:val="20"/>
        </w:rPr>
        <w:t xml:space="preserve">URL path: </w:t>
      </w:r>
      <w:r>
        <w:rPr>
          <w:sz w:val="20"/>
        </w:rPr>
        <w:t>/klera/</w:t>
      </w:r>
    </w:p>
    <w:p>
      <w:pPr>
        <w:jc w:val="center"/>
      </w:pPr>
      <w:r>
        <w:rPr>
          <w:color w:val="CCCCCC"/>
          <w:sz w:val="16"/>
        </w:rPr>
        <w:t>────────────────────────────────────────────────────────────</w:t>
      </w:r>
    </w:p>
    <w:p>
      <w:pPr>
        <w:pStyle w:val="Heading3"/>
      </w:pPr>
      <w:r>
        <w:rPr>
          <w:color w:val="2E7D32"/>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r>
        <w:rPr>
          <w:b/>
          <w:sz w:val="20"/>
        </w:rPr>
        <w:t xml:space="preserve">Heading: </w:t>
      </w:r>
      <w:r>
        <w:rPr>
          <w:sz w:val="20"/>
        </w:rPr>
        <w:t>KLERA® (klerafistat)</w:t>
      </w:r>
    </w:p>
    <w:p>
      <w:r>
        <w:rPr>
          <w:b/>
        </w:rPr>
        <w:t xml:space="preserve">Body text: </w:t>
      </w:r>
      <w:r>
        <w:t>The first oral therapy approved to improve liver fibrosis in non-cirrhotic MASH. 37% of patients achieved fibrosis improvement at one year, with concomitant reductions in liver fat, LDL-cholesterol, and HbA1c. Clearing the path to liver health.¹</w:t>
      </w:r>
    </w:p>
    <w:p>
      <w:r>
        <w:rPr>
          <w:b/>
          <w:sz w:val="20"/>
        </w:rPr>
        <w:t xml:space="preserve">Call to action: </w:t>
      </w:r>
      <w:r>
        <w:rPr>
          <w:sz w:val="20"/>
        </w:rPr>
        <w:t>Explore the CLARITY data → /klera/clarity-data</w:t>
      </w:r>
    </w:p>
    <w:p>
      <w:pPr>
        <w:jc w:val="center"/>
      </w:pPr>
      <w:r>
        <w:rPr>
          <w:color w:val="CCCCCC"/>
          <w:sz w:val="16"/>
        </w:rPr>
        <w:t>────────────────────────────────────────────────────────────</w:t>
      </w:r>
    </w:p>
    <w:p>
      <w:pPr>
        <w:pStyle w:val="Heading3"/>
      </w:pPr>
      <w:r>
        <w:rPr>
          <w:color w:val="2E7D32"/>
        </w:rPr>
        <w:t>Section 2 — Three key benefit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fibrosis improvement card</w:t>
      </w:r>
    </w:p>
    <w:p>
      <w:r>
        <w:rPr>
          <w:b/>
          <w:sz w:val="20"/>
        </w:rPr>
        <w:t xml:space="preserve">Card heading: </w:t>
      </w:r>
      <w:r>
        <w:rPr>
          <w:sz w:val="20"/>
        </w:rPr>
        <w:t>37% achieved fibrosis improvement</w:t>
      </w:r>
    </w:p>
    <w:p>
      <w:r>
        <w:rPr>
          <w:b/>
        </w:rPr>
        <w:t xml:space="preserve">Card body: </w:t>
      </w:r>
      <w:r>
        <w:t>In CLARITY-FIBROSIS, 37.1% of patients achieved ≥1-stage fibrosis improvement without worsening of MASH at Week 52, compared with 14.5% placebo (Δ 22.6%; P&lt;0.001). This is the first pharmacotherapy to demonstrate a fibrosis endpoint in a Phase III MASH trial.¹</w:t>
      </w:r>
    </w:p>
    <w:p>
      <w:r>
        <w:rPr>
          <w:b/>
          <w:sz w:val="20"/>
        </w:rPr>
        <w:t xml:space="preserve">Card link: </w:t>
      </w:r>
      <w:r>
        <w:rPr>
          <w:sz w:val="20"/>
        </w:rPr>
        <w:t>View CLARITY data → /klera/clarity-data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MASH resolution card</w:t>
      </w:r>
    </w:p>
    <w:p>
      <w:r>
        <w:rPr>
          <w:b/>
          <w:sz w:val="20"/>
        </w:rPr>
        <w:t xml:space="preserve">Card heading: </w:t>
      </w:r>
      <w:r>
        <w:rPr>
          <w:sz w:val="20"/>
        </w:rPr>
        <w:t>49% achieved MASH resolution</w:t>
      </w:r>
    </w:p>
    <w:p>
      <w:r>
        <w:rPr>
          <w:b/>
        </w:rPr>
        <w:t xml:space="preserve">Card body: </w:t>
      </w:r>
      <w:r>
        <w:t>In CLARITY-RESOLVE, 48.9% of patients with MASH and type 2 diabetes achieved histological MASH resolution without fibrosis worsening at Week 52, compared with 18.4% placebo (Δ 30.5%; P&lt;0.001).²</w:t>
      </w:r>
    </w:p>
    <w:p>
      <w:r>
        <w:rPr>
          <w:b/>
          <w:sz w:val="20"/>
        </w:rPr>
        <w:t xml:space="preserve">Card link: </w:t>
      </w:r>
      <w:r>
        <w:rPr>
          <w:sz w:val="20"/>
        </w:rPr>
        <w:t>Explore MASH resolution data → /klera/clarity-data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oral once-daily card</w:t>
      </w:r>
    </w:p>
    <w:p>
      <w:r>
        <w:rPr>
          <w:b/>
          <w:sz w:val="20"/>
        </w:rPr>
        <w:t xml:space="preserve">Card heading: </w:t>
      </w:r>
      <w:r>
        <w:rPr>
          <w:sz w:val="20"/>
        </w:rPr>
        <w:t>Oral once-daily with metabolic benefits</w:t>
      </w:r>
    </w:p>
    <w:p>
      <w:r>
        <w:rPr>
          <w:b/>
        </w:rPr>
        <w:t xml:space="preserve">Card body: </w:t>
      </w:r>
      <w:r>
        <w:t>One tablet once daily with food. Beyond liver histology, KLERA reduced LDL-cholesterol by 19%, lowered triglycerides by 25%, and improved HbA1c by 0.36% in patients with type 2 diabetes — addressing the cardiometabolic comorbidities of MASH.¹ ² ³</w:t>
      </w:r>
    </w:p>
    <w:p>
      <w:r>
        <w:rPr>
          <w:b/>
          <w:sz w:val="20"/>
        </w:rPr>
        <w:t xml:space="preserve">Card link: </w:t>
      </w:r>
      <w:r>
        <w:rPr>
          <w:sz w:val="20"/>
        </w:rPr>
        <w:t>View dosing information → /klera/safety-dosing-monitoring</w:t>
      </w:r>
    </w:p>
    <w:p>
      <w:pPr>
        <w:jc w:val="center"/>
      </w:pPr>
      <w:r>
        <w:rPr>
          <w:color w:val="CCCCCC"/>
          <w:sz w:val="16"/>
        </w:rPr>
        <w:t>────────────────────────────────────────────────────────────</w:t>
      </w:r>
    </w:p>
    <w:p>
      <w:pPr>
        <w:pStyle w:val="Heading3"/>
      </w:pPr>
      <w:r>
        <w:rPr>
          <w:color w:val="2E7D32"/>
        </w:rPr>
        <w:t>Section 3 — MoA teaser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5" name="Picture 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Harnessing thyroid hormone biology to reverse liver damage</w:t>
      </w:r>
    </w:p>
    <w:p>
      <w:r>
        <w:rPr>
          <w:b/>
        </w:rPr>
        <w:t xml:space="preserve">Body text: </w:t>
      </w:r>
      <w:r>
        <w:t>THR-β is the predominant thyroid hormone receptor in the liver. By selectively activating THR-β, KLERA enhances hepatic fat oxidation, reduces lipotoxicity, and attenuates fibrogenesis — without the cardiac and bone effects of non-selective thyroid hormone action.³ ⁵</w:t>
      </w:r>
    </w:p>
    <w:p>
      <w:r>
        <w:rPr>
          <w:b/>
          <w:sz w:val="20"/>
        </w:rPr>
        <w:t xml:space="preserve">Call to action: </w:t>
      </w:r>
      <w:r>
        <w:rPr>
          <w:sz w:val="20"/>
        </w:rPr>
        <w:t>Explore how KLERA works → /klera/how-klera-works</w:t>
      </w:r>
    </w:p>
    <w:p>
      <w:pPr>
        <w:jc w:val="center"/>
      </w:pPr>
      <w:r>
        <w:rPr>
          <w:color w:val="CCCCCC"/>
          <w:sz w:val="16"/>
        </w:rPr>
        <w:t>────────────────────────────────────────────────────────────</w:t>
      </w:r>
    </w:p>
    <w:p>
      <w:pPr>
        <w:pStyle w:val="Heading3"/>
      </w:pPr>
      <w:r>
        <w:rPr>
          <w:color w:val="2E7D32"/>
        </w:rPr>
        <w:t>Section 4 — Prescribing information footer</w:t>
      </w:r>
    </w:p>
    <w:p>
      <w:r>
        <w:rPr>
          <w:b/>
          <w:sz w:val="20"/>
        </w:rPr>
        <w:t xml:space="preserve">Block: </w:t>
      </w:r>
      <w:r>
        <w:rPr>
          <w:sz w:val="20"/>
        </w:rPr>
        <w:t>accordion</w:t>
      </w:r>
    </w:p>
    <w:p>
      <w:r>
        <w:rPr>
          <w:b w:val="0"/>
          <w:i/>
          <w:color w:val="363B3B"/>
          <w:sz w:val="20"/>
        </w:rPr>
        <w:t>Expandable sections for: Prescribing Information | Adverse Event Reporting | References</w:t>
      </w:r>
    </w:p>
    <w:p/>
    <w:p>
      <w:r>
        <w:rPr>
          <w:b/>
          <w:color w:val="830051"/>
        </w:rPr>
        <w:t>Page metadata</w:t>
      </w:r>
    </w:p>
    <w:p>
      <w:r>
        <w:rPr>
          <w:b w:val="0"/>
          <w:i w:val="0"/>
          <w:color w:val="363B3B"/>
          <w:sz w:val="20"/>
        </w:rPr>
        <w:t>Title: KLERA (klerafistat) | Oral Treatment for MASH Liver Fibrosis | AstraZeneca UK</w:t>
      </w:r>
    </w:p>
    <w:p>
      <w:r>
        <w:rPr>
          <w:b w:val="0"/>
          <w:i w:val="0"/>
          <w:color w:val="363B3B"/>
          <w:sz w:val="20"/>
        </w:rPr>
        <w:t>Description: KLERA (klerafistat) is the first oral THR-β agonist approved for non-cirrhotic MASH with liver fibrosis. Explore CLARITY clinical data, mechanism of action, and dosing for UK healthcare professionals.</w:t>
      </w:r>
    </w:p>
    <w:p>
      <w:r>
        <w:br w:type="page"/>
      </w:r>
    </w:p>
    <w:p>
      <w:pPr>
        <w:pStyle w:val="Heading2"/>
      </w:pPr>
      <w:r>
        <w:rPr>
          <w:color w:val="830051"/>
        </w:rPr>
        <w:t>PAGE 2: Understanding MASH</w:t>
      </w:r>
    </w:p>
    <w:p>
      <w:r>
        <w:rPr>
          <w:b/>
          <w:sz w:val="20"/>
        </w:rPr>
        <w:t xml:space="preserve">URL path: </w:t>
      </w:r>
      <w:r>
        <w:rPr>
          <w:sz w:val="20"/>
        </w:rPr>
        <w:t>/klera/understanding-mash</w:t>
      </w:r>
    </w:p>
    <w:p>
      <w:pPr>
        <w:jc w:val="center"/>
      </w:pPr>
      <w:r>
        <w:rPr>
          <w:color w:val="CCCCCC"/>
          <w:sz w:val="16"/>
        </w:rPr>
        <w:t>────────────────────────────────────────────────────────────</w:t>
      </w:r>
    </w:p>
    <w:p>
      <w:pPr>
        <w:pStyle w:val="Heading3"/>
      </w:pPr>
      <w:r>
        <w:rPr>
          <w:color w:val="2E7D32"/>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Understanding MASH — hero</w:t>
      </w:r>
    </w:p>
    <w:p>
      <w:r>
        <w:rPr>
          <w:b/>
          <w:sz w:val="20"/>
        </w:rPr>
        <w:t xml:space="preserve">Heading: </w:t>
      </w:r>
      <w:r>
        <w:rPr>
          <w:sz w:val="20"/>
        </w:rPr>
        <w:t>MASH: the silent liver epidemic</w:t>
      </w:r>
    </w:p>
    <w:p>
      <w:r>
        <w:rPr>
          <w:b/>
        </w:rPr>
        <w:t xml:space="preserve">Body text: </w:t>
      </w:r>
      <w:r>
        <w:t>Metabolic dysfunction-associated steatohepatitis affects an estimated 3–5% of the UK adult population. Most patients are undiagnosed until advanced fibrosis or cirrhosis develops, at which point treatment options are limited and prognosis is poor.⁴</w:t>
      </w:r>
    </w:p>
    <w:p>
      <w:pPr>
        <w:jc w:val="center"/>
      </w:pPr>
      <w:r>
        <w:rPr>
          <w:color w:val="CCCCCC"/>
          <w:sz w:val="16"/>
        </w:rPr>
        <w:t>────────────────────────────────────────────────────────────</w:t>
      </w:r>
    </w:p>
    <w:p>
      <w:pPr>
        <w:pStyle w:val="Heading3"/>
      </w:pPr>
      <w:r>
        <w:rPr>
          <w:color w:val="2E7D32"/>
        </w:rPr>
        <w:t>Section 2 — Disease burden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7" name="Picture 7"/>
            <wp:cNvGraphicFramePr>
              <a:graphicFrameLocks noChangeAspect="1"/>
            </wp:cNvGraphicFramePr>
            <a:graphic>
              <a:graphicData uri="http://schemas.openxmlformats.org/drawingml/2006/picture">
                <pic:pic>
                  <pic:nvPicPr>
                    <pic:cNvPr id="0" name="card-bleeding-events.jpeg"/>
                    <pic:cNvPicPr/>
                  </pic:nvPicPr>
                  <pic:blipFill>
                    <a:blip r:embed="rId15"/>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Understanding MASH — progression card</w:t>
      </w:r>
    </w:p>
    <w:p>
      <w:r>
        <w:rPr>
          <w:b/>
          <w:sz w:val="20"/>
        </w:rPr>
        <w:t xml:space="preserve">Card heading: </w:t>
      </w:r>
      <w:r>
        <w:rPr>
          <w:sz w:val="20"/>
        </w:rPr>
        <w:t>Progressive fibrosis</w:t>
      </w:r>
    </w:p>
    <w:p>
      <w:r>
        <w:rPr>
          <w:b/>
        </w:rPr>
        <w:t xml:space="preserve">Card body: </w:t>
      </w:r>
      <w:r>
        <w:t>Fibrosis stage is the strongest independent predictor of liver-related mortality in MASH. Patients with stage F3 fibrosis have a 3.5-fold increased risk of liver-related death compared with F0–F1, and 10–15% progress to cirrhosis within 5 years.⁴</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8" name="Picture 8"/>
            <wp:cNvGraphicFramePr>
              <a:graphicFrameLocks noChangeAspect="1"/>
            </wp:cNvGraphicFramePr>
            <a:graphic>
              <a:graphicData uri="http://schemas.openxmlformats.org/drawingml/2006/picture">
                <pic:pic>
                  <pic:nvPicPr>
                    <pic:cNvPr id="0" name="card-hepatic.jpeg"/>
                    <pic:cNvPicPr/>
                  </pic:nvPicPr>
                  <pic:blipFill>
                    <a:blip r:embed="rId16"/>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Understanding MASH — comorbidity card</w:t>
      </w:r>
    </w:p>
    <w:p>
      <w:r>
        <w:rPr>
          <w:b/>
          <w:sz w:val="20"/>
        </w:rPr>
        <w:t xml:space="preserve">Card heading: </w:t>
      </w:r>
      <w:r>
        <w:rPr>
          <w:sz w:val="20"/>
        </w:rPr>
        <w:t>Cardiometabolic comorbidity</w:t>
      </w:r>
    </w:p>
    <w:p>
      <w:r>
        <w:rPr>
          <w:b/>
        </w:rPr>
        <w:t xml:space="preserve">Card body: </w:t>
      </w:r>
      <w:r>
        <w:t>MASH is intrinsically linked to the metabolic syndrome: over 70% of MASH patients have type 2 diabetes, dyslipidaemia, or both. Cardiovascular disease is the leading cause of death in patients with MASH, accounting for more deaths than liver-related events.⁴</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9" name="Picture 9"/>
            <wp:cNvGraphicFramePr>
              <a:graphicFrameLocks noChangeAspect="1"/>
            </wp:cNvGraphicFramePr>
            <a:graphic>
              <a:graphicData uri="http://schemas.openxmlformats.org/drawingml/2006/picture">
                <pic:pic>
                  <pic:nvPicPr>
                    <pic:cNvPr id="0" name="card-gi-events.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Understanding MASH — diagnosis card</w:t>
      </w:r>
    </w:p>
    <w:p>
      <w:r>
        <w:rPr>
          <w:b/>
          <w:sz w:val="20"/>
        </w:rPr>
        <w:t xml:space="preserve">Card heading: </w:t>
      </w:r>
      <w:r>
        <w:rPr>
          <w:sz w:val="20"/>
        </w:rPr>
        <w:t>Diagnostic challenges</w:t>
      </w:r>
    </w:p>
    <w:p>
      <w:r>
        <w:rPr>
          <w:b/>
        </w:rPr>
        <w:t xml:space="preserve">Card body: </w:t>
      </w:r>
      <w:r>
        <w:t>MASH is often asymptomatic until advanced disease. Non-invasive biomarkers (FIB-4, ELF, FibroScan®) can identify patients at risk, but definitive MASH diagnosis and fibrosis staging historically required liver biopsy. Increasing use of non-invasive pathways is improving earlier identification of at-risk patients.⁴</w:t>
      </w:r>
    </w:p>
    <w:p>
      <w:pPr>
        <w:jc w:val="center"/>
      </w:pPr>
      <w:r>
        <w:rPr>
          <w:color w:val="CCCCCC"/>
          <w:sz w:val="16"/>
        </w:rPr>
        <w:t>────────────────────────────────────────────────────────────</w:t>
      </w:r>
    </w:p>
    <w:p>
      <w:pPr>
        <w:pStyle w:val="Heading3"/>
      </w:pPr>
      <w:r>
        <w:rPr>
          <w:color w:val="2E7D32"/>
        </w:rPr>
        <w:t>Section 3 — MASH disease pathway (accordion FAQ) | light background</w:t>
      </w:r>
    </w:p>
    <w:p>
      <w:r>
        <w:rPr>
          <w:b/>
          <w:sz w:val="20"/>
        </w:rPr>
        <w:t xml:space="preserve">Block: </w:t>
      </w:r>
      <w:r>
        <w:rPr>
          <w:sz w:val="20"/>
        </w:rPr>
        <w:t>accordion</w:t>
      </w:r>
    </w:p>
    <w:p>
      <w:r>
        <w:rPr>
          <w:b/>
        </w:rPr>
        <w:t xml:space="preserve">Section metadata: </w:t>
      </w:r>
      <w:r>
        <w:rPr>
          <w:color w:val="666666"/>
        </w:rPr>
        <w:t>Style: light</w:t>
      </w:r>
    </w:p>
    <w:p>
      <w:r>
        <w:rPr>
          <w:b/>
          <w:i w:val="0"/>
          <w:color w:val="363B3B"/>
          <w:sz w:val="20"/>
        </w:rPr>
        <w:t>Panel 1: "From steatosis to steatohepatitis"</w:t>
      </w:r>
    </w:p>
    <w:p>
      <w:r>
        <w:rPr>
          <w:b/>
        </w:rPr>
        <w:t xml:space="preserve">Body text: </w:t>
      </w:r>
      <w:r>
        <w:t>Hepatic steatosis (fat accumulation &gt;5% of hepatocytes) is driven by insulin resistance, excess caloric intake, and impaired hepatic lipid metabolism. In a subset of patients, accumulated lipotoxic lipid species (diacylglycerols, ceramides, free cholesterol) trigger hepatocyte injury, activating inflammatory pathways (NF-κB, JNK) and driving the transition from benign steatosis to steatohepatitis (MASH). Histologically, MASH is defined by steatosis with hepatocyte ballooning and lobular inflammation.⁴ ⁵</w:t>
      </w:r>
    </w:p>
    <w:p>
      <w:r>
        <w:rPr>
          <w:b/>
          <w:i w:val="0"/>
          <w:color w:val="363B3B"/>
          <w:sz w:val="20"/>
        </w:rPr>
        <w:t>Panel 2: "From inflammation to fibrosis"</w:t>
      </w:r>
    </w:p>
    <w:p>
      <w:r>
        <w:rPr>
          <w:b/>
        </w:rPr>
        <w:t xml:space="preserve">Body text: </w:t>
      </w:r>
      <w:r>
        <w:t>Chronic hepatocyte injury in MASH activates hepatic stellate cells — the principal fibrogenic cells in the liver. Activated stellate cells deposit excess extracellular matrix (collagen, fibronectin), progressively distorting hepatic architecture. Fibrosis progresses through stages F1 (perisinusoidal) → F2 (portal/periportal) → F3 (bridging) → F4 (cirrhosis). Once cirrhosis develops, risk of decompensation, hepatocellular carcinoma, and liver transplant requirement increases substantially.⁴</w:t>
      </w:r>
    </w:p>
    <w:p>
      <w:r>
        <w:rPr>
          <w:b/>
          <w:i w:val="0"/>
          <w:color w:val="363B3B"/>
          <w:sz w:val="20"/>
        </w:rPr>
        <w:t>Panel 3: "Why fibrosis stage determines prognosis"</w:t>
      </w:r>
    </w:p>
    <w:p>
      <w:r>
        <w:rPr>
          <w:b/>
        </w:rPr>
        <w:t xml:space="preserve">Body text: </w:t>
      </w:r>
      <w:r>
        <w:t>Large meta-analyses demonstrate that fibrosis stage, not steatohepatitis activity, is the strongest predictor of all-cause and liver-related mortality in MASH. Each one-stage increase in fibrosis is associated with a 1.5–2.5-fold increased mortality risk. Fibrosis stage F3 (bridging fibrosis) represents a critical intervention window: advanced enough to carry significant prognostic risk, but potentially reversible with effective therapy before the architectural disruption of cirrhosis.⁴</w:t>
      </w:r>
    </w:p>
    <w:p>
      <w:pPr>
        <w:jc w:val="center"/>
      </w:pPr>
      <w:r>
        <w:rPr>
          <w:color w:val="CCCCCC"/>
          <w:sz w:val="16"/>
        </w:rPr>
        <w:t>────────────────────────────────────────────────────────────</w:t>
      </w:r>
    </w:p>
    <w:p>
      <w:pPr>
        <w:pStyle w:val="Heading3"/>
      </w:pPr>
      <w:r>
        <w:rPr>
          <w:color w:val="2E7D32"/>
        </w:rPr>
        <w:t>Section 4 — Patient identification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Identifying patients who may benefit from KLERA</w:t>
      </w:r>
    </w:p>
    <w:p>
      <w:r>
        <w:rPr>
          <w:b/>
        </w:rPr>
        <w:t xml:space="preserve">Body text: </w:t>
      </w:r>
      <w:r>
        <w:t>Consider KLERA for adults with confirmed MASH and stage F2 or F3 liver fibrosis. Non-invasive assessment pathways (FIB-4 → ELF or FibroScan) can identify patients with significant fibrosis in primary and secondary care. Liver biopsy remains the gold standard for staging but is not mandatory for treatment initiation when non-invasive markers are consistent with F2–F3 disease.³ ⁴</w:t>
      </w:r>
    </w:p>
    <w:p>
      <w:pPr>
        <w:jc w:val="center"/>
      </w:pPr>
      <w:r>
        <w:rPr>
          <w:color w:val="CCCCCC"/>
          <w:sz w:val="16"/>
        </w:rPr>
        <w:t>────────────────────────────────────────────────────────────</w:t>
      </w:r>
    </w:p>
    <w:p>
      <w:pPr>
        <w:pStyle w:val="Heading3"/>
      </w:pPr>
      <w:r>
        <w:rPr>
          <w:color w:val="2E7D32"/>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Understanding MASH | Liver Fibrosis &amp; Disease Progression | KLERA | AstraZeneca UK</w:t>
      </w:r>
    </w:p>
    <w:p>
      <w:r>
        <w:rPr>
          <w:b w:val="0"/>
          <w:i w:val="0"/>
          <w:color w:val="363B3B"/>
          <w:sz w:val="20"/>
        </w:rPr>
        <w:t>Description: Learn about metabolic dysfunction-associated steatohepatitis (MASH) — disease burden, fibrosis progression, cardiometabolic comorbidities, and patient identification pathways.</w:t>
      </w:r>
    </w:p>
    <w:p>
      <w:r>
        <w:br w:type="page"/>
      </w:r>
    </w:p>
    <w:p>
      <w:pPr>
        <w:pStyle w:val="Heading2"/>
      </w:pPr>
      <w:r>
        <w:rPr>
          <w:color w:val="830051"/>
        </w:rPr>
        <w:t>PAGE 3: CLARITY Data</w:t>
      </w:r>
    </w:p>
    <w:p>
      <w:r>
        <w:rPr>
          <w:b/>
          <w:sz w:val="20"/>
        </w:rPr>
        <w:t xml:space="preserve">URL path: </w:t>
      </w:r>
      <w:r>
        <w:rPr>
          <w:sz w:val="20"/>
        </w:rPr>
        <w:t>/klera/clarity-data</w:t>
      </w:r>
    </w:p>
    <w:p>
      <w:pPr>
        <w:jc w:val="center"/>
      </w:pPr>
      <w:r>
        <w:rPr>
          <w:color w:val="CCCCCC"/>
          <w:sz w:val="16"/>
        </w:rPr>
        <w:t>────────────────────────────────────────────────────────────</w:t>
      </w:r>
    </w:p>
    <w:p>
      <w:pPr>
        <w:pStyle w:val="Heading3"/>
      </w:pPr>
      <w:r>
        <w:rPr>
          <w:color w:val="2E7D32"/>
        </w:rPr>
        <w:t>Section 1 — Page header (text only, no image)</w:t>
      </w:r>
    </w:p>
    <w:p>
      <w:r>
        <w:rPr>
          <w:b/>
          <w:sz w:val="20"/>
        </w:rPr>
        <w:t xml:space="preserve">Block: </w:t>
      </w:r>
      <w:r>
        <w:rPr>
          <w:sz w:val="20"/>
        </w:rPr>
        <w:t>title</w:t>
      </w:r>
    </w:p>
    <w:p>
      <w:r>
        <w:rPr>
          <w:b/>
          <w:sz w:val="20"/>
        </w:rPr>
        <w:t xml:space="preserve">Heading: </w:t>
      </w:r>
      <w:r>
        <w:rPr>
          <w:sz w:val="20"/>
        </w:rPr>
        <w:t>The CLARITY clinical programme</w:t>
      </w:r>
    </w:p>
    <w:p>
      <w:r>
        <w:rPr>
          <w:b/>
        </w:rPr>
        <w:t xml:space="preserve">Body text: </w:t>
      </w:r>
      <w:r>
        <w:t>KLERA® (klerafistat) was evaluated in over 1,700 patients across two biopsy-confirmed Phase III trials, demonstrating clinically meaningful liver histology improvement with concomitant cardiometabolic benefits.¹ ²</w:t>
      </w:r>
    </w:p>
    <w:p>
      <w:pPr>
        <w:jc w:val="center"/>
      </w:pPr>
      <w:r>
        <w:rPr>
          <w:color w:val="CCCCCC"/>
          <w:sz w:val="16"/>
        </w:rPr>
        <w:t>────────────────────────────────────────────────────────────</w:t>
      </w:r>
    </w:p>
    <w:p>
      <w:pPr>
        <w:pStyle w:val="Heading3"/>
      </w:pPr>
      <w:r>
        <w:rPr>
          <w:color w:val="2E7D32"/>
        </w:rPr>
        <w:t>Section 2 — Headline statistics carousel (4 slides) | light background</w:t>
      </w:r>
    </w:p>
    <w:p>
      <w:r>
        <w:rPr>
          <w:b/>
          <w:sz w:val="20"/>
        </w:rPr>
        <w:t xml:space="preserve">Block: </w:t>
      </w:r>
      <w:r>
        <w:rPr>
          <w:sz w:val="20"/>
        </w:rPr>
        <w:t>carousel-teaser</w:t>
      </w:r>
    </w:p>
    <w:p>
      <w:r>
        <w:rPr>
          <w:b/>
        </w:rPr>
        <w:t xml:space="preserve">Section metadata: </w:t>
      </w:r>
      <w:r>
        <w:rPr>
          <w:color w:val="666666"/>
        </w:rPr>
        <w:t>Style: light</w:t>
      </w:r>
    </w:p>
    <w:p>
      <w:r>
        <w:rPr>
          <w:b/>
          <w:i w:val="0"/>
          <w:color w:val="363B3B"/>
          <w:sz w:val="20"/>
        </w:rPr>
        <w:t>Slide 1:</w:t>
      </w:r>
    </w:p>
    <w:p>
      <w:r>
        <w:rPr>
          <w:b/>
          <w:sz w:val="20"/>
        </w:rPr>
        <w:t xml:space="preserve">Heading: </w:t>
      </w:r>
      <w:r>
        <w:rPr>
          <w:sz w:val="20"/>
        </w:rPr>
        <w:t>37% achieved fibrosis improvement</w:t>
      </w:r>
    </w:p>
    <w:p>
      <w:r>
        <w:rPr>
          <w:b w:val="0"/>
          <w:i w:val="0"/>
          <w:color w:val="363B3B"/>
          <w:sz w:val="20"/>
        </w:rPr>
        <w:t>In CLARITY-FIBROSIS, ≥1-stage fibrosis improvement without MASH worsening in 37.1% vs 14.5% placebo (Δ 22.6%; P&lt;0.001).¹</w:t>
      </w:r>
    </w:p>
    <w:p>
      <w:r>
        <w:rPr>
          <w:b/>
          <w:i w:val="0"/>
          <w:color w:val="363B3B"/>
          <w:sz w:val="20"/>
        </w:rPr>
        <w:t>Slide 2:</w:t>
      </w:r>
    </w:p>
    <w:p>
      <w:r>
        <w:rPr>
          <w:b/>
          <w:sz w:val="20"/>
        </w:rPr>
        <w:t xml:space="preserve">Heading: </w:t>
      </w:r>
      <w:r>
        <w:rPr>
          <w:sz w:val="20"/>
        </w:rPr>
        <w:t>49% achieved MASH resolution</w:t>
      </w:r>
    </w:p>
    <w:p>
      <w:r>
        <w:rPr>
          <w:b w:val="0"/>
          <w:i w:val="0"/>
          <w:color w:val="363B3B"/>
          <w:sz w:val="20"/>
        </w:rPr>
        <w:t>In CLARITY-RESOLVE, MASH resolution without fibrosis worsening in 48.9% vs 18.4% placebo (Δ 30.5%; P&lt;0.001).²</w:t>
      </w:r>
    </w:p>
    <w:p>
      <w:r>
        <w:rPr>
          <w:b/>
          <w:i w:val="0"/>
          <w:color w:val="363B3B"/>
          <w:sz w:val="20"/>
        </w:rPr>
        <w:t>Slide 3:</w:t>
      </w:r>
    </w:p>
    <w:p>
      <w:r>
        <w:rPr>
          <w:b/>
          <w:sz w:val="20"/>
        </w:rPr>
        <w:t xml:space="preserve">Heading: </w:t>
      </w:r>
      <w:r>
        <w:rPr>
          <w:sz w:val="20"/>
        </w:rPr>
        <w:t>52% liver fat reduction</w:t>
      </w:r>
    </w:p>
    <w:p>
      <w:r>
        <w:rPr>
          <w:b w:val="0"/>
          <w:i w:val="0"/>
          <w:color w:val="363B3B"/>
          <w:sz w:val="20"/>
        </w:rPr>
        <w:t>Relative reduction in hepatic fat content by MRI-PDFF: −52.3% with KLERA vs −10.4% placebo at Week 52 (P&lt;0.001).¹</w:t>
      </w:r>
    </w:p>
    <w:p>
      <w:r>
        <w:rPr>
          <w:b/>
          <w:i w:val="0"/>
          <w:color w:val="363B3B"/>
          <w:sz w:val="20"/>
        </w:rPr>
        <w:t>Slide 4:</w:t>
      </w:r>
    </w:p>
    <w:p>
      <w:r>
        <w:rPr>
          <w:b/>
          <w:sz w:val="20"/>
        </w:rPr>
        <w:t xml:space="preserve">Heading: </w:t>
      </w:r>
      <w:r>
        <w:rPr>
          <w:sz w:val="20"/>
        </w:rPr>
        <w:t>19% LDL-cholesterol reduction</w:t>
      </w:r>
    </w:p>
    <w:p>
      <w:r>
        <w:rPr>
          <w:b w:val="0"/>
          <w:i w:val="0"/>
          <w:color w:val="363B3B"/>
          <w:sz w:val="20"/>
        </w:rPr>
        <w:t>LDL-cholesterol decreased by 18.7% with KLERA vs +1.2% with placebo at Week 52, addressing cardiovascular risk alongside liver disease (P&lt;0.001).¹</w:t>
      </w:r>
    </w:p>
    <w:p>
      <w:pPr>
        <w:jc w:val="center"/>
      </w:pPr>
      <w:r>
        <w:rPr>
          <w:color w:val="CCCCCC"/>
          <w:sz w:val="16"/>
        </w:rPr>
        <w:t>────────────────────────────────────────────────────────────</w:t>
      </w:r>
    </w:p>
    <w:p>
      <w:pPr>
        <w:pStyle w:val="Heading3"/>
      </w:pPr>
      <w:r>
        <w:rPr>
          <w:color w:val="2E7D32"/>
        </w:rPr>
        <w:t>Section 3 — Clinical data (two tabs)</w:t>
      </w:r>
    </w:p>
    <w:p>
      <w:r>
        <w:rPr>
          <w:b/>
          <w:sz w:val="20"/>
        </w:rPr>
        <w:t xml:space="preserve">Block: </w:t>
      </w:r>
      <w:r>
        <w:rPr>
          <w:sz w:val="20"/>
        </w:rPr>
        <w:t>tabs-large</w:t>
      </w:r>
    </w:p>
    <w:p/>
    <w:p>
      <w:r>
        <w:rPr>
          <w:b/>
          <w:i w:val="0"/>
          <w:color w:val="363B3B"/>
          <w:sz w:val="20"/>
        </w:rPr>
        <w:t>Tab 1: "CLARITY-FIBROSIS: Fibrosis improvement"</w:t>
      </w:r>
    </w:p>
    <w:p>
      <w:pPr>
        <w:jc w:val="center"/>
      </w:pPr>
      <w:r>
        <w:drawing>
          <wp:inline xmlns:a="http://schemas.openxmlformats.org/drawingml/2006/main" xmlns:pic="http://schemas.openxmlformats.org/drawingml/2006/picture">
            <wp:extent cx="3200400" cy="2389632"/>
            <wp:docPr id="10" name="Picture 10"/>
            <wp:cNvGraphicFramePr>
              <a:graphicFrameLocks noChangeAspect="1"/>
            </wp:cNvGraphicFramePr>
            <a:graphic>
              <a:graphicData uri="http://schemas.openxmlformats.org/drawingml/2006/picture">
                <pic:pic>
                  <pic:nvPicPr>
                    <pic:cNvPr id="0" name="tab-velocity-af.jpeg"/>
                    <pic:cNvPicPr/>
                  </pic:nvPicPr>
                  <pic:blipFill>
                    <a:blip r:embed="rId18"/>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CLARITY Data — CLARITY-FIBROSIS tab</w:t>
      </w:r>
    </w:p>
    <w:p>
      <w:r>
        <w:rPr>
          <w:b/>
          <w:sz w:val="20"/>
        </w:rPr>
        <w:t xml:space="preserve">Heading: </w:t>
      </w:r>
      <w:r>
        <w:rPr>
          <w:sz w:val="20"/>
        </w:rPr>
        <w:t>CLARITY-FIBROSIS: The first Phase III trial to achieve a fibrosis endpoint in MASH</w:t>
      </w:r>
    </w:p>
    <w:p>
      <w:r>
        <w:rPr>
          <w:b/>
        </w:rPr>
        <w:t xml:space="preserve">Body text: </w:t>
      </w:r>
      <w:r>
        <w:t>CLARITY-FIBROSIS was a randomised, double-blind, placebo-controlled trial in 966 adults with biopsy-confirmed MASH (NAS ≥4) and fibrosis stage F2 or F3, with or without type 2 diabetes. KLERA 100 mg once daily (after 80 mg run-in) was evaluated with paired liver biopsies at baseline and Week 52.¹</w:t>
      </w:r>
    </w:p>
    <w:p/>
    <w:p>
      <w:r>
        <w:rPr>
          <w:b/>
        </w:rPr>
        <w:t xml:space="preserve">Body text (continued): </w:t>
      </w:r>
      <w:r>
        <w:t>The primary endpoint was met: 37.1% of KLERA patients achieved ≥1-stage fibrosis improvement without worsening of MASH, compared with 14.5% placebo (Δ 22.6%; P&lt;0.001). MASH resolution was achieved in 44.2% vs 16.8% (P&lt;0.001). The combined endpoint (fibrosis improvement AND MASH resolution) was achieved in 25.4% vs 6.8% (P&lt;0.001). Notably, 12.8% of KLERA patients achieved ≥2-stage fibrosis improvement, suggesting the potential for substantial histological reversal in a subset of patients. Liver fat decreased by 52.3% (MRI-PDFF) and LDL-cholesterol by 18.7%.¹</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KLERA (n=483)</w:t>
            </w:r>
          </w:p>
        </w:tc>
        <w:tc>
          <w:tcPr>
            <w:tcW w:type="dxa" w:w="2268"/>
            <w:shd w:fill="830051"/>
          </w:tcPr>
          <w:p>
            <w:r/>
            <w:r>
              <w:rPr>
                <w:b/>
                <w:color w:val="FFFFFF"/>
                <w:sz w:val="18"/>
              </w:rPr>
              <w:t>Placebo (n=483)</w:t>
            </w:r>
          </w:p>
        </w:tc>
        <w:tc>
          <w:tcPr>
            <w:tcW w:type="dxa" w:w="2268"/>
            <w:shd w:fill="830051"/>
          </w:tcPr>
          <w:p>
            <w:r/>
            <w:r>
              <w:rPr>
                <w:b/>
                <w:color w:val="FFFFFF"/>
                <w:sz w:val="18"/>
              </w:rPr>
              <w:t>Effect</w:t>
            </w:r>
          </w:p>
        </w:tc>
      </w:tr>
      <w:tr>
        <w:tc>
          <w:tcPr>
            <w:tcW w:type="dxa" w:w="2268"/>
          </w:tcPr>
          <w:p>
            <w:r/>
            <w:r>
              <w:rPr>
                <w:color w:val="363B3B"/>
                <w:sz w:val="18"/>
              </w:rPr>
              <w:t>Fibrosis improvement (primary)</w:t>
            </w:r>
          </w:p>
        </w:tc>
        <w:tc>
          <w:tcPr>
            <w:tcW w:type="dxa" w:w="2268"/>
          </w:tcPr>
          <w:p>
            <w:r/>
            <w:r>
              <w:rPr>
                <w:color w:val="363B3B"/>
                <w:sz w:val="18"/>
              </w:rPr>
              <w:t>37.1%</w:t>
            </w:r>
          </w:p>
        </w:tc>
        <w:tc>
          <w:tcPr>
            <w:tcW w:type="dxa" w:w="2268"/>
          </w:tcPr>
          <w:p>
            <w:r/>
            <w:r>
              <w:rPr>
                <w:color w:val="363B3B"/>
                <w:sz w:val="18"/>
              </w:rPr>
              <w:t>14.5%</w:t>
            </w:r>
          </w:p>
        </w:tc>
        <w:tc>
          <w:tcPr>
            <w:tcW w:type="dxa" w:w="2268"/>
          </w:tcPr>
          <w:p>
            <w:r/>
            <w:r>
              <w:rPr>
                <w:color w:val="363B3B"/>
                <w:sz w:val="18"/>
              </w:rPr>
              <w:t>Δ 22.6%; P&lt;0.001</w:t>
            </w:r>
          </w:p>
        </w:tc>
      </w:tr>
      <w:tr>
        <w:tc>
          <w:tcPr>
            <w:tcW w:type="dxa" w:w="2268"/>
            <w:shd w:fill="F8F8F8"/>
          </w:tcPr>
          <w:p>
            <w:r/>
            <w:r>
              <w:rPr>
                <w:color w:val="363B3B"/>
                <w:sz w:val="18"/>
              </w:rPr>
              <w:t>MASH resolution</w:t>
            </w:r>
          </w:p>
        </w:tc>
        <w:tc>
          <w:tcPr>
            <w:tcW w:type="dxa" w:w="2268"/>
            <w:shd w:fill="F8F8F8"/>
          </w:tcPr>
          <w:p>
            <w:r/>
            <w:r>
              <w:rPr>
                <w:color w:val="363B3B"/>
                <w:sz w:val="18"/>
              </w:rPr>
              <w:t>44.2%</w:t>
            </w:r>
          </w:p>
        </w:tc>
        <w:tc>
          <w:tcPr>
            <w:tcW w:type="dxa" w:w="2268"/>
            <w:shd w:fill="F8F8F8"/>
          </w:tcPr>
          <w:p>
            <w:r/>
            <w:r>
              <w:rPr>
                <w:color w:val="363B3B"/>
                <w:sz w:val="18"/>
              </w:rPr>
              <w:t>16.8%</w:t>
            </w:r>
          </w:p>
        </w:tc>
        <w:tc>
          <w:tcPr>
            <w:tcW w:type="dxa" w:w="2268"/>
            <w:shd w:fill="F8F8F8"/>
          </w:tcPr>
          <w:p>
            <w:r/>
            <w:r>
              <w:rPr>
                <w:color w:val="363B3B"/>
                <w:sz w:val="18"/>
              </w:rPr>
              <w:t>Δ 27.4%; P&lt;0.001</w:t>
            </w:r>
          </w:p>
        </w:tc>
      </w:tr>
      <w:tr>
        <w:tc>
          <w:tcPr>
            <w:tcW w:type="dxa" w:w="2268"/>
          </w:tcPr>
          <w:p>
            <w:r/>
            <w:r>
              <w:rPr>
                <w:color w:val="363B3B"/>
                <w:sz w:val="18"/>
              </w:rPr>
              <w:t>Combined endpoint</w:t>
            </w:r>
          </w:p>
        </w:tc>
        <w:tc>
          <w:tcPr>
            <w:tcW w:type="dxa" w:w="2268"/>
          </w:tcPr>
          <w:p>
            <w:r/>
            <w:r>
              <w:rPr>
                <w:color w:val="363B3B"/>
                <w:sz w:val="18"/>
              </w:rPr>
              <w:t>25.4%</w:t>
            </w:r>
          </w:p>
        </w:tc>
        <w:tc>
          <w:tcPr>
            <w:tcW w:type="dxa" w:w="2268"/>
          </w:tcPr>
          <w:p>
            <w:r/>
            <w:r>
              <w:rPr>
                <w:color w:val="363B3B"/>
                <w:sz w:val="18"/>
              </w:rPr>
              <w:t>6.8%</w:t>
            </w:r>
          </w:p>
        </w:tc>
        <w:tc>
          <w:tcPr>
            <w:tcW w:type="dxa" w:w="2268"/>
          </w:tcPr>
          <w:p>
            <w:r/>
            <w:r>
              <w:rPr>
                <w:color w:val="363B3B"/>
                <w:sz w:val="18"/>
              </w:rPr>
              <w:t>Δ 18.6%; P&lt;0.001</w:t>
            </w:r>
          </w:p>
        </w:tc>
      </w:tr>
      <w:tr>
        <w:tc>
          <w:tcPr>
            <w:tcW w:type="dxa" w:w="2268"/>
            <w:shd w:fill="F8F8F8"/>
          </w:tcPr>
          <w:p>
            <w:r/>
            <w:r>
              <w:rPr>
                <w:color w:val="363B3B"/>
                <w:sz w:val="18"/>
              </w:rPr>
              <w:t>Liver fat (MRI-PDFF)</w:t>
            </w:r>
          </w:p>
        </w:tc>
        <w:tc>
          <w:tcPr>
            <w:tcW w:type="dxa" w:w="2268"/>
            <w:shd w:fill="F8F8F8"/>
          </w:tcPr>
          <w:p>
            <w:r/>
            <w:r>
              <w:rPr>
                <w:color w:val="363B3B"/>
                <w:sz w:val="18"/>
              </w:rPr>
              <w:t>−52.3%</w:t>
            </w:r>
          </w:p>
        </w:tc>
        <w:tc>
          <w:tcPr>
            <w:tcW w:type="dxa" w:w="2268"/>
            <w:shd w:fill="F8F8F8"/>
          </w:tcPr>
          <w:p>
            <w:r/>
            <w:r>
              <w:rPr>
                <w:color w:val="363B3B"/>
                <w:sz w:val="18"/>
              </w:rPr>
              <w:t>−10.4%</w:t>
            </w:r>
          </w:p>
        </w:tc>
        <w:tc>
          <w:tcPr>
            <w:tcW w:type="dxa" w:w="2268"/>
            <w:shd w:fill="F8F8F8"/>
          </w:tcPr>
          <w:p>
            <w:r/>
            <w:r>
              <w:rPr>
                <w:color w:val="363B3B"/>
                <w:sz w:val="18"/>
              </w:rPr>
              <w:t>P&lt;0.001</w:t>
            </w:r>
          </w:p>
        </w:tc>
      </w:tr>
      <w:tr>
        <w:tc>
          <w:tcPr>
            <w:tcW w:type="dxa" w:w="2268"/>
          </w:tcPr>
          <w:p>
            <w:r/>
            <w:r>
              <w:rPr>
                <w:color w:val="363B3B"/>
                <w:sz w:val="18"/>
              </w:rPr>
              <w:t>LDL-C change</w:t>
            </w:r>
          </w:p>
        </w:tc>
        <w:tc>
          <w:tcPr>
            <w:tcW w:type="dxa" w:w="2268"/>
          </w:tcPr>
          <w:p>
            <w:r/>
            <w:r>
              <w:rPr>
                <w:color w:val="363B3B"/>
                <w:sz w:val="18"/>
              </w:rPr>
              <w:t>−18.7%</w:t>
            </w:r>
          </w:p>
        </w:tc>
        <w:tc>
          <w:tcPr>
            <w:tcW w:type="dxa" w:w="2268"/>
          </w:tcPr>
          <w:p>
            <w:r/>
            <w:r>
              <w:rPr>
                <w:color w:val="363B3B"/>
                <w:sz w:val="18"/>
              </w:rPr>
              <w:t>+1.2%</w:t>
            </w:r>
          </w:p>
        </w:tc>
        <w:tc>
          <w:tcPr>
            <w:tcW w:type="dxa" w:w="2268"/>
          </w:tcPr>
          <w:p>
            <w:r/>
            <w:r>
              <w:rPr>
                <w:color w:val="363B3B"/>
                <w:sz w:val="18"/>
              </w:rPr>
              <w:t>P&lt;0.001</w:t>
            </w:r>
          </w:p>
        </w:tc>
      </w:tr>
    </w:tbl>
    <w:p>
      <w:pPr>
        <w:jc w:val="center"/>
      </w:pPr>
      <w:r>
        <w:rPr>
          <w:color w:val="CCCCCC"/>
          <w:sz w:val="16"/>
        </w:rPr>
        <w:t>────────────────────────────────────────────────────────────</w:t>
      </w:r>
    </w:p>
    <w:p>
      <w:r>
        <w:rPr>
          <w:b/>
          <w:i w:val="0"/>
          <w:color w:val="363B3B"/>
          <w:sz w:val="20"/>
        </w:rPr>
        <w:t>Tab 2: "CLARITY-RESOLVE: MASH resolution with metabolic benefits"</w:t>
      </w:r>
    </w:p>
    <w:p>
      <w:pPr>
        <w:jc w:val="center"/>
      </w:pPr>
      <w:r>
        <w:drawing>
          <wp:inline xmlns:a="http://schemas.openxmlformats.org/drawingml/2006/main" xmlns:pic="http://schemas.openxmlformats.org/drawingml/2006/picture">
            <wp:extent cx="3200400" cy="2389632"/>
            <wp:docPr id="11" name="Picture 11"/>
            <wp:cNvGraphicFramePr>
              <a:graphicFrameLocks noChangeAspect="1"/>
            </wp:cNvGraphicFramePr>
            <a:graphic>
              <a:graphicData uri="http://schemas.openxmlformats.org/drawingml/2006/picture">
                <pic:pic>
                  <pic:nvPicPr>
                    <pic:cNvPr id="0" name="tab-velocity-bleed.jpeg"/>
                    <pic:cNvPicPr/>
                  </pic:nvPicPr>
                  <pic:blipFill>
                    <a:blip r:embed="rId19"/>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CLARITY Data — CLARITY-RESOLVE tab</w:t>
      </w:r>
    </w:p>
    <w:p>
      <w:r>
        <w:rPr>
          <w:b/>
          <w:sz w:val="20"/>
        </w:rPr>
        <w:t xml:space="preserve">Heading: </w:t>
      </w:r>
      <w:r>
        <w:rPr>
          <w:sz w:val="20"/>
        </w:rPr>
        <w:t>CLARITY-RESOLVE: MASH resolution and cardiometabolic improvement in T2D</w:t>
      </w:r>
    </w:p>
    <w:p>
      <w:r>
        <w:rPr>
          <w:b/>
        </w:rPr>
        <w:t xml:space="preserve">Body text: </w:t>
      </w:r>
      <w:r>
        <w:t>CLARITY-RESOLVE was a randomised, double-blind, placebo-controlled trial in 748 adults with biopsy-confirmed MASH (NAS ≥4) and fibrosis stage F1–F3, all with type 2 diabetes (HbA1c 7.0–10.0%). This trial specifically assessed whether KLERA could address both liver histology and the metabolic comorbidities that drive morbidity in MASH.²</w:t>
      </w:r>
    </w:p>
    <w:p/>
    <w:p>
      <w:r>
        <w:rPr>
          <w:b/>
        </w:rPr>
        <w:t xml:space="preserve">Body text (continued): </w:t>
      </w:r>
      <w:r>
        <w:t>KLERA achieved a MASH resolution rate of 48.9% vs 18.4% placebo (Δ 30.5%; P&lt;0.001). Fibrosis improvement (≥1 stage) was achieved in 34.8% vs 15.0% (P&lt;0.001). Beyond liver histology, KLERA improved HbA1c by 0.36% vs placebo, reduced body weight by 2.1 kg, lowered triglycerides by 24.6%, and reduced LDL-cholesterol by 16.9%. Liver fat decreased by 58.1% (MRI-PDFF). These cardiometabolic benefits address the multi-organ nature of MASH and its associated morbidity.²</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KLERA (n=374)</w:t>
            </w:r>
          </w:p>
        </w:tc>
        <w:tc>
          <w:tcPr>
            <w:tcW w:type="dxa" w:w="2268"/>
            <w:shd w:fill="830051"/>
          </w:tcPr>
          <w:p>
            <w:r/>
            <w:r>
              <w:rPr>
                <w:b/>
                <w:color w:val="FFFFFF"/>
                <w:sz w:val="18"/>
              </w:rPr>
              <w:t>Placebo (n=374)</w:t>
            </w:r>
          </w:p>
        </w:tc>
        <w:tc>
          <w:tcPr>
            <w:tcW w:type="dxa" w:w="2268"/>
            <w:shd w:fill="830051"/>
          </w:tcPr>
          <w:p>
            <w:r/>
            <w:r>
              <w:rPr>
                <w:b/>
                <w:color w:val="FFFFFF"/>
                <w:sz w:val="18"/>
              </w:rPr>
              <w:t>Effect</w:t>
            </w:r>
          </w:p>
        </w:tc>
      </w:tr>
      <w:tr>
        <w:tc>
          <w:tcPr>
            <w:tcW w:type="dxa" w:w="2268"/>
          </w:tcPr>
          <w:p>
            <w:r/>
            <w:r>
              <w:rPr>
                <w:color w:val="363B3B"/>
                <w:sz w:val="18"/>
              </w:rPr>
              <w:t>MASH resolution (primary)</w:t>
            </w:r>
          </w:p>
        </w:tc>
        <w:tc>
          <w:tcPr>
            <w:tcW w:type="dxa" w:w="2268"/>
          </w:tcPr>
          <w:p>
            <w:r/>
            <w:r>
              <w:rPr>
                <w:color w:val="363B3B"/>
                <w:sz w:val="18"/>
              </w:rPr>
              <w:t>48.9%</w:t>
            </w:r>
          </w:p>
        </w:tc>
        <w:tc>
          <w:tcPr>
            <w:tcW w:type="dxa" w:w="2268"/>
          </w:tcPr>
          <w:p>
            <w:r/>
            <w:r>
              <w:rPr>
                <w:color w:val="363B3B"/>
                <w:sz w:val="18"/>
              </w:rPr>
              <w:t>18.4%</w:t>
            </w:r>
          </w:p>
        </w:tc>
        <w:tc>
          <w:tcPr>
            <w:tcW w:type="dxa" w:w="2268"/>
          </w:tcPr>
          <w:p>
            <w:r/>
            <w:r>
              <w:rPr>
                <w:color w:val="363B3B"/>
                <w:sz w:val="18"/>
              </w:rPr>
              <w:t>Δ 30.5%; P&lt;0.001</w:t>
            </w:r>
          </w:p>
        </w:tc>
      </w:tr>
      <w:tr>
        <w:tc>
          <w:tcPr>
            <w:tcW w:type="dxa" w:w="2268"/>
            <w:shd w:fill="F8F8F8"/>
          </w:tcPr>
          <w:p>
            <w:r/>
            <w:r>
              <w:rPr>
                <w:color w:val="363B3B"/>
                <w:sz w:val="18"/>
              </w:rPr>
              <w:t>Fibrosis improvement</w:t>
            </w:r>
          </w:p>
        </w:tc>
        <w:tc>
          <w:tcPr>
            <w:tcW w:type="dxa" w:w="2268"/>
            <w:shd w:fill="F8F8F8"/>
          </w:tcPr>
          <w:p>
            <w:r/>
            <w:r>
              <w:rPr>
                <w:color w:val="363B3B"/>
                <w:sz w:val="18"/>
              </w:rPr>
              <w:t>34.8%</w:t>
            </w:r>
          </w:p>
        </w:tc>
        <w:tc>
          <w:tcPr>
            <w:tcW w:type="dxa" w:w="2268"/>
            <w:shd w:fill="F8F8F8"/>
          </w:tcPr>
          <w:p>
            <w:r/>
            <w:r>
              <w:rPr>
                <w:color w:val="363B3B"/>
                <w:sz w:val="18"/>
              </w:rPr>
              <w:t>15.0%</w:t>
            </w:r>
          </w:p>
        </w:tc>
        <w:tc>
          <w:tcPr>
            <w:tcW w:type="dxa" w:w="2268"/>
            <w:shd w:fill="F8F8F8"/>
          </w:tcPr>
          <w:p>
            <w:r/>
            <w:r>
              <w:rPr>
                <w:color w:val="363B3B"/>
                <w:sz w:val="18"/>
              </w:rPr>
              <w:t>Δ 19.8%; P&lt;0.001</w:t>
            </w:r>
          </w:p>
        </w:tc>
      </w:tr>
      <w:tr>
        <w:tc>
          <w:tcPr>
            <w:tcW w:type="dxa" w:w="2268"/>
          </w:tcPr>
          <w:p>
            <w:r/>
            <w:r>
              <w:rPr>
                <w:color w:val="363B3B"/>
                <w:sz w:val="18"/>
              </w:rPr>
              <w:t>HbA1c change</w:t>
            </w:r>
          </w:p>
        </w:tc>
        <w:tc>
          <w:tcPr>
            <w:tcW w:type="dxa" w:w="2268"/>
          </w:tcPr>
          <w:p>
            <w:r/>
            <w:r>
              <w:rPr>
                <w:color w:val="363B3B"/>
                <w:sz w:val="18"/>
              </w:rPr>
              <w:t>−0.42%</w:t>
            </w:r>
          </w:p>
        </w:tc>
        <w:tc>
          <w:tcPr>
            <w:tcW w:type="dxa" w:w="2268"/>
          </w:tcPr>
          <w:p>
            <w:r/>
            <w:r>
              <w:rPr>
                <w:color w:val="363B3B"/>
                <w:sz w:val="18"/>
              </w:rPr>
              <w:t>−0.06%</w:t>
            </w:r>
          </w:p>
        </w:tc>
        <w:tc>
          <w:tcPr>
            <w:tcW w:type="dxa" w:w="2268"/>
          </w:tcPr>
          <w:p>
            <w:r/>
            <w:r>
              <w:rPr>
                <w:color w:val="363B3B"/>
                <w:sz w:val="18"/>
              </w:rPr>
              <w:t>Δ −0.36%; P&lt;0.001</w:t>
            </w:r>
          </w:p>
        </w:tc>
      </w:tr>
      <w:tr>
        <w:tc>
          <w:tcPr>
            <w:tcW w:type="dxa" w:w="2268"/>
            <w:shd w:fill="F8F8F8"/>
          </w:tcPr>
          <w:p>
            <w:r/>
            <w:r>
              <w:rPr>
                <w:color w:val="363B3B"/>
                <w:sz w:val="18"/>
              </w:rPr>
              <w:t>Body weight</w:t>
            </w:r>
          </w:p>
        </w:tc>
        <w:tc>
          <w:tcPr>
            <w:tcW w:type="dxa" w:w="2268"/>
            <w:shd w:fill="F8F8F8"/>
          </w:tcPr>
          <w:p>
            <w:r/>
            <w:r>
              <w:rPr>
                <w:color w:val="363B3B"/>
                <w:sz w:val="18"/>
              </w:rPr>
              <w:t>−2.4 kg</w:t>
            </w:r>
          </w:p>
        </w:tc>
        <w:tc>
          <w:tcPr>
            <w:tcW w:type="dxa" w:w="2268"/>
            <w:shd w:fill="F8F8F8"/>
          </w:tcPr>
          <w:p>
            <w:r/>
            <w:r>
              <w:rPr>
                <w:color w:val="363B3B"/>
                <w:sz w:val="18"/>
              </w:rPr>
              <w:t>−0.3 kg</w:t>
            </w:r>
          </w:p>
        </w:tc>
        <w:tc>
          <w:tcPr>
            <w:tcW w:type="dxa" w:w="2268"/>
            <w:shd w:fill="F8F8F8"/>
          </w:tcPr>
          <w:p>
            <w:r/>
            <w:r>
              <w:rPr>
                <w:color w:val="363B3B"/>
                <w:sz w:val="18"/>
              </w:rPr>
              <w:t>Δ −2.1 kg; P&lt;0.001</w:t>
            </w:r>
          </w:p>
        </w:tc>
      </w:tr>
      <w:tr>
        <w:tc>
          <w:tcPr>
            <w:tcW w:type="dxa" w:w="2268"/>
          </w:tcPr>
          <w:p>
            <w:r/>
            <w:r>
              <w:rPr>
                <w:color w:val="363B3B"/>
                <w:sz w:val="18"/>
              </w:rPr>
              <w:t>Triglycerides</w:t>
            </w:r>
          </w:p>
        </w:tc>
        <w:tc>
          <w:tcPr>
            <w:tcW w:type="dxa" w:w="2268"/>
          </w:tcPr>
          <w:p>
            <w:r/>
            <w:r>
              <w:rPr>
                <w:color w:val="363B3B"/>
                <w:sz w:val="18"/>
              </w:rPr>
              <w:t>−24.6%</w:t>
            </w:r>
          </w:p>
        </w:tc>
        <w:tc>
          <w:tcPr>
            <w:tcW w:type="dxa" w:w="2268"/>
          </w:tcPr>
          <w:p>
            <w:r/>
            <w:r>
              <w:rPr>
                <w:color w:val="363B3B"/>
                <w:sz w:val="18"/>
              </w:rPr>
              <w:t>−3.8%</w:t>
            </w:r>
          </w:p>
        </w:tc>
        <w:tc>
          <w:tcPr>
            <w:tcW w:type="dxa" w:w="2268"/>
          </w:tcPr>
          <w:p>
            <w:r/>
            <w:r>
              <w:rPr>
                <w:color w:val="363B3B"/>
                <w:sz w:val="18"/>
              </w:rPr>
              <w:t>P&lt;0.001</w:t>
            </w:r>
          </w:p>
        </w:tc>
      </w:tr>
      <w:tr>
        <w:tc>
          <w:tcPr>
            <w:tcW w:type="dxa" w:w="2268"/>
            <w:shd w:fill="F8F8F8"/>
          </w:tcPr>
          <w:p>
            <w:r/>
            <w:r>
              <w:rPr>
                <w:color w:val="363B3B"/>
                <w:sz w:val="18"/>
              </w:rPr>
              <w:t>LDL-C change</w:t>
            </w:r>
          </w:p>
        </w:tc>
        <w:tc>
          <w:tcPr>
            <w:tcW w:type="dxa" w:w="2268"/>
            <w:shd w:fill="F8F8F8"/>
          </w:tcPr>
          <w:p>
            <w:r/>
            <w:r>
              <w:rPr>
                <w:color w:val="363B3B"/>
                <w:sz w:val="18"/>
              </w:rPr>
              <w:t>−16.9%</w:t>
            </w:r>
          </w:p>
        </w:tc>
        <w:tc>
          <w:tcPr>
            <w:tcW w:type="dxa" w:w="2268"/>
            <w:shd w:fill="F8F8F8"/>
          </w:tcPr>
          <w:p>
            <w:r/>
            <w:r>
              <w:rPr>
                <w:color w:val="363B3B"/>
                <w:sz w:val="18"/>
              </w:rPr>
              <w:t>+0.8%</w:t>
            </w:r>
          </w:p>
        </w:tc>
        <w:tc>
          <w:tcPr>
            <w:tcW w:type="dxa" w:w="2268"/>
            <w:shd w:fill="F8F8F8"/>
          </w:tcPr>
          <w:p>
            <w:r/>
            <w:r>
              <w:rPr>
                <w:color w:val="363B3B"/>
                <w:sz w:val="18"/>
              </w:rPr>
              <w:t>P&lt;0.001</w:t>
            </w:r>
          </w:p>
        </w:tc>
      </w:tr>
    </w:tbl>
    <w:p>
      <w:pPr>
        <w:jc w:val="center"/>
      </w:pPr>
      <w:r>
        <w:rPr>
          <w:color w:val="CCCCCC"/>
          <w:sz w:val="16"/>
        </w:rPr>
        <w:t>────────────────────────────────────────────────────────────</w:t>
      </w:r>
    </w:p>
    <w:p>
      <w:pPr>
        <w:pStyle w:val="Heading3"/>
      </w:pPr>
      <w:r>
        <w:rPr>
          <w:color w:val="2E7D32"/>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CLARITY Data | KLERA (klerafistat) | Fibrosis &amp; MASH Resolution | AstraZeneca UK</w:t>
      </w:r>
    </w:p>
    <w:p>
      <w:r>
        <w:rPr>
          <w:b w:val="0"/>
          <w:i w:val="0"/>
          <w:color w:val="363B3B"/>
          <w:sz w:val="20"/>
        </w:rPr>
        <w:t>Description: Explore the CLARITY clinical programme for KLERA (klerafistat) — Phase III fibrosis improvement, MASH resolution, and cardiometabolic outcomes in adults with MASH and liver fibrosis.</w:t>
      </w:r>
    </w:p>
    <w:p>
      <w:r>
        <w:br w:type="page"/>
      </w:r>
    </w:p>
    <w:p>
      <w:pPr>
        <w:pStyle w:val="Heading2"/>
      </w:pPr>
      <w:r>
        <w:rPr>
          <w:color w:val="830051"/>
        </w:rPr>
        <w:t>PAGE 4: How KLERA Works</w:t>
      </w:r>
    </w:p>
    <w:p>
      <w:r>
        <w:rPr>
          <w:b/>
          <w:sz w:val="20"/>
        </w:rPr>
        <w:t xml:space="preserve">URL path: </w:t>
      </w:r>
      <w:r>
        <w:rPr>
          <w:sz w:val="20"/>
        </w:rPr>
        <w:t>/klera/how-klera-works</w:t>
      </w:r>
    </w:p>
    <w:p>
      <w:pPr>
        <w:jc w:val="center"/>
      </w:pPr>
      <w:r>
        <w:rPr>
          <w:color w:val="CCCCCC"/>
          <w:sz w:val="16"/>
        </w:rPr>
        <w:t>────────────────────────────────────────────────────────────</w:t>
      </w:r>
    </w:p>
    <w:p>
      <w:pPr>
        <w:pStyle w:val="Heading3"/>
      </w:pPr>
      <w:r>
        <w:rPr>
          <w:color w:val="2E7D32"/>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2" name="Picture 12"/>
            <wp:cNvGraphicFramePr>
              <a:graphicFrameLocks noChangeAspect="1"/>
            </wp:cNvGraphicFramePr>
            <a:graphic>
              <a:graphicData uri="http://schemas.openxmlformats.org/drawingml/2006/picture">
                <pic:pic>
                  <pic:nvPicPr>
                    <pic:cNvPr id="0" name="hero-moa.jpeg"/>
                    <pic:cNvPicPr/>
                  </pic:nvPicPr>
                  <pic:blipFill>
                    <a:blip r:embed="rId20"/>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KLERA Works — hero</w:t>
      </w:r>
    </w:p>
    <w:p>
      <w:r>
        <w:rPr>
          <w:b/>
          <w:sz w:val="20"/>
        </w:rPr>
        <w:t xml:space="preserve">Heading: </w:t>
      </w:r>
      <w:r>
        <w:rPr>
          <w:sz w:val="20"/>
        </w:rPr>
        <w:t>How KLERA works</w:t>
      </w:r>
    </w:p>
    <w:p>
      <w:r>
        <w:rPr>
          <w:b/>
        </w:rPr>
        <w:t xml:space="preserve">Body text: </w:t>
      </w:r>
      <w:r>
        <w:t>KLERA® (klerafistat) selectively activates thyroid hormone receptor beta in the liver, harnessing the body’s own metabolic machinery to clear hepatic fat and halt fibrosis progression.³ ⁵</w:t>
      </w:r>
    </w:p>
    <w:p>
      <w:pPr>
        <w:jc w:val="center"/>
      </w:pPr>
      <w:r>
        <w:rPr>
          <w:color w:val="CCCCCC"/>
          <w:sz w:val="16"/>
        </w:rPr>
        <w:t>────────────────────────────────────────────────────────────</w:t>
      </w:r>
    </w:p>
    <w:p>
      <w:pPr>
        <w:pStyle w:val="Heading3"/>
      </w:pPr>
      <w:r>
        <w:rPr>
          <w:color w:val="2E7D32"/>
        </w:rPr>
        <w:t>Section 2 — THR biology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THR-β: the liver’s metabolic master switch</w:t>
      </w:r>
    </w:p>
    <w:p>
      <w:r>
        <w:rPr>
          <w:b/>
        </w:rPr>
        <w:t xml:space="preserve">Body text: </w:t>
      </w:r>
      <w:r>
        <w:t>Thyroid hormones regulate hepatic metabolism through two receptor isoforms: THR-α (predominant in heart and bone) and THR-β (predominant in liver). THR-β activation in hepatocytes drives mitochondrial fatty acid β-oxidation, upregulates LDL receptor expression, and suppresses de novo lipogenesis. Patients with MASH frequently exhibit features of relative hepatic hypothyroidism — reduced intrahepatic T3 signalling despite normal systemic thyroid function — contributing to impaired hepatic lipid clearance.⁴ ⁵</w:t>
      </w:r>
    </w:p>
    <w:p>
      <w:pPr>
        <w:jc w:val="center"/>
      </w:pPr>
      <w:r>
        <w:rPr>
          <w:color w:val="CCCCCC"/>
          <w:sz w:val="16"/>
        </w:rPr>
        <w:t>────────────────────────────────────────────────────────────</w:t>
      </w:r>
    </w:p>
    <w:p>
      <w:pPr>
        <w:pStyle w:val="Heading3"/>
      </w:pPr>
      <w:r>
        <w:rPr>
          <w:color w:val="2E7D32"/>
        </w:rPr>
        <w:t>Section 3 — Mechanism detail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3" name="Picture 13"/>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Selective THR-β agonism: liver-directed fat clearance</w:t>
      </w:r>
    </w:p>
    <w:p>
      <w:r>
        <w:rPr>
          <w:b/>
        </w:rPr>
        <w:t xml:space="preserve">Body text: </w:t>
      </w:r>
      <w:r>
        <w:t>Klerafistat binds to THR-β with &gt;30-fold selectivity over THR-α. In the hepatocyte, THR-β activation upregulates mitochondrial β-oxidation enzymes (CPT1A, ACADL), increasing fatty acid catabolism and reducing intracellular triglyceride, diacylglycerol, and ceramide pools. Concurrently, de novo lipogenesis is suppressed through downregulation of SREBP-1c and ACC. The net effect is a &gt;50% reduction in hepatic fat content within 12 weeks.³ ⁵</w:t>
      </w:r>
    </w:p>
    <w:p/>
    <w:p>
      <w:r>
        <w:rPr>
          <w:b/>
        </w:rPr>
        <w:t xml:space="preserve">Body text (continued): </w:t>
      </w:r>
      <w:r>
        <w:t>Reduced lipotoxicity diminishes hepatocyte injury signals, attenuating the activation of hepatic stellate cells and slowing collagen deposition. Additionally, KLERA upregulates hepatic LDL receptor expression, lowering circulating LDL-cholesterol by ~19% and addressing the cardiovascular risk that is the leading cause of death in MASH patients. THR-α sparing preserves cardiac rhythm and bone density, enabling chronic use.³ ⁵</w:t>
      </w:r>
    </w:p>
    <w:p>
      <w:r>
        <w:rPr>
          <w:b/>
          <w:sz w:val="20"/>
        </w:rPr>
        <w:t xml:space="preserve">Call to action: </w:t>
      </w:r>
      <w:r>
        <w:rPr>
          <w:sz w:val="20"/>
        </w:rPr>
        <w:t>View the CLARITY data → /klera/clarity-data</w:t>
      </w:r>
    </w:p>
    <w:p>
      <w:pPr>
        <w:jc w:val="center"/>
      </w:pPr>
      <w:r>
        <w:rPr>
          <w:color w:val="CCCCCC"/>
          <w:sz w:val="16"/>
        </w:rPr>
        <w:t>────────────────────────────────────────────────────────────</w:t>
      </w:r>
    </w:p>
    <w:p>
      <w:pPr>
        <w:pStyle w:val="Heading3"/>
      </w:pPr>
      <w:r>
        <w:rPr>
          <w:color w:val="2E7D32"/>
        </w:rPr>
        <w:t>Section 4 — THR-β selectivity (centred text)</w:t>
      </w:r>
    </w:p>
    <w:p>
      <w:r>
        <w:rPr>
          <w:b/>
          <w:sz w:val="20"/>
        </w:rPr>
        <w:t xml:space="preserve">Block: </w:t>
      </w:r>
      <w:r>
        <w:rPr>
          <w:sz w:val="20"/>
        </w:rPr>
        <w:t>introduction</w:t>
      </w:r>
    </w:p>
    <w:p>
      <w:r>
        <w:rPr>
          <w:b/>
          <w:sz w:val="20"/>
        </w:rPr>
        <w:t xml:space="preserve">Heading: </w:t>
      </w:r>
      <w:r>
        <w:rPr>
          <w:sz w:val="20"/>
        </w:rPr>
        <w:t>&gt;30-fold selectivity for THR-β over THR-α</w:t>
      </w:r>
    </w:p>
    <w:p>
      <w:r>
        <w:rPr>
          <w:b/>
        </w:rPr>
        <w:t xml:space="preserve">Body text: </w:t>
      </w:r>
      <w:r>
        <w:t>Non-selective thyroid hormone action causes tachycardia, atrial fibrillation, and accelerated bone turnover. KLERA achieves &gt;30-fold selectivity for the liver-predominant THR-β isoform, sparing THR-α-mediated effects. In CLARITY, mean heart rate increased by only 1.8 bpm vs 0.2 bpm placebo, no arrhythmia signal was detected, and bone mineral density was unchanged at Week 52.³</w:t>
      </w:r>
    </w:p>
    <w:p>
      <w:pPr>
        <w:jc w:val="center"/>
      </w:pPr>
      <w:r>
        <w:rPr>
          <w:color w:val="CCCCCC"/>
          <w:sz w:val="16"/>
        </w:rPr>
        <w:t>────────────────────────────────────────────────────────────</w:t>
      </w:r>
    </w:p>
    <w:p>
      <w:pPr>
        <w:pStyle w:val="Heading3"/>
      </w:pPr>
      <w:r>
        <w:rPr>
          <w:color w:val="2E7D32"/>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How KLERA Works | THR-β Agonist Mechanism | Liver-Directed Therapy | AstraZeneca UK</w:t>
      </w:r>
    </w:p>
    <w:p>
      <w:r>
        <w:rPr>
          <w:b w:val="0"/>
          <w:i w:val="0"/>
          <w:color w:val="363B3B"/>
          <w:sz w:val="20"/>
        </w:rPr>
        <w:t>Description: Understand how KLERA (klerafistat) selectively activates THR-β in the liver to clear hepatic fat, reduce lipotoxicity, and improve fibrosis in MASH.</w:t>
      </w:r>
    </w:p>
    <w:p>
      <w:r>
        <w:br w:type="page"/>
      </w:r>
    </w:p>
    <w:p>
      <w:pPr>
        <w:pStyle w:val="Heading2"/>
      </w:pPr>
      <w:r>
        <w:rPr>
          <w:color w:val="830051"/>
        </w:rPr>
        <w:t>PAGE 5: Safety, Dosing &amp; Monitoring</w:t>
      </w:r>
    </w:p>
    <w:p>
      <w:r>
        <w:rPr>
          <w:b/>
          <w:sz w:val="20"/>
        </w:rPr>
        <w:t xml:space="preserve">URL path: </w:t>
      </w:r>
      <w:r>
        <w:rPr>
          <w:sz w:val="20"/>
        </w:rPr>
        <w:t>/klera/safety-dosing-monitoring</w:t>
      </w:r>
    </w:p>
    <w:p>
      <w:pPr>
        <w:jc w:val="center"/>
      </w:pPr>
      <w:r>
        <w:rPr>
          <w:color w:val="CCCCCC"/>
          <w:sz w:val="16"/>
        </w:rPr>
        <w:t>────────────────────────────────────────────────────────────</w:t>
      </w:r>
    </w:p>
    <w:p>
      <w:pPr>
        <w:pStyle w:val="Heading3"/>
      </w:pPr>
      <w:r>
        <w:rPr>
          <w:color w:val="2E7D32"/>
        </w:rPr>
        <w:t>Section 1 — Page header (text only, no image)</w:t>
      </w:r>
    </w:p>
    <w:p>
      <w:r>
        <w:rPr>
          <w:b/>
          <w:sz w:val="20"/>
        </w:rPr>
        <w:t xml:space="preserve">Block: </w:t>
      </w:r>
      <w:r>
        <w:rPr>
          <w:sz w:val="20"/>
        </w:rPr>
        <w:t>title</w:t>
      </w:r>
    </w:p>
    <w:p>
      <w:r>
        <w:rPr>
          <w:b/>
          <w:sz w:val="20"/>
        </w:rPr>
        <w:t xml:space="preserve">Heading: </w:t>
      </w:r>
      <w:r>
        <w:rPr>
          <w:sz w:val="20"/>
        </w:rPr>
        <w:t>Safety, dosing, and monitoring</w:t>
      </w:r>
    </w:p>
    <w:p>
      <w:r>
        <w:rPr>
          <w:b/>
        </w:rPr>
        <w:t xml:space="preserve">Body text: </w:t>
      </w:r>
      <w:r>
        <w:t>KLERA® (klerafistat) has been evaluated in 857 patients across the CLARITY clinical programme. A simple oral once-daily regimen with dose escalation and structured hepatic monitoring supports safe long-term treatment.¹ ² ³</w:t>
      </w:r>
    </w:p>
    <w:p>
      <w:pPr>
        <w:jc w:val="center"/>
      </w:pPr>
      <w:r>
        <w:rPr>
          <w:color w:val="CCCCCC"/>
          <w:sz w:val="16"/>
        </w:rPr>
        <w:t>────────────────────────────────────────────────────────────</w:t>
      </w:r>
    </w:p>
    <w:p>
      <w:pPr>
        <w:pStyle w:val="Heading3"/>
      </w:pPr>
      <w:r>
        <w:rPr>
          <w:color w:val="2E7D32"/>
        </w:rPr>
        <w:t>Section 2 — Dosing regimen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4" name="Picture 14"/>
            <wp:cNvGraphicFramePr>
              <a:graphicFrameLocks noChangeAspect="1"/>
            </wp:cNvGraphicFramePr>
            <a:graphic>
              <a:graphicData uri="http://schemas.openxmlformats.org/drawingml/2006/picture">
                <pic:pic>
                  <pic:nvPicPr>
                    <pic:cNvPr id="0" name="columns-dosing.jpeg"/>
                    <pic:cNvPicPr/>
                  </pic:nvPicPr>
                  <pic:blipFill>
                    <a:blip r:embed="rId21"/>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Safety, Dosing &amp; Monitoring — daily regimen</w:t>
      </w:r>
    </w:p>
    <w:p>
      <w:r>
        <w:rPr>
          <w:b/>
          <w:sz w:val="20"/>
        </w:rPr>
        <w:t xml:space="preserve">Heading: </w:t>
      </w:r>
      <w:r>
        <w:rPr>
          <w:sz w:val="20"/>
        </w:rPr>
        <w:t>Dose escalation for tolerability</w:t>
      </w:r>
    </w:p>
    <w:p>
      <w:r>
        <w:rPr>
          <w:b/>
        </w:rPr>
        <w:t xml:space="preserve">Body text: </w:t>
      </w:r>
      <w:r>
        <w:t>Month 1–3: KLERA 80 mg once daily with food. Month 4 onwards: increase to 100 mg once daily with food. This dose-escalation approach was designed to mitigate gastrointestinal adverse events during treatment initiation. Tablets should be swallowed whole. If a dose is missed, take it as soon as remembered on the same day; do not double-dose.³</w:t>
      </w:r>
    </w:p>
    <w:p>
      <w:pPr>
        <w:jc w:val="center"/>
      </w:pPr>
      <w:r>
        <w:rPr>
          <w:color w:val="CCCCCC"/>
          <w:sz w:val="16"/>
        </w:rPr>
        <w:t>────────────────────────────────────────────────────────────</w:t>
      </w:r>
    </w:p>
    <w:p>
      <w:pPr>
        <w:pStyle w:val="Heading3"/>
      </w:pPr>
      <w:r>
        <w:rPr>
          <w:color w:val="2E7D32"/>
        </w:rPr>
        <w:t>Section 3 — Key safety topics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15" name="Picture 15"/>
            <wp:cNvGraphicFramePr>
              <a:graphicFrameLocks noChangeAspect="1"/>
            </wp:cNvGraphicFramePr>
            <a:graphic>
              <a:graphicData uri="http://schemas.openxmlformats.org/drawingml/2006/picture">
                <pic:pic>
                  <pic:nvPicPr>
                    <pic:cNvPr id="0" name="card-bleeding-events.jpeg"/>
                    <pic:cNvPicPr/>
                  </pic:nvPicPr>
                  <pic:blipFill>
                    <a:blip r:embed="rId15"/>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Understanding MASH — progression card</w:t>
      </w:r>
    </w:p>
    <w:p>
      <w:r>
        <w:rPr>
          <w:b/>
          <w:sz w:val="20"/>
        </w:rPr>
        <w:t xml:space="preserve">Card heading: </w:t>
      </w:r>
      <w:r>
        <w:rPr>
          <w:sz w:val="20"/>
        </w:rPr>
        <w:t>Gastrointestinal events</w:t>
      </w:r>
    </w:p>
    <w:p>
      <w:r>
        <w:rPr>
          <w:b/>
        </w:rPr>
        <w:t xml:space="preserve">Card body: </w:t>
      </w:r>
      <w:r>
        <w:t>Diarrhoea (26.4%) and nausea (18.7%) were the most common AEs, predominantly grade 1–2 and most frequent during the first 4 weeks. Grade ≥3 diarrhoea: 2.8%. Treatment discontinuation due to GI events: 2.1%. Dose-escalation mitigates GI intolerance.³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6" name="Picture 16"/>
            <wp:cNvGraphicFramePr>
              <a:graphicFrameLocks noChangeAspect="1"/>
            </wp:cNvGraphicFramePr>
            <a:graphic>
              <a:graphicData uri="http://schemas.openxmlformats.org/drawingml/2006/picture">
                <pic:pic>
                  <pic:nvPicPr>
                    <pic:cNvPr id="0" name="card-hepatic.jpeg"/>
                    <pic:cNvPicPr/>
                  </pic:nvPicPr>
                  <pic:blipFill>
                    <a:blip r:embed="rId16"/>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Understanding MASH — comorbidity card</w:t>
      </w:r>
    </w:p>
    <w:p>
      <w:r>
        <w:rPr>
          <w:b/>
          <w:sz w:val="20"/>
        </w:rPr>
        <w:t xml:space="preserve">Card heading: </w:t>
      </w:r>
      <w:r>
        <w:rPr>
          <w:sz w:val="20"/>
        </w:rPr>
        <w:t>Hepatic safety</w:t>
      </w:r>
    </w:p>
    <w:p>
      <w:r>
        <w:rPr>
          <w:b/>
        </w:rPr>
        <w:t xml:space="preserve">Card body: </w:t>
      </w:r>
      <w:r>
        <w:t>Transient ALT &gt;3× ULN in 3.8% (vs 1.9% placebo), predominantly during dose escalation. Asymptomatic, no bilirubin elevation, resolved with continued dosing in most cases. No DILI or Hy’s Law cases. Monitor LFTs monthly for 3 months, then quarterly.³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7" name="Picture 17"/>
            <wp:cNvGraphicFramePr>
              <a:graphicFrameLocks noChangeAspect="1"/>
            </wp:cNvGraphicFramePr>
            <a:graphic>
              <a:graphicData uri="http://schemas.openxmlformats.org/drawingml/2006/picture">
                <pic:pic>
                  <pic:nvPicPr>
                    <pic:cNvPr id="0" name="card-gi-events.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Understanding MASH — diagnosis card</w:t>
      </w:r>
    </w:p>
    <w:p>
      <w:r>
        <w:rPr>
          <w:b/>
          <w:sz w:val="20"/>
        </w:rPr>
        <w:t xml:space="preserve">Card heading: </w:t>
      </w:r>
      <w:r>
        <w:rPr>
          <w:sz w:val="20"/>
        </w:rPr>
        <w:t>Thyroid and cardiac safety</w:t>
      </w:r>
    </w:p>
    <w:p>
      <w:r>
        <w:rPr>
          <w:b/>
        </w:rPr>
        <w:t xml:space="preserve">Card body: </w:t>
      </w:r>
      <w:r>
        <w:t>TSH suppression was modest (−0.8 mIU/L nadir at Week 12); &gt;94% remained within normal range. No clinical thyrotoxicosis. Mean heart rate +1.8 bpm. No arrhythmia or QTc signal. Bone density unchanged at Week 52, confirming THR-α sparing.³</w:t>
      </w:r>
    </w:p>
    <w:p>
      <w:pPr>
        <w:jc w:val="center"/>
      </w:pPr>
      <w:r>
        <w:rPr>
          <w:color w:val="CCCCCC"/>
          <w:sz w:val="16"/>
        </w:rPr>
        <w:t>────────────────────────────────────────────────────────────</w:t>
      </w:r>
    </w:p>
    <w:p>
      <w:pPr>
        <w:pStyle w:val="Heading3"/>
      </w:pPr>
      <w:r>
        <w:rPr>
          <w:color w:val="2E7D32"/>
        </w:rPr>
        <w:t>Section 4 — Monitoring schedule table | light background</w:t>
      </w:r>
    </w:p>
    <w:p>
      <w:r>
        <w:rPr>
          <w:b/>
          <w:sz w:val="20"/>
        </w:rPr>
        <w:t xml:space="preserve">Block: </w:t>
      </w:r>
      <w:r>
        <w:rPr>
          <w:sz w:val="20"/>
        </w:rPr>
        <w:t>table-data</w:t>
      </w:r>
    </w:p>
    <w:p>
      <w:r>
        <w:rPr>
          <w:b/>
        </w:rPr>
        <w:t xml:space="preserve">Section metadata: </w:t>
      </w:r>
      <w:r>
        <w:rPr>
          <w:color w:val="666666"/>
        </w:rPr>
        <w:t>Style: light</w:t>
      </w:r>
    </w:p>
    <w:p>
      <w:r>
        <w:rPr>
          <w:b/>
          <w:sz w:val="20"/>
        </w:rPr>
        <w:t xml:space="preserve">Heading: </w:t>
      </w:r>
      <w:r>
        <w:rPr>
          <w:sz w:val="20"/>
        </w:rPr>
        <w:t>Recommended monitoring schedule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830051"/>
          </w:tcPr>
          <w:p>
            <w:r/>
            <w:r>
              <w:rPr>
                <w:b/>
                <w:color w:val="FFFFFF"/>
                <w:sz w:val="18"/>
              </w:rPr>
              <w:t>Assessment</w:t>
            </w:r>
          </w:p>
        </w:tc>
        <w:tc>
          <w:tcPr>
            <w:tcW w:type="dxa" w:w="1512"/>
            <w:shd w:fill="830051"/>
          </w:tcPr>
          <w:p>
            <w:r/>
            <w:r>
              <w:rPr>
                <w:b/>
                <w:color w:val="FFFFFF"/>
                <w:sz w:val="18"/>
              </w:rPr>
              <w:t>Baseline</w:t>
            </w:r>
          </w:p>
        </w:tc>
        <w:tc>
          <w:tcPr>
            <w:tcW w:type="dxa" w:w="1512"/>
            <w:shd w:fill="830051"/>
          </w:tcPr>
          <w:p>
            <w:r/>
            <w:r>
              <w:rPr>
                <w:b/>
                <w:color w:val="FFFFFF"/>
                <w:sz w:val="18"/>
              </w:rPr>
              <w:t>Month 1</w:t>
            </w:r>
          </w:p>
        </w:tc>
        <w:tc>
          <w:tcPr>
            <w:tcW w:type="dxa" w:w="1512"/>
            <w:shd w:fill="830051"/>
          </w:tcPr>
          <w:p>
            <w:r/>
            <w:r>
              <w:rPr>
                <w:b/>
                <w:color w:val="FFFFFF"/>
                <w:sz w:val="18"/>
              </w:rPr>
              <w:t>Month 2</w:t>
            </w:r>
          </w:p>
        </w:tc>
        <w:tc>
          <w:tcPr>
            <w:tcW w:type="dxa" w:w="1512"/>
            <w:shd w:fill="830051"/>
          </w:tcPr>
          <w:p>
            <w:r/>
            <w:r>
              <w:rPr>
                <w:b/>
                <w:color w:val="FFFFFF"/>
                <w:sz w:val="18"/>
              </w:rPr>
              <w:t>Month 3</w:t>
            </w:r>
          </w:p>
        </w:tc>
        <w:tc>
          <w:tcPr>
            <w:tcW w:type="dxa" w:w="1512"/>
            <w:shd w:fill="830051"/>
          </w:tcPr>
          <w:p>
            <w:r/>
            <w:r>
              <w:rPr>
                <w:b/>
                <w:color w:val="FFFFFF"/>
                <w:sz w:val="18"/>
              </w:rPr>
              <w:t>Every 3 months</w:t>
            </w:r>
          </w:p>
        </w:tc>
      </w:tr>
      <w:tr>
        <w:tc>
          <w:tcPr>
            <w:tcW w:type="dxa" w:w="1512"/>
          </w:tcPr>
          <w:p>
            <w:r/>
            <w:r>
              <w:rPr>
                <w:color w:val="363B3B"/>
                <w:sz w:val="18"/>
              </w:rPr>
              <w:t>ALT, AST, ALP, bilirubin</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r>
      <w:tr>
        <w:tc>
          <w:tcPr>
            <w:tcW w:type="dxa" w:w="1512"/>
            <w:shd w:fill="F8F8F8"/>
          </w:tcPr>
          <w:p>
            <w:r/>
            <w:r>
              <w:rPr>
                <w:color w:val="363B3B"/>
                <w:sz w:val="18"/>
              </w:rPr>
              <w:t>TSH</w:t>
            </w:r>
          </w:p>
        </w:tc>
        <w:tc>
          <w:tcPr>
            <w:tcW w:type="dxa" w:w="1512"/>
            <w:shd w:fill="F8F8F8"/>
          </w:tcPr>
          <w:p>
            <w:r/>
            <w:r>
              <w:rPr>
                <w:color w:val="363B3B"/>
                <w:sz w:val="18"/>
              </w:rPr>
              <w:t>✓</w:t>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t>✓*</w:t>
            </w:r>
          </w:p>
        </w:tc>
        <w:tc>
          <w:tcPr>
            <w:tcW w:type="dxa" w:w="1512"/>
            <w:shd w:fill="F8F8F8"/>
          </w:tcPr>
          <w:p>
            <w:r/>
            <w:r>
              <w:rPr>
                <w:color w:val="363B3B"/>
                <w:sz w:val="18"/>
              </w:rPr>
              <w:t>As indicated</w:t>
            </w:r>
          </w:p>
        </w:tc>
      </w:tr>
      <w:tr>
        <w:tc>
          <w:tcPr>
            <w:tcW w:type="dxa" w:w="1512"/>
          </w:tcPr>
          <w:p>
            <w:r/>
            <w:r>
              <w:rPr>
                <w:color w:val="363B3B"/>
                <w:sz w:val="18"/>
              </w:rPr>
              <w:t>Lipid panel (LDL-C, TG)</w:t>
            </w:r>
          </w:p>
        </w:tc>
        <w:tc>
          <w:tcPr>
            <w:tcW w:type="dxa" w:w="1512"/>
          </w:tcPr>
          <w:p>
            <w:r/>
            <w:r>
              <w:rPr>
                <w:color w:val="363B3B"/>
                <w:sz w:val="18"/>
              </w:rPr>
              <w:t>✓</w:t>
            </w:r>
          </w:p>
        </w:tc>
        <w:tc>
          <w:tcPr>
            <w:tcW w:type="dxa" w:w="1512"/>
          </w:tcPr>
          <w:p>
            <w:r/>
            <w:r>
              <w:rPr>
                <w:color w:val="363B3B"/>
                <w:sz w:val="18"/>
              </w:rPr>
            </w:r>
          </w:p>
        </w:tc>
        <w:tc>
          <w:tcPr>
            <w:tcW w:type="dxa" w:w="1512"/>
          </w:tcPr>
          <w:p>
            <w:r/>
            <w:r>
              <w:rPr>
                <w:color w:val="363B3B"/>
                <w:sz w:val="18"/>
              </w:rPr>
            </w:r>
          </w:p>
        </w:tc>
        <w:tc>
          <w:tcPr>
            <w:tcW w:type="dxa" w:w="1512"/>
          </w:tcPr>
          <w:p>
            <w:r/>
            <w:r>
              <w:rPr>
                <w:color w:val="363B3B"/>
                <w:sz w:val="18"/>
              </w:rPr>
              <w:t>✓</w:t>
            </w:r>
          </w:p>
        </w:tc>
        <w:tc>
          <w:tcPr>
            <w:tcW w:type="dxa" w:w="1512"/>
          </w:tcPr>
          <w:p>
            <w:r/>
            <w:r>
              <w:rPr>
                <w:color w:val="363B3B"/>
                <w:sz w:val="18"/>
              </w:rPr>
              <w:t>✓</w:t>
            </w:r>
          </w:p>
        </w:tc>
      </w:tr>
      <w:tr>
        <w:tc>
          <w:tcPr>
            <w:tcW w:type="dxa" w:w="1512"/>
            <w:shd w:fill="F8F8F8"/>
          </w:tcPr>
          <w:p>
            <w:r/>
            <w:r>
              <w:rPr>
                <w:color w:val="363B3B"/>
                <w:sz w:val="18"/>
              </w:rPr>
              <w:t>HbA1c (if T2D)</w:t>
            </w:r>
          </w:p>
        </w:tc>
        <w:tc>
          <w:tcPr>
            <w:tcW w:type="dxa" w:w="1512"/>
            <w:shd w:fill="F8F8F8"/>
          </w:tcPr>
          <w:p>
            <w:r/>
            <w:r>
              <w:rPr>
                <w:color w:val="363B3B"/>
                <w:sz w:val="18"/>
              </w:rPr>
              <w:t>✓</w:t>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t>✓</w:t>
            </w:r>
          </w:p>
        </w:tc>
        <w:tc>
          <w:tcPr>
            <w:tcW w:type="dxa" w:w="1512"/>
            <w:shd w:fill="F8F8F8"/>
          </w:tcPr>
          <w:p>
            <w:r/>
            <w:r>
              <w:rPr>
                <w:color w:val="363B3B"/>
                <w:sz w:val="18"/>
              </w:rPr>
              <w:t>✓</w:t>
            </w:r>
          </w:p>
        </w:tc>
      </w:tr>
      <w:tr>
        <w:tc>
          <w:tcPr>
            <w:tcW w:type="dxa" w:w="1512"/>
          </w:tcPr>
          <w:p>
            <w:r/>
            <w:r>
              <w:rPr>
                <w:color w:val="363B3B"/>
                <w:sz w:val="18"/>
              </w:rPr>
              <w:t>eGFR</w:t>
            </w:r>
          </w:p>
        </w:tc>
        <w:tc>
          <w:tcPr>
            <w:tcW w:type="dxa" w:w="1512"/>
          </w:tcPr>
          <w:p>
            <w:r/>
            <w:r>
              <w:rPr>
                <w:color w:val="363B3B"/>
                <w:sz w:val="18"/>
              </w:rPr>
              <w:t>✓</w:t>
            </w:r>
          </w:p>
        </w:tc>
        <w:tc>
          <w:tcPr>
            <w:tcW w:type="dxa" w:w="1512"/>
          </w:tcPr>
          <w:p>
            <w:r/>
            <w:r>
              <w:rPr>
                <w:color w:val="363B3B"/>
                <w:sz w:val="18"/>
              </w:rPr>
            </w:r>
          </w:p>
        </w:tc>
        <w:tc>
          <w:tcPr>
            <w:tcW w:type="dxa" w:w="1512"/>
          </w:tcPr>
          <w:p>
            <w:r/>
            <w:r>
              <w:rPr>
                <w:color w:val="363B3B"/>
                <w:sz w:val="18"/>
              </w:rPr>
            </w:r>
          </w:p>
        </w:tc>
        <w:tc>
          <w:tcPr>
            <w:tcW w:type="dxa" w:w="1512"/>
          </w:tcPr>
          <w:p>
            <w:r/>
            <w:r>
              <w:rPr>
                <w:color w:val="363B3B"/>
                <w:sz w:val="18"/>
              </w:rPr>
            </w:r>
          </w:p>
        </w:tc>
        <w:tc>
          <w:tcPr>
            <w:tcW w:type="dxa" w:w="1512"/>
          </w:tcPr>
          <w:p>
            <w:r/>
            <w:r>
              <w:rPr>
                <w:color w:val="363B3B"/>
                <w:sz w:val="18"/>
              </w:rPr>
              <w:t>✓</w:t>
            </w:r>
          </w:p>
        </w:tc>
      </w:tr>
      <w:tr>
        <w:tc>
          <w:tcPr>
            <w:tcW w:type="dxa" w:w="1512"/>
            <w:shd w:fill="F8F8F8"/>
          </w:tcPr>
          <w:p>
            <w:r/>
            <w:r>
              <w:rPr>
                <w:color w:val="363B3B"/>
                <w:sz w:val="18"/>
              </w:rPr>
              <w:t>Weight</w:t>
            </w:r>
          </w:p>
        </w:tc>
        <w:tc>
          <w:tcPr>
            <w:tcW w:type="dxa" w:w="1512"/>
            <w:shd w:fill="F8F8F8"/>
          </w:tcPr>
          <w:p>
            <w:r/>
            <w:r>
              <w:rPr>
                <w:color w:val="363B3B"/>
                <w:sz w:val="18"/>
              </w:rPr>
              <w:t>✓</w:t>
            </w:r>
          </w:p>
        </w:tc>
        <w:tc>
          <w:tcPr>
            <w:tcW w:type="dxa" w:w="1512"/>
            <w:shd w:fill="F8F8F8"/>
          </w:tcPr>
          <w:p>
            <w:r/>
            <w:r>
              <w:rPr>
                <w:color w:val="363B3B"/>
                <w:sz w:val="18"/>
              </w:rPr>
              <w:t>✓</w:t>
            </w:r>
          </w:p>
        </w:tc>
        <w:tc>
          <w:tcPr>
            <w:tcW w:type="dxa" w:w="1512"/>
            <w:shd w:fill="F8F8F8"/>
          </w:tcPr>
          <w:p>
            <w:r/>
            <w:r>
              <w:rPr>
                <w:color w:val="363B3B"/>
                <w:sz w:val="18"/>
              </w:rPr>
              <w:t>✓</w:t>
            </w:r>
          </w:p>
        </w:tc>
        <w:tc>
          <w:tcPr>
            <w:tcW w:type="dxa" w:w="1512"/>
            <w:shd w:fill="F8F8F8"/>
          </w:tcPr>
          <w:p>
            <w:r/>
            <w:r>
              <w:rPr>
                <w:color w:val="363B3B"/>
                <w:sz w:val="18"/>
              </w:rPr>
              <w:t>✓</w:t>
            </w:r>
          </w:p>
        </w:tc>
        <w:tc>
          <w:tcPr>
            <w:tcW w:type="dxa" w:w="1512"/>
            <w:shd w:fill="F8F8F8"/>
          </w:tcPr>
          <w:p>
            <w:r/>
            <w:r>
              <w:rPr>
                <w:color w:val="363B3B"/>
                <w:sz w:val="18"/>
              </w:rPr>
              <w:t>✓</w:t>
            </w:r>
          </w:p>
        </w:tc>
      </w:tr>
      <w:tr>
        <w:tc>
          <w:tcPr>
            <w:tcW w:type="dxa" w:w="1512"/>
          </w:tcPr>
          <w:p>
            <w:r/>
            <w:r>
              <w:rPr>
                <w:color w:val="363B3B"/>
                <w:sz w:val="18"/>
              </w:rPr>
              <w:t>Pregnancy test (if applicable)</w:t>
            </w:r>
          </w:p>
        </w:tc>
        <w:tc>
          <w:tcPr>
            <w:tcW w:type="dxa" w:w="1512"/>
          </w:tcPr>
          <w:p>
            <w:r/>
            <w:r>
              <w:rPr>
                <w:color w:val="363B3B"/>
                <w:sz w:val="18"/>
              </w:rPr>
              <w:t>✓</w:t>
            </w:r>
          </w:p>
        </w:tc>
        <w:tc>
          <w:tcPr>
            <w:tcW w:type="dxa" w:w="1512"/>
          </w:tcPr>
          <w:p>
            <w:r/>
            <w:r>
              <w:rPr>
                <w:color w:val="363B3B"/>
                <w:sz w:val="18"/>
              </w:rPr>
            </w:r>
          </w:p>
        </w:tc>
        <w:tc>
          <w:tcPr>
            <w:tcW w:type="dxa" w:w="1512"/>
          </w:tcPr>
          <w:p>
            <w:r/>
            <w:r>
              <w:rPr>
                <w:color w:val="363B3B"/>
                <w:sz w:val="18"/>
              </w:rPr>
            </w:r>
          </w:p>
        </w:tc>
        <w:tc>
          <w:tcPr>
            <w:tcW w:type="dxa" w:w="1512"/>
          </w:tcPr>
          <w:p>
            <w:r/>
            <w:r>
              <w:rPr>
                <w:color w:val="363B3B"/>
                <w:sz w:val="18"/>
              </w:rPr>
            </w:r>
          </w:p>
        </w:tc>
        <w:tc>
          <w:tcPr>
            <w:tcW w:type="dxa" w:w="1512"/>
          </w:tcPr>
          <w:p>
            <w:r/>
            <w:r>
              <w:rPr>
                <w:color w:val="363B3B"/>
                <w:sz w:val="18"/>
              </w:rPr>
            </w:r>
          </w:p>
        </w:tc>
      </w:tr>
      <w:tr>
        <w:tc>
          <w:tcPr>
            <w:tcW w:type="dxa" w:w="1512"/>
            <w:shd w:fill="F8F8F8"/>
          </w:tcPr>
          <w:p>
            <w:r/>
            <w:r>
              <w:rPr>
                <w:color w:val="363B3B"/>
                <w:sz w:val="18"/>
              </w:rPr>
              <w:t>FibroScan / ELF (optional)</w:t>
            </w:r>
          </w:p>
        </w:tc>
        <w:tc>
          <w:tcPr>
            <w:tcW w:type="dxa" w:w="1512"/>
            <w:shd w:fill="F8F8F8"/>
          </w:tcPr>
          <w:p>
            <w:r/>
            <w:r>
              <w:rPr>
                <w:color w:val="363B3B"/>
                <w:sz w:val="18"/>
              </w:rPr>
              <w:t>✓</w:t>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t>Every 12 months</w:t>
            </w:r>
          </w:p>
        </w:tc>
      </w:tr>
    </w:tbl>
    <w:p>
      <w:r>
        <w:rPr>
          <w:i/>
          <w:color w:val="666666"/>
          <w:sz w:val="16"/>
        </w:rPr>
        <w:t>*Reassess TSH at Month 3 (end of 80 mg dose phase). Monitor further only if clinically indicated.</w:t>
      </w:r>
    </w:p>
    <w:p>
      <w:pPr>
        <w:jc w:val="center"/>
      </w:pPr>
      <w:r>
        <w:rPr>
          <w:color w:val="CCCCCC"/>
          <w:sz w:val="16"/>
        </w:rPr>
        <w:t>────────────────────────────────────────────────────────────</w:t>
      </w:r>
    </w:p>
    <w:p>
      <w:pPr>
        <w:pStyle w:val="Heading3"/>
      </w:pPr>
      <w:r>
        <w:rPr>
          <w:color w:val="2E7D32"/>
        </w:rPr>
        <w:t>Section 5 — Practical guidance (two-column: image left, text right)</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8" name="Picture 18"/>
            <wp:cNvGraphicFramePr>
              <a:graphicFrameLocks noChangeAspect="1"/>
            </wp:cNvGraphicFramePr>
            <a:graphic>
              <a:graphicData uri="http://schemas.openxmlformats.org/drawingml/2006/picture">
                <pic:pic>
                  <pic:nvPicPr>
                    <pic:cNvPr id="0" name="columns-monitoring.jpeg"/>
                    <pic:cNvPicPr/>
                  </pic:nvPicPr>
                  <pic:blipFill>
                    <a:blip r:embed="rId22"/>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Safety, Dosing &amp; Monitoring — hepatic monitoring</w:t>
      </w:r>
    </w:p>
    <w:p>
      <w:r>
        <w:rPr>
          <w:b/>
          <w:sz w:val="20"/>
        </w:rPr>
        <w:t xml:space="preserve">Heading: </w:t>
      </w:r>
      <w:r>
        <w:rPr>
          <w:sz w:val="20"/>
        </w:rPr>
        <w:t>Drug interactions and co-prescribing considerations</w:t>
      </w:r>
    </w:p>
    <w:p>
      <w:r>
        <w:rPr>
          <w:b/>
        </w:rPr>
        <w:t xml:space="preserve">Body text: </w:t>
      </w:r>
      <w:r>
        <w:t>No clinically significant CYP-mediated drug interactions have been identified. Bile acid sequestrants (cholestyramine, colesevelam) may reduce klerafistat absorption: administer KLERA ≥4 hours before or after bile acid sequestrants. Statins: additive LDL-lowering; monitor for myopathy symptoms at initiation. KLERA may be used alongside metformin, SGLT2 inhibitors, GLP-1 receptor agonists, and insulin without dose adjustment. Monitor for hypoglycaemia if HbA1c improvement leads to relative over-treatment of diabetes.³</w:t>
      </w:r>
    </w:p>
    <w:p>
      <w:pPr>
        <w:jc w:val="center"/>
      </w:pPr>
      <w:r>
        <w:rPr>
          <w:color w:val="CCCCCC"/>
          <w:sz w:val="16"/>
        </w:rPr>
        <w:t>────────────────────────────────────────────────────────────</w:t>
      </w:r>
    </w:p>
    <w:p>
      <w:pPr>
        <w:pStyle w:val="Heading3"/>
      </w:pPr>
      <w:r>
        <w:rPr>
          <w:color w:val="2E7D32"/>
        </w:rPr>
        <w:t>Section 6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Safety, Dosing &amp; Monitoring | KLERA (klerafistat) | MASH Treatment | AstraZeneca UK</w:t>
      </w:r>
    </w:p>
    <w:p>
      <w:r>
        <w:rPr>
          <w:b w:val="0"/>
          <w:i w:val="0"/>
          <w:color w:val="363B3B"/>
          <w:sz w:val="20"/>
        </w:rPr>
        <w:t>Description: KLERA (klerafistat) safety, dosing regimen with dose escalation, monitoring schedule, and drug interaction guidance for UK healthcare professionals managing MASH with liver fibrosis.</w:t>
      </w:r>
    </w:p>
    <w:p>
      <w:r>
        <w:br w:type="page"/>
      </w:r>
    </w:p>
    <w:p>
      <w:pPr>
        <w:pStyle w:val="Heading2"/>
      </w:pPr>
      <w:r>
        <w:rPr>
          <w:color w:val="830051"/>
        </w:rPr>
        <w:t>PAGE 6: HCP Resources &amp; Support</w:t>
      </w:r>
    </w:p>
    <w:p>
      <w:r>
        <w:rPr>
          <w:b/>
          <w:sz w:val="20"/>
        </w:rPr>
        <w:t xml:space="preserve">URL path: </w:t>
      </w:r>
      <w:r>
        <w:rPr>
          <w:sz w:val="20"/>
        </w:rPr>
        <w:t>/klera/resources</w:t>
      </w:r>
    </w:p>
    <w:p>
      <w:pPr>
        <w:jc w:val="center"/>
      </w:pPr>
      <w:r>
        <w:rPr>
          <w:color w:val="CCCCCC"/>
          <w:sz w:val="16"/>
        </w:rPr>
        <w:t>────────────────────────────────────────────────────────────</w:t>
      </w:r>
    </w:p>
    <w:p>
      <w:pPr>
        <w:pStyle w:val="Heading3"/>
      </w:pPr>
      <w:r>
        <w:rPr>
          <w:color w:val="2E7D32"/>
        </w:rPr>
        <w:t>Section 1 — Page header (text only, no image)</w:t>
      </w:r>
    </w:p>
    <w:p>
      <w:r>
        <w:rPr>
          <w:b/>
          <w:sz w:val="20"/>
        </w:rPr>
        <w:t xml:space="preserve">Block: </w:t>
      </w:r>
      <w:r>
        <w:rPr>
          <w:sz w:val="20"/>
        </w:rPr>
        <w:t>title</w:t>
      </w:r>
    </w:p>
    <w:p>
      <w:r>
        <w:rPr>
          <w:b/>
          <w:sz w:val="20"/>
        </w:rPr>
        <w:t xml:space="preserve">Heading: </w:t>
      </w:r>
      <w:r>
        <w:rPr>
          <w:sz w:val="20"/>
        </w:rPr>
        <w:t>Resources and support for healthcare professionals</w:t>
      </w:r>
    </w:p>
    <w:p>
      <w:r>
        <w:rPr>
          <w:b/>
        </w:rPr>
        <w:t xml:space="preserve">Body text: </w:t>
      </w:r>
      <w:r>
        <w:t>Access prescribing guides, MASH patient identification tools, CLARITY data summaries, and monitoring resources for KLERA® (klerafistat). All materials are provided for UK healthcare professionals only.³</w:t>
      </w:r>
    </w:p>
    <w:p>
      <w:pPr>
        <w:jc w:val="center"/>
      </w:pPr>
      <w:r>
        <w:rPr>
          <w:color w:val="CCCCCC"/>
          <w:sz w:val="16"/>
        </w:rPr>
        <w:t>────────────────────────────────────────────────────────────</w:t>
      </w:r>
    </w:p>
    <w:p>
      <w:pPr>
        <w:pStyle w:val="Heading3"/>
      </w:pPr>
      <w:r>
        <w:rPr>
          <w:color w:val="2E7D32"/>
        </w:rPr>
        <w:t>Section 2 — Resource cards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19" name="Picture 19"/>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HCP Resources — prescribing guide card</w:t>
      </w:r>
    </w:p>
    <w:p>
      <w:r>
        <w:rPr>
          <w:b/>
          <w:sz w:val="20"/>
        </w:rPr>
        <w:t xml:space="preserve">Card heading: </w:t>
      </w:r>
      <w:r>
        <w:rPr>
          <w:sz w:val="20"/>
        </w:rPr>
        <w:t>Prescribing and monitoring guide</w:t>
      </w:r>
    </w:p>
    <w:p>
      <w:r>
        <w:rPr>
          <w:b/>
        </w:rPr>
        <w:t xml:space="preserve">Card body: </w:t>
      </w:r>
      <w:r>
        <w:t>Comprehensive guide covering indication, dose escalation, LFT monitoring schedule, drug interactions, and special populations. Includes a detachable monitoring tracker for patient records.³</w:t>
      </w:r>
    </w:p>
    <w:p>
      <w:r>
        <w:rPr>
          <w:b/>
          <w:sz w:val="20"/>
        </w:rPr>
        <w:t xml:space="preserve">Card link: </w:t>
      </w:r>
      <w:r>
        <w:rPr>
          <w:sz w:val="20"/>
        </w:rPr>
        <w:t>Download prescribing guide → [PDF link]</w:t>
      </w:r>
    </w:p>
    <w:p>
      <w:pPr>
        <w:jc w:val="center"/>
      </w:pPr>
      <w:r>
        <w:rPr>
          <w:color w:val="CCCCCC"/>
          <w:sz w:val="16"/>
        </w:rPr>
        <w:t>────────────────────────────────────────────────────────────</w:t>
      </w:r>
    </w:p>
    <w:p>
      <w:r>
        <w:rPr>
          <w:b/>
          <w:sz w:val="20"/>
        </w:rPr>
        <w:t xml:space="preserve">Card heading: </w:t>
      </w:r>
      <w:r>
        <w:rPr>
          <w:sz w:val="20"/>
        </w:rPr>
        <w:t>MASH patient identification pathway</w:t>
      </w:r>
    </w:p>
    <w:p>
      <w:r>
        <w:rPr>
          <w:b/>
        </w:rPr>
        <w:t xml:space="preserve">Card body: </w:t>
      </w:r>
      <w:r>
        <w:t>Non-invasive assessment algorithm for identifying patients with MASH and significant fibrosis (F2–F3) using FIB-4, ELF, and FibroScan. Designed for use in primary care, diabetology, and hepatology clinics to streamline referral and treatment initiation.⁴</w:t>
      </w:r>
    </w:p>
    <w:p>
      <w:r>
        <w:rPr>
          <w:b/>
          <w:sz w:val="20"/>
        </w:rPr>
        <w:t xml:space="preserve">Card link: </w:t>
      </w:r>
      <w:r>
        <w:rPr>
          <w:sz w:val="20"/>
        </w:rPr>
        <w:t>Download pathway tool → [PDF link]</w:t>
      </w:r>
    </w:p>
    <w:p>
      <w:pPr>
        <w:jc w:val="center"/>
      </w:pPr>
      <w:r>
        <w:rPr>
          <w:color w:val="CCCCCC"/>
          <w:sz w:val="16"/>
        </w:rPr>
        <w:t>────────────────────────────────────────────────────────────</w:t>
      </w:r>
    </w:p>
    <w:p>
      <w:r>
        <w:rPr>
          <w:b/>
          <w:sz w:val="20"/>
        </w:rPr>
        <w:t xml:space="preserve">Card heading: </w:t>
      </w:r>
      <w:r>
        <w:rPr>
          <w:sz w:val="20"/>
        </w:rPr>
        <w:t>CLARITY clinical data summary</w:t>
      </w:r>
    </w:p>
    <w:p>
      <w:r>
        <w:rPr>
          <w:b/>
        </w:rPr>
        <w:t xml:space="preserve">Card body: </w:t>
      </w:r>
      <w:r>
        <w:t>Summary of key histological, metabolic, and safety results from CLARITY-FIBROSIS and CLARITY-RESOLVE, including data tables, response curves, and subgroup analyses by fibrosis stage and T2D status.¹ ²</w:t>
      </w:r>
    </w:p>
    <w:p>
      <w:r>
        <w:rPr>
          <w:b/>
          <w:sz w:val="20"/>
        </w:rPr>
        <w:t xml:space="preserve">Card link: </w:t>
      </w:r>
      <w:r>
        <w:rPr>
          <w:sz w:val="20"/>
        </w:rPr>
        <w:t>Download data summary → [PDF link]</w:t>
      </w:r>
    </w:p>
    <w:p>
      <w:pPr>
        <w:jc w:val="center"/>
      </w:pPr>
      <w:r>
        <w:rPr>
          <w:color w:val="CCCCCC"/>
          <w:sz w:val="16"/>
        </w:rPr>
        <w:t>────────────────────────────────────────────────────────────</w:t>
      </w:r>
    </w:p>
    <w:p>
      <w:pPr>
        <w:pStyle w:val="Heading3"/>
      </w:pPr>
      <w:r>
        <w:rPr>
          <w:color w:val="2E7D32"/>
        </w:rPr>
        <w:t>Section 3 — Contact and medical information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Medical information and support</w:t>
      </w:r>
    </w:p>
    <w:p>
      <w:r>
        <w:rPr>
          <w:b/>
        </w:rPr>
        <w:t xml:space="preserve">Body text: </w:t>
      </w:r>
      <w:r>
        <w:t>For medical information enquiries about KLERA, please contact AstraZeneca Medical Information: Telephone: 0800 783 0033 | Email: medicalinformationuk@astrazeneca.com | Online: contactazmedical.astrazeneca.com</w:t>
      </w:r>
    </w:p>
    <w:p>
      <w:pPr>
        <w:jc w:val="center"/>
      </w:pPr>
      <w:r>
        <w:rPr>
          <w:color w:val="CCCCCC"/>
          <w:sz w:val="16"/>
        </w:rPr>
        <w:t>────────────────────────────────────────────────────────────</w:t>
      </w:r>
    </w:p>
    <w:p>
      <w:pPr>
        <w:pStyle w:val="Heading3"/>
      </w:pPr>
      <w:r>
        <w:rPr>
          <w:color w:val="2E7D32"/>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HCP Resources | KLERA (klerafistat) | MASH Guides &amp; Clinical Data | AstraZeneca UK</w:t>
      </w:r>
    </w:p>
    <w:p>
      <w:r>
        <w:rPr>
          <w:b w:val="0"/>
          <w:i w:val="0"/>
          <w:color w:val="363B3B"/>
          <w:sz w:val="20"/>
        </w:rPr>
        <w:t>Description: Access prescribing guides, MASH patient identification pathways, CLARITY clinical data summaries, and monitoring tools for KLERA (klerafistat). For UK healthcare professionals only.</w:t>
      </w:r>
    </w:p>
    <w:p>
      <w:r>
        <w:br w:type="page"/>
      </w:r>
    </w:p>
    <w:p>
      <w:pPr>
        <w:pStyle w:val="Heading1"/>
      </w:pPr>
      <w:r>
        <w:rPr>
          <w:color w:val="830051"/>
        </w:rPr>
        <w:t>10. Footer Content</w:t>
      </w:r>
    </w:p>
    <w:p>
      <w:r>
        <w:rPr>
          <w:b/>
          <w:i w:val="0"/>
          <w:color w:val="363B3B"/>
          <w:sz w:val="20"/>
        </w:rPr>
        <w:t>The footer must appear on every page and contain the following elements:</w:t>
      </w:r>
    </w:p>
    <w:p>
      <w:r>
        <w:rPr>
          <w:b/>
          <w:sz w:val="20"/>
        </w:rPr>
        <w:t xml:space="preserve">Logo: </w:t>
      </w:r>
      <w:r>
        <w:rPr>
          <w:sz w:val="20"/>
        </w:rPr>
        <w:t>AstraZeneca logo (linked to /klera/)</w:t>
      </w:r>
    </w:p>
    <w:p>
      <w:r>
        <w:rPr>
          <w:b/>
          <w:sz w:val="20"/>
        </w:rPr>
        <w:t xml:space="preserve">Approval code: </w:t>
      </w:r>
      <w:r>
        <w:rPr>
          <w:sz w:val="20"/>
        </w:rPr>
        <w:t>GB-13402 | DOP: March 2026</w:t>
      </w:r>
    </w:p>
    <w:p>
      <w:r>
        <w:rPr>
          <w:b/>
          <w:sz w:val="20"/>
        </w:rPr>
        <w:t xml:space="preserve">Copyright: </w:t>
      </w:r>
      <w:r>
        <w:rPr>
          <w:sz w:val="20"/>
        </w:rPr>
        <w:t>© 2026 AstraZeneca. All rights reserved. KLERA is a registered trademark of the AstraZeneca group of companies.</w:t>
      </w:r>
    </w:p>
    <w:p>
      <w:r>
        <w:rPr>
          <w:b/>
          <w:sz w:val="20"/>
        </w:rPr>
        <w:t xml:space="preserve">Page links: </w:t>
      </w:r>
      <w:r>
        <w:rPr>
          <w:sz w:val="20"/>
        </w:rPr>
        <w:t>Understanding MASH | CLARITY Data | How KLERA Works | Safety, Dosing &amp; Monitoring | HCP Resources &amp; Support</w:t>
      </w:r>
    </w:p>
    <w:p>
      <w:r>
        <w:rPr>
          <w:b/>
          <w:sz w:val="20"/>
        </w:rPr>
        <w:t xml:space="preserve">Regulatory links: </w:t>
      </w:r>
      <w:r>
        <w:rPr>
          <w:sz w:val="20"/>
        </w:rPr>
        <w:t>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r>
        <w:rPr>
          <w:b/>
          <w:sz w:val="20"/>
        </w:rPr>
        <w:t xml:space="preserve">Date of preparation: </w:t>
      </w:r>
      <w:r>
        <w:rPr>
          <w:sz w:val="20"/>
        </w:rPr>
        <w:t>Date of Preparation: March 2026</w:t>
      </w:r>
    </w:p>
    <w:p>
      <w:pPr>
        <w:jc w:val="center"/>
      </w:pPr>
      <w:r>
        <w:rPr>
          <w:color w:val="CCCCCC"/>
          <w:sz w:val="16"/>
        </w:rPr>
        <w:t>────────────────────────────────────────────────────────────</w:t>
      </w:r>
    </w:p>
    <w:p>
      <w:pPr>
        <w:pStyle w:val="Heading1"/>
      </w:pPr>
      <w:r>
        <w:rPr>
          <w:color w:val="830051"/>
        </w:rPr>
        <w:t>11. Image Assets</w:t>
      </w:r>
    </w:p>
    <w:p>
      <w:r>
        <w:rPr>
          <w:b w:val="0"/>
          <w:i w:val="0"/>
          <w:color w:val="363B3B"/>
          <w:sz w:val="20"/>
        </w:rPr>
        <w:t>All images sourced from shared CDN: https://velox-images.pages.dev/</w:t>
      </w:r>
    </w:p>
    <w:p>
      <w:r>
        <w:rPr>
          <w:b w:val="0"/>
          <w:i/>
          <w:color w:val="363B3B"/>
          <w:sz w:val="20"/>
        </w:rPr>
        <w:t>Note: KLERA reuses images originally generated for the VELOX website. The abstract and lifestyle imagery translates well to the hepatology/metabolic context.</w:t>
      </w:r>
    </w:p>
    <w:p/>
    <w:p>
      <w:r>
        <w:rPr>
          <w:b/>
          <w:i w:val="0"/>
          <w:color w:val="363B3B"/>
          <w:sz w:val="20"/>
        </w:rPr>
        <w:t>Complete image manifest:</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Filename</w:t>
            </w:r>
          </w:p>
        </w:tc>
        <w:tc>
          <w:tcPr>
            <w:tcW w:type="dxa" w:w="3024"/>
            <w:shd w:fill="830051"/>
          </w:tcPr>
          <w:p>
            <w:r/>
            <w:r>
              <w:rPr>
                <w:b/>
                <w:color w:val="FFFFFF"/>
                <w:sz w:val="18"/>
              </w:rPr>
              <w:t>Usage</w:t>
            </w:r>
          </w:p>
        </w:tc>
        <w:tc>
          <w:tcPr>
            <w:tcW w:type="dxa" w:w="3024"/>
            <w:shd w:fill="830051"/>
          </w:tcPr>
          <w:p>
            <w:r/>
            <w:r>
              <w:rPr>
                <w:b/>
                <w:color w:val="FFFFFF"/>
                <w:sz w:val="18"/>
              </w:rPr>
              <w:t>CDN URL</w:t>
            </w:r>
          </w:p>
        </w:tc>
      </w:tr>
      <w:tr>
        <w:tc>
          <w:tcPr>
            <w:tcW w:type="dxa" w:w="3024"/>
          </w:tcPr>
          <w:p>
            <w:r/>
            <w:r>
              <w:rPr>
                <w:color w:val="363B3B"/>
                <w:sz w:val="18"/>
              </w:rPr>
              <w:t>hero-home.jpeg</w:t>
            </w:r>
          </w:p>
        </w:tc>
        <w:tc>
          <w:tcPr>
            <w:tcW w:type="dxa" w:w="3024"/>
          </w:tcPr>
          <w:p>
            <w:r/>
            <w:r>
              <w:rPr>
                <w:color w:val="363B3B"/>
                <w:sz w:val="18"/>
              </w:rPr>
              <w:t>Home — hero</w:t>
            </w:r>
          </w:p>
        </w:tc>
        <w:tc>
          <w:tcPr>
            <w:tcW w:type="dxa" w:w="3024"/>
          </w:tcPr>
          <w:p>
            <w:r/>
            <w:r>
              <w:rPr>
                <w:color w:val="363B3B"/>
                <w:sz w:val="18"/>
              </w:rPr>
              <w:t>https://velox-images.pages.dev/hero-home.jpeg</w:t>
            </w:r>
          </w:p>
        </w:tc>
      </w:tr>
      <w:tr>
        <w:tc>
          <w:tcPr>
            <w:tcW w:type="dxa" w:w="3024"/>
            <w:shd w:fill="F8F8F8"/>
          </w:tcPr>
          <w:p>
            <w:r/>
            <w:r>
              <w:rPr>
                <w:color w:val="363B3B"/>
                <w:sz w:val="18"/>
              </w:rPr>
              <w:t>hero-efficacy.jpeg</w:t>
            </w:r>
          </w:p>
        </w:tc>
        <w:tc>
          <w:tcPr>
            <w:tcW w:type="dxa" w:w="3024"/>
            <w:shd w:fill="F8F8F8"/>
          </w:tcPr>
          <w:p>
            <w:r/>
            <w:r>
              <w:rPr>
                <w:color w:val="363B3B"/>
                <w:sz w:val="18"/>
              </w:rPr>
              <w:t>Understanding MASH — hero</w:t>
            </w:r>
          </w:p>
        </w:tc>
        <w:tc>
          <w:tcPr>
            <w:tcW w:type="dxa" w:w="3024"/>
            <w:shd w:fill="F8F8F8"/>
          </w:tcPr>
          <w:p>
            <w:r/>
            <w:r>
              <w:rPr>
                <w:color w:val="363B3B"/>
                <w:sz w:val="18"/>
              </w:rPr>
              <w:t>https://velox-images.pages.dev/hero-efficacy.jpeg</w:t>
            </w:r>
          </w:p>
        </w:tc>
      </w:tr>
      <w:tr>
        <w:tc>
          <w:tcPr>
            <w:tcW w:type="dxa" w:w="3024"/>
          </w:tcPr>
          <w:p>
            <w:r/>
            <w:r>
              <w:rPr>
                <w:color w:val="363B3B"/>
                <w:sz w:val="18"/>
              </w:rPr>
              <w:t>hero-moa.jpeg</w:t>
            </w:r>
          </w:p>
        </w:tc>
        <w:tc>
          <w:tcPr>
            <w:tcW w:type="dxa" w:w="3024"/>
          </w:tcPr>
          <w:p>
            <w:r/>
            <w:r>
              <w:rPr>
                <w:color w:val="363B3B"/>
                <w:sz w:val="18"/>
              </w:rPr>
              <w:t>How KLERA Works — hero</w:t>
            </w:r>
          </w:p>
        </w:tc>
        <w:tc>
          <w:tcPr>
            <w:tcW w:type="dxa" w:w="3024"/>
          </w:tcPr>
          <w:p>
            <w:r/>
            <w:r>
              <w:rPr>
                <w:color w:val="363B3B"/>
                <w:sz w:val="18"/>
              </w:rPr>
              <w:t>https://velox-images.pages.dev/hero-moa.jpeg</w:t>
            </w:r>
          </w:p>
        </w:tc>
      </w:tr>
      <w:tr>
        <w:tc>
          <w:tcPr>
            <w:tcW w:type="dxa" w:w="3024"/>
            <w:shd w:fill="F8F8F8"/>
          </w:tcPr>
          <w:p>
            <w:r/>
            <w:r>
              <w:rPr>
                <w:color w:val="363B3B"/>
                <w:sz w:val="18"/>
              </w:rPr>
              <w:t>card-stroke.jpeg</w:t>
            </w:r>
          </w:p>
        </w:tc>
        <w:tc>
          <w:tcPr>
            <w:tcW w:type="dxa" w:w="3024"/>
            <w:shd w:fill="F8F8F8"/>
          </w:tcPr>
          <w:p>
            <w:r/>
            <w:r>
              <w:rPr>
                <w:color w:val="363B3B"/>
                <w:sz w:val="18"/>
              </w:rPr>
              <w:t>Home — fibrosis improvement card</w:t>
            </w:r>
          </w:p>
        </w:tc>
        <w:tc>
          <w:tcPr>
            <w:tcW w:type="dxa" w:w="3024"/>
            <w:shd w:fill="F8F8F8"/>
          </w:tcPr>
          <w:p>
            <w:r/>
            <w:r>
              <w:rPr>
                <w:color w:val="363B3B"/>
                <w:sz w:val="18"/>
              </w:rPr>
              <w:t>https://velox-images.pages.dev/card-stroke.jpeg</w:t>
            </w:r>
          </w:p>
        </w:tc>
      </w:tr>
      <w:tr>
        <w:tc>
          <w:tcPr>
            <w:tcW w:type="dxa" w:w="3024"/>
          </w:tcPr>
          <w:p>
            <w:r/>
            <w:r>
              <w:rPr>
                <w:color w:val="363B3B"/>
                <w:sz w:val="18"/>
              </w:rPr>
              <w:t>card-bleeding.jpeg</w:t>
            </w:r>
          </w:p>
        </w:tc>
        <w:tc>
          <w:tcPr>
            <w:tcW w:type="dxa" w:w="3024"/>
          </w:tcPr>
          <w:p>
            <w:r/>
            <w:r>
              <w:rPr>
                <w:color w:val="363B3B"/>
                <w:sz w:val="18"/>
              </w:rPr>
              <w:t>Home — MASH resolution card</w:t>
            </w:r>
          </w:p>
        </w:tc>
        <w:tc>
          <w:tcPr>
            <w:tcW w:type="dxa" w:w="3024"/>
          </w:tcPr>
          <w:p>
            <w:r/>
            <w:r>
              <w:rPr>
                <w:color w:val="363B3B"/>
                <w:sz w:val="18"/>
              </w:rPr>
              <w:t>https://velox-images.pages.dev/card-bleeding.jpeg</w:t>
            </w:r>
          </w:p>
        </w:tc>
      </w:tr>
      <w:tr>
        <w:tc>
          <w:tcPr>
            <w:tcW w:type="dxa" w:w="3024"/>
            <w:shd w:fill="F8F8F8"/>
          </w:tcPr>
          <w:p>
            <w:r/>
            <w:r>
              <w:rPr>
                <w:color w:val="363B3B"/>
                <w:sz w:val="18"/>
              </w:rPr>
              <w:t>card-dosing.jpeg</w:t>
            </w:r>
          </w:p>
        </w:tc>
        <w:tc>
          <w:tcPr>
            <w:tcW w:type="dxa" w:w="3024"/>
            <w:shd w:fill="F8F8F8"/>
          </w:tcPr>
          <w:p>
            <w:r/>
            <w:r>
              <w:rPr>
                <w:color w:val="363B3B"/>
                <w:sz w:val="18"/>
              </w:rPr>
              <w:t>Home — oral once-daily card</w:t>
            </w:r>
          </w:p>
        </w:tc>
        <w:tc>
          <w:tcPr>
            <w:tcW w:type="dxa" w:w="3024"/>
            <w:shd w:fill="F8F8F8"/>
          </w:tcPr>
          <w:p>
            <w:r/>
            <w:r>
              <w:rPr>
                <w:color w:val="363B3B"/>
                <w:sz w:val="18"/>
              </w:rPr>
              <w:t>https://velox-images.pages.dev/card-dosing.jpeg</w:t>
            </w:r>
          </w:p>
        </w:tc>
      </w:tr>
      <w:tr>
        <w:tc>
          <w:tcPr>
            <w:tcW w:type="dxa" w:w="3024"/>
          </w:tcPr>
          <w:p>
            <w:r/>
            <w:r>
              <w:rPr>
                <w:color w:val="363B3B"/>
                <w:sz w:val="18"/>
              </w:rPr>
              <w:t>columns-moa-preview.jpeg</w:t>
            </w:r>
          </w:p>
        </w:tc>
        <w:tc>
          <w:tcPr>
            <w:tcW w:type="dxa" w:w="3024"/>
          </w:tcPr>
          <w:p>
            <w:r/>
            <w:r>
              <w:rPr>
                <w:color w:val="363B3B"/>
                <w:sz w:val="18"/>
              </w:rPr>
              <w:t>Home — MoA teaser</w:t>
            </w:r>
          </w:p>
        </w:tc>
        <w:tc>
          <w:tcPr>
            <w:tcW w:type="dxa" w:w="3024"/>
          </w:tcPr>
          <w:p>
            <w:r/>
            <w:r>
              <w:rPr>
                <w:color w:val="363B3B"/>
                <w:sz w:val="18"/>
              </w:rPr>
              <w:t>https://velox-images.pages.dev/columns-moa-preview.jpeg</w:t>
            </w:r>
          </w:p>
        </w:tc>
      </w:tr>
      <w:tr>
        <w:tc>
          <w:tcPr>
            <w:tcW w:type="dxa" w:w="3024"/>
            <w:shd w:fill="F8F8F8"/>
          </w:tcPr>
          <w:p>
            <w:r/>
            <w:r>
              <w:rPr>
                <w:color w:val="363B3B"/>
                <w:sz w:val="18"/>
              </w:rPr>
              <w:t>tab-velocity-af.jpeg</w:t>
            </w:r>
          </w:p>
        </w:tc>
        <w:tc>
          <w:tcPr>
            <w:tcW w:type="dxa" w:w="3024"/>
            <w:shd w:fill="F8F8F8"/>
          </w:tcPr>
          <w:p>
            <w:r/>
            <w:r>
              <w:rPr>
                <w:color w:val="363B3B"/>
                <w:sz w:val="18"/>
              </w:rPr>
              <w:t>CLARITY Data — CLARITY-FIBROSIS tab</w:t>
            </w:r>
          </w:p>
        </w:tc>
        <w:tc>
          <w:tcPr>
            <w:tcW w:type="dxa" w:w="3024"/>
            <w:shd w:fill="F8F8F8"/>
          </w:tcPr>
          <w:p>
            <w:r/>
            <w:r>
              <w:rPr>
                <w:color w:val="363B3B"/>
                <w:sz w:val="18"/>
              </w:rPr>
              <w:t>https://velox-images.pages.dev/tab-velocity-af.jpeg</w:t>
            </w:r>
          </w:p>
        </w:tc>
      </w:tr>
      <w:tr>
        <w:tc>
          <w:tcPr>
            <w:tcW w:type="dxa" w:w="3024"/>
          </w:tcPr>
          <w:p>
            <w:r/>
            <w:r>
              <w:rPr>
                <w:color w:val="363B3B"/>
                <w:sz w:val="18"/>
              </w:rPr>
              <w:t>tab-velocity-bleed.jpeg</w:t>
            </w:r>
          </w:p>
        </w:tc>
        <w:tc>
          <w:tcPr>
            <w:tcW w:type="dxa" w:w="3024"/>
          </w:tcPr>
          <w:p>
            <w:r/>
            <w:r>
              <w:rPr>
                <w:color w:val="363B3B"/>
                <w:sz w:val="18"/>
              </w:rPr>
              <w:t>CLARITY Data — CLARITY-RESOLVE tab</w:t>
            </w:r>
          </w:p>
        </w:tc>
        <w:tc>
          <w:tcPr>
            <w:tcW w:type="dxa" w:w="3024"/>
          </w:tcPr>
          <w:p>
            <w:r/>
            <w:r>
              <w:rPr>
                <w:color w:val="363B3B"/>
                <w:sz w:val="18"/>
              </w:rPr>
              <w:t>https://velox-images.pages.dev/tab-velocity-bleed.jpeg</w:t>
            </w:r>
          </w:p>
        </w:tc>
      </w:tr>
      <w:tr>
        <w:tc>
          <w:tcPr>
            <w:tcW w:type="dxa" w:w="3024"/>
            <w:shd w:fill="F8F8F8"/>
          </w:tcPr>
          <w:p>
            <w:r/>
            <w:r>
              <w:rPr>
                <w:color w:val="363B3B"/>
                <w:sz w:val="18"/>
              </w:rPr>
              <w:t>card-bleeding-events.jpeg</w:t>
            </w:r>
          </w:p>
        </w:tc>
        <w:tc>
          <w:tcPr>
            <w:tcW w:type="dxa" w:w="3024"/>
            <w:shd w:fill="F8F8F8"/>
          </w:tcPr>
          <w:p>
            <w:r/>
            <w:r>
              <w:rPr>
                <w:color w:val="363B3B"/>
                <w:sz w:val="18"/>
              </w:rPr>
              <w:t>Understanding MASH — progression card</w:t>
            </w:r>
          </w:p>
        </w:tc>
        <w:tc>
          <w:tcPr>
            <w:tcW w:type="dxa" w:w="3024"/>
            <w:shd w:fill="F8F8F8"/>
          </w:tcPr>
          <w:p>
            <w:r/>
            <w:r>
              <w:rPr>
                <w:color w:val="363B3B"/>
                <w:sz w:val="18"/>
              </w:rPr>
              <w:t>https://velox-images.pages.dev/card-bleeding-events.jpeg</w:t>
            </w:r>
          </w:p>
        </w:tc>
      </w:tr>
      <w:tr>
        <w:tc>
          <w:tcPr>
            <w:tcW w:type="dxa" w:w="3024"/>
          </w:tcPr>
          <w:p>
            <w:r/>
            <w:r>
              <w:rPr>
                <w:color w:val="363B3B"/>
                <w:sz w:val="18"/>
              </w:rPr>
              <w:t>card-hepatic.jpeg</w:t>
            </w:r>
          </w:p>
        </w:tc>
        <w:tc>
          <w:tcPr>
            <w:tcW w:type="dxa" w:w="3024"/>
          </w:tcPr>
          <w:p>
            <w:r/>
            <w:r>
              <w:rPr>
                <w:color w:val="363B3B"/>
                <w:sz w:val="18"/>
              </w:rPr>
              <w:t>Understanding MASH — comorbidity card</w:t>
            </w:r>
          </w:p>
        </w:tc>
        <w:tc>
          <w:tcPr>
            <w:tcW w:type="dxa" w:w="3024"/>
          </w:tcPr>
          <w:p>
            <w:r/>
            <w:r>
              <w:rPr>
                <w:color w:val="363B3B"/>
                <w:sz w:val="18"/>
              </w:rPr>
              <w:t>https://velox-images.pages.dev/card-hepatic.jpeg</w:t>
            </w:r>
          </w:p>
        </w:tc>
      </w:tr>
      <w:tr>
        <w:tc>
          <w:tcPr>
            <w:tcW w:type="dxa" w:w="3024"/>
            <w:shd w:fill="F8F8F8"/>
          </w:tcPr>
          <w:p>
            <w:r/>
            <w:r>
              <w:rPr>
                <w:color w:val="363B3B"/>
                <w:sz w:val="18"/>
              </w:rPr>
              <w:t>card-gi-events.jpeg</w:t>
            </w:r>
          </w:p>
        </w:tc>
        <w:tc>
          <w:tcPr>
            <w:tcW w:type="dxa" w:w="3024"/>
            <w:shd w:fill="F8F8F8"/>
          </w:tcPr>
          <w:p>
            <w:r/>
            <w:r>
              <w:rPr>
                <w:color w:val="363B3B"/>
                <w:sz w:val="18"/>
              </w:rPr>
              <w:t>Understanding MASH — diagnosis card</w:t>
            </w:r>
          </w:p>
        </w:tc>
        <w:tc>
          <w:tcPr>
            <w:tcW w:type="dxa" w:w="3024"/>
            <w:shd w:fill="F8F8F8"/>
          </w:tcPr>
          <w:p>
            <w:r/>
            <w:r>
              <w:rPr>
                <w:color w:val="363B3B"/>
                <w:sz w:val="18"/>
              </w:rPr>
              <w:t>https://velox-images.pages.dev/card-gi-events.jpeg</w:t>
            </w:r>
          </w:p>
        </w:tc>
      </w:tr>
      <w:tr>
        <w:tc>
          <w:tcPr>
            <w:tcW w:type="dxa" w:w="3024"/>
          </w:tcPr>
          <w:p>
            <w:r/>
            <w:r>
              <w:rPr>
                <w:color w:val="363B3B"/>
                <w:sz w:val="18"/>
              </w:rPr>
              <w:t>columns-dosing.jpeg</w:t>
            </w:r>
          </w:p>
        </w:tc>
        <w:tc>
          <w:tcPr>
            <w:tcW w:type="dxa" w:w="3024"/>
          </w:tcPr>
          <w:p>
            <w:r/>
            <w:r>
              <w:rPr>
                <w:color w:val="363B3B"/>
                <w:sz w:val="18"/>
              </w:rPr>
              <w:t>Safety, Dosing &amp; Monitoring — daily regimen</w:t>
            </w:r>
          </w:p>
        </w:tc>
        <w:tc>
          <w:tcPr>
            <w:tcW w:type="dxa" w:w="3024"/>
          </w:tcPr>
          <w:p>
            <w:r/>
            <w:r>
              <w:rPr>
                <w:color w:val="363B3B"/>
                <w:sz w:val="18"/>
              </w:rPr>
              <w:t>https://velox-images.pages.dev/columns-dosing.jpeg</w:t>
            </w:r>
          </w:p>
        </w:tc>
      </w:tr>
      <w:tr>
        <w:tc>
          <w:tcPr>
            <w:tcW w:type="dxa" w:w="3024"/>
            <w:shd w:fill="F8F8F8"/>
          </w:tcPr>
          <w:p>
            <w:r/>
            <w:r>
              <w:rPr>
                <w:color w:val="363B3B"/>
                <w:sz w:val="18"/>
              </w:rPr>
              <w:t>columns-monitoring.jpeg</w:t>
            </w:r>
          </w:p>
        </w:tc>
        <w:tc>
          <w:tcPr>
            <w:tcW w:type="dxa" w:w="3024"/>
            <w:shd w:fill="F8F8F8"/>
          </w:tcPr>
          <w:p>
            <w:r/>
            <w:r>
              <w:rPr>
                <w:color w:val="363B3B"/>
                <w:sz w:val="18"/>
              </w:rPr>
              <w:t>Safety, Dosing &amp; Monitoring — hepatic monitoring</w:t>
            </w:r>
          </w:p>
        </w:tc>
        <w:tc>
          <w:tcPr>
            <w:tcW w:type="dxa" w:w="3024"/>
            <w:shd w:fill="F8F8F8"/>
          </w:tcPr>
          <w:p>
            <w:r/>
            <w:r>
              <w:rPr>
                <w:color w:val="363B3B"/>
                <w:sz w:val="18"/>
              </w:rPr>
              <w:t>https://velox-images.pages.dev/columns-monitoring.jpeg</w:t>
            </w:r>
          </w:p>
        </w:tc>
      </w:tr>
      <w:tr>
        <w:tc>
          <w:tcPr>
            <w:tcW w:type="dxa" w:w="3024"/>
          </w:tcPr>
          <w:p>
            <w:r/>
            <w:r>
              <w:rPr>
                <w:color w:val="363B3B"/>
                <w:sz w:val="18"/>
              </w:rPr>
              <w:t>card-prescribing.jpeg</w:t>
            </w:r>
          </w:p>
        </w:tc>
        <w:tc>
          <w:tcPr>
            <w:tcW w:type="dxa" w:w="3024"/>
          </w:tcPr>
          <w:p>
            <w:r/>
            <w:r>
              <w:rPr>
                <w:color w:val="363B3B"/>
                <w:sz w:val="18"/>
              </w:rPr>
              <w:t>HCP Resources — prescribing guide card</w:t>
            </w:r>
          </w:p>
        </w:tc>
        <w:tc>
          <w:tcPr>
            <w:tcW w:type="dxa" w:w="3024"/>
          </w:tcPr>
          <w:p>
            <w:r/>
            <w:r>
              <w:rPr>
                <w:color w:val="363B3B"/>
                <w:sz w:val="18"/>
              </w:rPr>
              <w:t>https://velox-images.pages.dev/card-prescribing.jpeg</w:t>
            </w:r>
          </w:p>
        </w:tc>
      </w:tr>
    </w:tbl>
    <w:p/>
    <w:p>
      <w:pPr>
        <w:pStyle w:val="Heading2"/>
      </w:pPr>
      <w:r>
        <w:rPr>
          <w:color w:val="830051"/>
        </w:rPr>
        <w:t>Image previews</w:t>
      </w:r>
    </w:p>
    <w:p>
      <w:r>
        <w:rPr>
          <w:b w:val="0"/>
          <w:i/>
          <w:color w:val="363B3B"/>
          <w:sz w:val="20"/>
        </w:rPr>
        <w:t>Visual previews of all 15 images:</w:t>
      </w:r>
    </w:p>
    <w:p/>
    <w:p>
      <w:r>
        <w:rPr>
          <w:b/>
          <w:i w:val="0"/>
          <w:color w:val="363B3B"/>
          <w:sz w:val="18"/>
        </w:rPr>
        <w:t>hero-home.jpeg — Home — hero</w:t>
      </w:r>
    </w:p>
    <w:p>
      <w:pPr>
        <w:jc w:val="center"/>
      </w:pPr>
      <w:r>
        <w:drawing>
          <wp:inline xmlns:a="http://schemas.openxmlformats.org/drawingml/2006/main" xmlns:pic="http://schemas.openxmlformats.org/drawingml/2006/picture">
            <wp:extent cx="3657600" cy="2041451"/>
            <wp:docPr id="20" name="Picture 20"/>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p>
      <w:r>
        <w:rPr>
          <w:b/>
          <w:i w:val="0"/>
          <w:color w:val="363B3B"/>
          <w:sz w:val="18"/>
        </w:rPr>
        <w:t>hero-efficacy.jpeg — Understanding MASH — hero</w:t>
      </w:r>
    </w:p>
    <w:p>
      <w:pPr>
        <w:jc w:val="center"/>
      </w:pPr>
      <w:r>
        <w:drawing>
          <wp:inline xmlns:a="http://schemas.openxmlformats.org/drawingml/2006/main" xmlns:pic="http://schemas.openxmlformats.org/drawingml/2006/picture">
            <wp:extent cx="3657600" cy="2041451"/>
            <wp:docPr id="21" name="Picture 21"/>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Understanding MASH — hero</w:t>
      </w:r>
    </w:p>
    <w:p/>
    <w:p>
      <w:r>
        <w:rPr>
          <w:b/>
          <w:i w:val="0"/>
          <w:color w:val="363B3B"/>
          <w:sz w:val="18"/>
        </w:rPr>
        <w:t>hero-moa.jpeg — How KLERA Works — hero</w:t>
      </w:r>
    </w:p>
    <w:p>
      <w:pPr>
        <w:jc w:val="center"/>
      </w:pPr>
      <w:r>
        <w:drawing>
          <wp:inline xmlns:a="http://schemas.openxmlformats.org/drawingml/2006/main" xmlns:pic="http://schemas.openxmlformats.org/drawingml/2006/picture">
            <wp:extent cx="3657600" cy="2041451"/>
            <wp:docPr id="22" name="Picture 22"/>
            <wp:cNvGraphicFramePr>
              <a:graphicFrameLocks noChangeAspect="1"/>
            </wp:cNvGraphicFramePr>
            <a:graphic>
              <a:graphicData uri="http://schemas.openxmlformats.org/drawingml/2006/picture">
                <pic:pic>
                  <pic:nvPicPr>
                    <pic:cNvPr id="0" name="hero-moa.jpeg"/>
                    <pic:cNvPicPr/>
                  </pic:nvPicPr>
                  <pic:blipFill>
                    <a:blip r:embed="rId20"/>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KLERA Works — hero</w:t>
      </w:r>
    </w:p>
    <w:p/>
    <w:p>
      <w:r>
        <w:rPr>
          <w:b/>
          <w:i w:val="0"/>
          <w:color w:val="363B3B"/>
          <w:sz w:val="18"/>
        </w:rPr>
        <w:t>card-stroke.jpeg — Home — fibrosis improvement card</w:t>
      </w:r>
    </w:p>
    <w:p>
      <w:pPr>
        <w:jc w:val="center"/>
      </w:pPr>
      <w:r>
        <w:drawing>
          <wp:inline xmlns:a="http://schemas.openxmlformats.org/drawingml/2006/main" xmlns:pic="http://schemas.openxmlformats.org/drawingml/2006/picture">
            <wp:extent cx="3657600" cy="2731008"/>
            <wp:docPr id="23" name="Picture 23"/>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fibrosis improvement card</w:t>
      </w:r>
    </w:p>
    <w:p/>
    <w:p>
      <w:r>
        <w:rPr>
          <w:b/>
          <w:i w:val="0"/>
          <w:color w:val="363B3B"/>
          <w:sz w:val="18"/>
        </w:rPr>
        <w:t>card-bleeding.jpeg — Home — MASH resolution card</w:t>
      </w:r>
    </w:p>
    <w:p>
      <w:pPr>
        <w:jc w:val="center"/>
      </w:pPr>
      <w:r>
        <w:drawing>
          <wp:inline xmlns:a="http://schemas.openxmlformats.org/drawingml/2006/main" xmlns:pic="http://schemas.openxmlformats.org/drawingml/2006/picture">
            <wp:extent cx="3657600" cy="2731008"/>
            <wp:docPr id="24" name="Picture 24"/>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MASH resolution card</w:t>
      </w:r>
    </w:p>
    <w:p/>
    <w:p>
      <w:r>
        <w:rPr>
          <w:b/>
          <w:i w:val="0"/>
          <w:color w:val="363B3B"/>
          <w:sz w:val="18"/>
        </w:rPr>
        <w:t>card-dosing.jpeg — Home — oral once-daily card</w:t>
      </w:r>
    </w:p>
    <w:p>
      <w:pPr>
        <w:jc w:val="center"/>
      </w:pPr>
      <w:r>
        <w:drawing>
          <wp:inline xmlns:a="http://schemas.openxmlformats.org/drawingml/2006/main" xmlns:pic="http://schemas.openxmlformats.org/drawingml/2006/picture">
            <wp:extent cx="3657600" cy="2731008"/>
            <wp:docPr id="25" name="Picture 25"/>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oral once-daily card</w:t>
      </w:r>
    </w:p>
    <w:p/>
    <w:p>
      <w:r>
        <w:rPr>
          <w:b/>
          <w:i w:val="0"/>
          <w:color w:val="363B3B"/>
          <w:sz w:val="18"/>
        </w:rPr>
        <w:t>columns-moa-preview.jpeg — Home — MoA teaser</w:t>
      </w:r>
    </w:p>
    <w:p>
      <w:pPr>
        <w:jc w:val="center"/>
      </w:pPr>
      <w:r>
        <w:drawing>
          <wp:inline xmlns:a="http://schemas.openxmlformats.org/drawingml/2006/main" xmlns:pic="http://schemas.openxmlformats.org/drawingml/2006/picture">
            <wp:extent cx="3657600" cy="2731008"/>
            <wp:docPr id="26" name="Picture 26"/>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p>
      <w:r>
        <w:rPr>
          <w:b/>
          <w:i w:val="0"/>
          <w:color w:val="363B3B"/>
          <w:sz w:val="18"/>
        </w:rPr>
        <w:t>tab-velocity-af.jpeg — CLARITY Data — CLARITY-FIBROSIS tab</w:t>
      </w:r>
    </w:p>
    <w:p>
      <w:pPr>
        <w:jc w:val="center"/>
      </w:pPr>
      <w:r>
        <w:drawing>
          <wp:inline xmlns:a="http://schemas.openxmlformats.org/drawingml/2006/main" xmlns:pic="http://schemas.openxmlformats.org/drawingml/2006/picture">
            <wp:extent cx="3657600" cy="2731008"/>
            <wp:docPr id="27" name="Picture 27"/>
            <wp:cNvGraphicFramePr>
              <a:graphicFrameLocks noChangeAspect="1"/>
            </wp:cNvGraphicFramePr>
            <a:graphic>
              <a:graphicData uri="http://schemas.openxmlformats.org/drawingml/2006/picture">
                <pic:pic>
                  <pic:nvPicPr>
                    <pic:cNvPr id="0" name="tab-velocity-af.jpeg"/>
                    <pic:cNvPicPr/>
                  </pic:nvPicPr>
                  <pic:blipFill>
                    <a:blip r:embed="rId18"/>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CLARITY Data — CLARITY-FIBROSIS tab</w:t>
      </w:r>
    </w:p>
    <w:p/>
    <w:p>
      <w:r>
        <w:rPr>
          <w:b/>
          <w:i w:val="0"/>
          <w:color w:val="363B3B"/>
          <w:sz w:val="18"/>
        </w:rPr>
        <w:t>tab-velocity-bleed.jpeg — CLARITY Data — CLARITY-RESOLVE tab</w:t>
      </w:r>
    </w:p>
    <w:p>
      <w:pPr>
        <w:jc w:val="center"/>
      </w:pPr>
      <w:r>
        <w:drawing>
          <wp:inline xmlns:a="http://schemas.openxmlformats.org/drawingml/2006/main" xmlns:pic="http://schemas.openxmlformats.org/drawingml/2006/picture">
            <wp:extent cx="3657600" cy="2731008"/>
            <wp:docPr id="28" name="Picture 28"/>
            <wp:cNvGraphicFramePr>
              <a:graphicFrameLocks noChangeAspect="1"/>
            </wp:cNvGraphicFramePr>
            <a:graphic>
              <a:graphicData uri="http://schemas.openxmlformats.org/drawingml/2006/picture">
                <pic:pic>
                  <pic:nvPicPr>
                    <pic:cNvPr id="0" name="tab-velocity-bleed.jpeg"/>
                    <pic:cNvPicPr/>
                  </pic:nvPicPr>
                  <pic:blipFill>
                    <a:blip r:embed="rId19"/>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CLARITY Data — CLARITY-RESOLVE tab</w:t>
      </w:r>
    </w:p>
    <w:p/>
    <w:p>
      <w:r>
        <w:rPr>
          <w:b/>
          <w:i w:val="0"/>
          <w:color w:val="363B3B"/>
          <w:sz w:val="18"/>
        </w:rPr>
        <w:t>card-bleeding-events.jpeg — Understanding MASH — progression card</w:t>
      </w:r>
    </w:p>
    <w:p>
      <w:pPr>
        <w:jc w:val="center"/>
      </w:pPr>
      <w:r>
        <w:drawing>
          <wp:inline xmlns:a="http://schemas.openxmlformats.org/drawingml/2006/main" xmlns:pic="http://schemas.openxmlformats.org/drawingml/2006/picture">
            <wp:extent cx="3657600" cy="2731008"/>
            <wp:docPr id="29" name="Picture 29"/>
            <wp:cNvGraphicFramePr>
              <a:graphicFrameLocks noChangeAspect="1"/>
            </wp:cNvGraphicFramePr>
            <a:graphic>
              <a:graphicData uri="http://schemas.openxmlformats.org/drawingml/2006/picture">
                <pic:pic>
                  <pic:nvPicPr>
                    <pic:cNvPr id="0" name="card-bleeding-events.jpeg"/>
                    <pic:cNvPicPr/>
                  </pic:nvPicPr>
                  <pic:blipFill>
                    <a:blip r:embed="rId15"/>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Understanding MASH — progression card</w:t>
      </w:r>
    </w:p>
    <w:p/>
    <w:p>
      <w:r>
        <w:rPr>
          <w:b/>
          <w:i w:val="0"/>
          <w:color w:val="363B3B"/>
          <w:sz w:val="18"/>
        </w:rPr>
        <w:t>card-hepatic.jpeg — Understanding MASH — comorbidity card</w:t>
      </w:r>
    </w:p>
    <w:p>
      <w:pPr>
        <w:jc w:val="center"/>
      </w:pPr>
      <w:r>
        <w:drawing>
          <wp:inline xmlns:a="http://schemas.openxmlformats.org/drawingml/2006/main" xmlns:pic="http://schemas.openxmlformats.org/drawingml/2006/picture">
            <wp:extent cx="3657600" cy="2731008"/>
            <wp:docPr id="30" name="Picture 30"/>
            <wp:cNvGraphicFramePr>
              <a:graphicFrameLocks noChangeAspect="1"/>
            </wp:cNvGraphicFramePr>
            <a:graphic>
              <a:graphicData uri="http://schemas.openxmlformats.org/drawingml/2006/picture">
                <pic:pic>
                  <pic:nvPicPr>
                    <pic:cNvPr id="0" name="card-hepatic.jpeg"/>
                    <pic:cNvPicPr/>
                  </pic:nvPicPr>
                  <pic:blipFill>
                    <a:blip r:embed="rId16"/>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Understanding MASH — comorbidity card</w:t>
      </w:r>
    </w:p>
    <w:p/>
    <w:p>
      <w:r>
        <w:rPr>
          <w:b/>
          <w:i w:val="0"/>
          <w:color w:val="363B3B"/>
          <w:sz w:val="18"/>
        </w:rPr>
        <w:t>card-gi-events.jpeg — Understanding MASH — diagnosis card</w:t>
      </w:r>
    </w:p>
    <w:p>
      <w:pPr>
        <w:jc w:val="center"/>
      </w:pPr>
      <w:r>
        <w:drawing>
          <wp:inline xmlns:a="http://schemas.openxmlformats.org/drawingml/2006/main" xmlns:pic="http://schemas.openxmlformats.org/drawingml/2006/picture">
            <wp:extent cx="3657600" cy="2731008"/>
            <wp:docPr id="31" name="Picture 31"/>
            <wp:cNvGraphicFramePr>
              <a:graphicFrameLocks noChangeAspect="1"/>
            </wp:cNvGraphicFramePr>
            <a:graphic>
              <a:graphicData uri="http://schemas.openxmlformats.org/drawingml/2006/picture">
                <pic:pic>
                  <pic:nvPicPr>
                    <pic:cNvPr id="0" name="card-gi-events.jpeg"/>
                    <pic:cNvPicPr/>
                  </pic:nvPicPr>
                  <pic:blipFill>
                    <a:blip r:embed="rId17"/>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Understanding MASH — diagnosis card</w:t>
      </w:r>
    </w:p>
    <w:p/>
    <w:p>
      <w:r>
        <w:rPr>
          <w:b/>
          <w:i w:val="0"/>
          <w:color w:val="363B3B"/>
          <w:sz w:val="18"/>
        </w:rPr>
        <w:t>columns-dosing.jpeg — Safety, Dosing &amp; Monitoring — daily regimen</w:t>
      </w:r>
    </w:p>
    <w:p>
      <w:pPr>
        <w:jc w:val="center"/>
      </w:pPr>
      <w:r>
        <w:drawing>
          <wp:inline xmlns:a="http://schemas.openxmlformats.org/drawingml/2006/main" xmlns:pic="http://schemas.openxmlformats.org/drawingml/2006/picture">
            <wp:extent cx="3657600" cy="2731008"/>
            <wp:docPr id="32" name="Picture 32"/>
            <wp:cNvGraphicFramePr>
              <a:graphicFrameLocks noChangeAspect="1"/>
            </wp:cNvGraphicFramePr>
            <a:graphic>
              <a:graphicData uri="http://schemas.openxmlformats.org/drawingml/2006/picture">
                <pic:pic>
                  <pic:nvPicPr>
                    <pic:cNvPr id="0" name="columns-dosing.jpeg"/>
                    <pic:cNvPicPr/>
                  </pic:nvPicPr>
                  <pic:blipFill>
                    <a:blip r:embed="rId2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Safety, Dosing &amp; Monitoring — daily regimen</w:t>
      </w:r>
    </w:p>
    <w:p/>
    <w:p>
      <w:r>
        <w:rPr>
          <w:b/>
          <w:i w:val="0"/>
          <w:color w:val="363B3B"/>
          <w:sz w:val="18"/>
        </w:rPr>
        <w:t>columns-monitoring.jpeg — Safety, Dosing &amp; Monitoring — hepatic monitoring</w:t>
      </w:r>
    </w:p>
    <w:p>
      <w:pPr>
        <w:jc w:val="center"/>
      </w:pPr>
      <w:r>
        <w:drawing>
          <wp:inline xmlns:a="http://schemas.openxmlformats.org/drawingml/2006/main" xmlns:pic="http://schemas.openxmlformats.org/drawingml/2006/picture">
            <wp:extent cx="3657600" cy="2731008"/>
            <wp:docPr id="33" name="Picture 33"/>
            <wp:cNvGraphicFramePr>
              <a:graphicFrameLocks noChangeAspect="1"/>
            </wp:cNvGraphicFramePr>
            <a:graphic>
              <a:graphicData uri="http://schemas.openxmlformats.org/drawingml/2006/picture">
                <pic:pic>
                  <pic:nvPicPr>
                    <pic:cNvPr id="0" name="columns-monitoring.jpeg"/>
                    <pic:cNvPicPr/>
                  </pic:nvPicPr>
                  <pic:blipFill>
                    <a:blip r:embed="rId22"/>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Safety, Dosing &amp; Monitoring — hepatic monitoring</w:t>
      </w:r>
    </w:p>
    <w:p/>
    <w:p>
      <w:r>
        <w:rPr>
          <w:b/>
          <w:i w:val="0"/>
          <w:color w:val="363B3B"/>
          <w:sz w:val="18"/>
        </w:rPr>
        <w:t>card-prescribing.jpeg — HCP Resources — prescribing guide card</w:t>
      </w:r>
    </w:p>
    <w:p>
      <w:pPr>
        <w:jc w:val="center"/>
      </w:pPr>
      <w:r>
        <w:drawing>
          <wp:inline xmlns:a="http://schemas.openxmlformats.org/drawingml/2006/main" xmlns:pic="http://schemas.openxmlformats.org/drawingml/2006/picture">
            <wp:extent cx="3657600" cy="2731008"/>
            <wp:docPr id="34" name="Picture 34"/>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HCP Resources — prescribing guide card</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8300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